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AI Automation Pack</w:t>
      </w:r>
    </w:p>
    <w:p>
      <w:pPr>
        <w:pStyle w:val="Heading2"/>
      </w:pPr>
      <w:r>
        <w:t xml:space="preserve">UGC Brief Generator</w:t>
      </w:r>
    </w:p>
    <w:p>
      <w:pPr>
        <w:pStyle w:val="Lead"/>
      </w:pPr>
      <w:r>
        <w:t xml:space="preserve">Scheduled AI-agent prompts for this service: daily lead triage, weekly prospecting, outreach drafting, follow-ups, delivery QA, weekly reporting, and proof repurposing - each ready to paste into an agent and run on a cadence with human approval.</w:t>
      </w:r>
    </w:p>
    <w:p>
      <w:pPr>
        <w:pStyle w:val="Tagline"/>
      </w:pPr>
      <w:r>
        <w:t xml:space="preserve">Brands do not need more creators. They need better briefs.</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Ecommerce brands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Creator Business</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Easy</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rPr>
          <w:tblHeader/>
        </w:trP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500"/>
        <w:gridCol w:w="7620"/>
      </w:tblGrid>
      <w:tr>
        <w:trPr>
          <w:tblHeader/>
        </w:trPr>
        <w:tc>
          <w:tcPr>
            <w:tcW w:w="1500" w:type="dxa"/>
            <w:shd w:fill="0A0A0A"/>
            <w:tcMar>
              <w:top w:w="120" w:type="dxa"/>
              <w:left w:w="150" w:type="dxa"/>
              <w:bottom w:w="120" w:type="dxa"/>
              <w:right w:w="150" w:type="dxa"/>
            </w:tcMar>
            <w:vAlign w:val="center"/>
          </w:tcPr>
          <w:p>
            <w:pPr>
              <w:pStyle w:val="TableHeader"/>
            </w:pPr>
            <w:r>
              <w:t xml:space="preserve">Section</w:t>
            </w:r>
          </w:p>
        </w:tc>
        <w:tc>
          <w:tcPr>
            <w:tcW w:w="7620" w:type="dxa"/>
            <w:shd w:fill="0A0A0A"/>
            <w:tcMar>
              <w:top w:w="120" w:type="dxa"/>
              <w:left w:w="150" w:type="dxa"/>
              <w:bottom w:w="120" w:type="dxa"/>
              <w:right w:w="150" w:type="dxa"/>
            </w:tcMar>
            <w:vAlign w:val="center"/>
          </w:tcPr>
          <w:p>
            <w:pPr>
              <w:pStyle w:val="TableHeader"/>
            </w:pPr>
            <w:r>
              <w:t xml:space="preserve">What it covers</w:t>
            </w:r>
          </w:p>
        </w:tc>
      </w:tr>
      <w:tr>
        <w:tc>
          <w:tcPr>
            <w:tcW w:w="1500" w:type="dxa"/>
            <w:shd w:fill="F5F3F1"/>
            <w:tcMar>
              <w:top w:w="120" w:type="dxa"/>
              <w:left w:w="150" w:type="dxa"/>
              <w:bottom w:w="120" w:type="dxa"/>
              <w:right w:w="150" w:type="dxa"/>
            </w:tcMar>
            <w:vAlign w:val="center"/>
          </w:tcPr>
          <w:p>
            <w:pPr>
              <w:pStyle w:val="TableCell"/>
            </w:pPr>
            <w:r>
              <w:t xml:space="preserve">01</w:t>
            </w:r>
          </w:p>
        </w:tc>
        <w:tc>
          <w:tcPr>
            <w:tcW w:w="7620" w:type="dxa"/>
            <w:shd w:fill="F5F3F1"/>
            <w:tcMar>
              <w:top w:w="120" w:type="dxa"/>
              <w:left w:w="150" w:type="dxa"/>
              <w:bottom w:w="120" w:type="dxa"/>
              <w:right w:w="150" w:type="dxa"/>
            </w:tcMar>
            <w:vAlign w:val="center"/>
          </w:tcPr>
          <w:p>
            <w:pPr>
              <w:pStyle w:val="TableCell"/>
            </w:pPr>
            <w:r>
              <w:t xml:space="preserve">The simplest reliable stack - Source folder: approved product page, brand guide, claim evidence, customer-language notes…</w:t>
            </w:r>
          </w:p>
        </w:tc>
      </w:tr>
      <w:tr>
        <w:tc>
          <w:tcPr>
            <w:tcW w:w="1500" w:type="dxa"/>
            <w:tcMar>
              <w:top w:w="120" w:type="dxa"/>
              <w:left w:w="150" w:type="dxa"/>
              <w:bottom w:w="120" w:type="dxa"/>
              <w:right w:w="150" w:type="dxa"/>
            </w:tcMar>
            <w:vAlign w:val="center"/>
          </w:tcPr>
          <w:p>
            <w:pPr>
              <w:pStyle w:val="TableCell"/>
            </w:pPr>
            <w:r>
              <w:t xml:space="preserve">02</w:t>
            </w:r>
          </w:p>
        </w:tc>
        <w:tc>
          <w:tcPr>
            <w:tcW w:w="7620" w:type="dxa"/>
            <w:tcMar>
              <w:top w:w="120" w:type="dxa"/>
              <w:left w:w="150" w:type="dxa"/>
              <w:bottom w:w="120" w:type="dxa"/>
              <w:right w:w="150" w:type="dxa"/>
            </w:tcMar>
            <w:vAlign w:val="center"/>
          </w:tcPr>
          <w:p>
            <w:pPr>
              <w:pStyle w:val="TableCell"/>
            </w:pPr>
            <w:r>
              <w:t xml:space="preserve">Minimum viable weekly loop - 1. Select: choose one approved product, audience, channel, and creative goal.</w:t>
            </w:r>
          </w:p>
        </w:tc>
      </w:tr>
      <w:tr>
        <w:tc>
          <w:tcPr>
            <w:tcW w:w="1500" w:type="dxa"/>
            <w:shd w:fill="F5F3F1"/>
            <w:tcMar>
              <w:top w:w="120" w:type="dxa"/>
              <w:left w:w="150" w:type="dxa"/>
              <w:bottom w:w="120" w:type="dxa"/>
              <w:right w:w="150" w:type="dxa"/>
            </w:tcMar>
            <w:vAlign w:val="center"/>
          </w:tcPr>
          <w:p>
            <w:pPr>
              <w:pStyle w:val="TableCell"/>
            </w:pPr>
            <w:r>
              <w:t xml:space="preserve">03</w:t>
            </w:r>
          </w:p>
        </w:tc>
        <w:tc>
          <w:tcPr>
            <w:tcW w:w="7620" w:type="dxa"/>
            <w:shd w:fill="F5F3F1"/>
            <w:tcMar>
              <w:top w:w="120" w:type="dxa"/>
              <w:left w:w="150" w:type="dxa"/>
              <w:bottom w:w="120" w:type="dxa"/>
              <w:right w:w="150" w:type="dxa"/>
            </w:tcMar>
            <w:vAlign w:val="center"/>
          </w:tcPr>
          <w:p>
            <w:pPr>
              <w:pStyle w:val="TableCell"/>
            </w:pPr>
            <w:r>
              <w:t xml:space="preserve">Weekly product opportunity prompt - Review [APPROVED PRODUCT PAGES, REVIEWS OR EXPORTS, AND RECENT CREATIVE] for [BRAND]…</w:t>
            </w:r>
          </w:p>
        </w:tc>
      </w:tr>
      <w:tr>
        <w:tc>
          <w:tcPr>
            <w:tcW w:w="1500" w:type="dxa"/>
            <w:tcMar>
              <w:top w:w="120" w:type="dxa"/>
              <w:left w:w="150" w:type="dxa"/>
              <w:bottom w:w="120" w:type="dxa"/>
              <w:right w:w="150" w:type="dxa"/>
            </w:tcMar>
            <w:vAlign w:val="center"/>
          </w:tcPr>
          <w:p>
            <w:pPr>
              <w:pStyle w:val="TableCell"/>
            </w:pPr>
            <w:r>
              <w:t xml:space="preserve">04</w:t>
            </w:r>
          </w:p>
        </w:tc>
        <w:tc>
          <w:tcPr>
            <w:tcW w:w="7620" w:type="dxa"/>
            <w:tcMar>
              <w:top w:w="120" w:type="dxa"/>
              <w:left w:w="150" w:type="dxa"/>
              <w:bottom w:w="120" w:type="dxa"/>
              <w:right w:w="150" w:type="dxa"/>
            </w:tcMar>
            <w:vAlign w:val="center"/>
          </w:tcPr>
          <w:p>
            <w:pPr>
              <w:pStyle w:val="TableCell"/>
            </w:pPr>
            <w:r>
              <w:t xml:space="preserve">Brief drafting prompt - Create a creator-ready brief for [PRODUCT] using only [APPROVED SOURCE PACK]. Include…</w:t>
            </w:r>
          </w:p>
        </w:tc>
      </w:tr>
      <w:tr>
        <w:tc>
          <w:tcPr>
            <w:tcW w:w="1500" w:type="dxa"/>
            <w:shd w:fill="F5F3F1"/>
            <w:tcMar>
              <w:top w:w="120" w:type="dxa"/>
              <w:left w:w="150" w:type="dxa"/>
              <w:bottom w:w="120" w:type="dxa"/>
              <w:right w:w="150" w:type="dxa"/>
            </w:tcMar>
            <w:vAlign w:val="center"/>
          </w:tcPr>
          <w:p>
            <w:pPr>
              <w:pStyle w:val="TableCell"/>
            </w:pPr>
            <w:r>
              <w:t xml:space="preserve">05</w:t>
            </w:r>
          </w:p>
        </w:tc>
        <w:tc>
          <w:tcPr>
            <w:tcW w:w="7620" w:type="dxa"/>
            <w:shd w:fill="F5F3F1"/>
            <w:tcMar>
              <w:top w:w="120" w:type="dxa"/>
              <w:left w:w="150" w:type="dxa"/>
              <w:bottom w:w="120" w:type="dxa"/>
              <w:right w:w="150" w:type="dxa"/>
            </w:tcMar>
            <w:vAlign w:val="center"/>
          </w:tcPr>
          <w:p>
            <w:pPr>
              <w:pStyle w:val="TableCell"/>
            </w:pPr>
            <w:r>
              <w:t xml:space="preserve">Claims and source gate - Compare every proposed product statement in [DRAFT BRIEF] with [APPROVED SOURCE PACK]…</w:t>
            </w:r>
          </w:p>
        </w:tc>
      </w:tr>
      <w:tr>
        <w:tc>
          <w:tcPr>
            <w:tcW w:w="1500" w:type="dxa"/>
            <w:tcMar>
              <w:top w:w="120" w:type="dxa"/>
              <w:left w:w="150" w:type="dxa"/>
              <w:bottom w:w="120" w:type="dxa"/>
              <w:right w:w="150" w:type="dxa"/>
            </w:tcMar>
            <w:vAlign w:val="center"/>
          </w:tcPr>
          <w:p>
            <w:pPr>
              <w:pStyle w:val="TableCell"/>
            </w:pPr>
            <w:r>
              <w:t xml:space="preserve">06</w:t>
            </w:r>
          </w:p>
        </w:tc>
        <w:tc>
          <w:tcPr>
            <w:tcW w:w="7620" w:type="dxa"/>
            <w:tcMar>
              <w:top w:w="120" w:type="dxa"/>
              <w:left w:w="150" w:type="dxa"/>
              <w:bottom w:w="120" w:type="dxa"/>
              <w:right w:w="150" w:type="dxa"/>
            </w:tcMar>
            <w:vAlign w:val="center"/>
          </w:tcPr>
          <w:p>
            <w:pPr>
              <w:pStyle w:val="TableCell"/>
            </w:pPr>
            <w:r>
              <w:t xml:space="preserve">Rights and handoff gate - Check [DRAFT BRIEF] against [SIGNED USAGE TERMS]. Return PASS or HOLD for creator identity…</w:t>
            </w:r>
          </w:p>
        </w:tc>
      </w:tr>
      <w:tr>
        <w:tc>
          <w:tcPr>
            <w:tcW w:w="1500" w:type="dxa"/>
            <w:shd w:fill="F5F3F1"/>
            <w:tcMar>
              <w:top w:w="120" w:type="dxa"/>
              <w:left w:w="150" w:type="dxa"/>
              <w:bottom w:w="120" w:type="dxa"/>
              <w:right w:w="150" w:type="dxa"/>
            </w:tcMar>
            <w:vAlign w:val="center"/>
          </w:tcPr>
          <w:p>
            <w:pPr>
              <w:pStyle w:val="TableCell"/>
            </w:pPr>
            <w:r>
              <w:t xml:space="preserve">07</w:t>
            </w:r>
          </w:p>
        </w:tc>
        <w:tc>
          <w:tcPr>
            <w:tcW w:w="7620" w:type="dxa"/>
            <w:shd w:fill="F5F3F1"/>
            <w:tcMar>
              <w:top w:w="120" w:type="dxa"/>
              <w:left w:w="150" w:type="dxa"/>
              <w:bottom w:w="120" w:type="dxa"/>
              <w:right w:w="150" w:type="dxa"/>
            </w:tcMar>
            <w:vAlign w:val="center"/>
          </w:tcPr>
          <w:p>
            <w:pPr>
              <w:pStyle w:val="TableCell"/>
            </w:pPr>
            <w:r>
              <w:t xml:space="preserve">Approval email draft - Draft one email to [BRAND APPROVER] linking the brief, claim-source list, rights checklist…</w:t>
            </w:r>
          </w:p>
        </w:tc>
      </w:tr>
      <w:tr>
        <w:tc>
          <w:tcPr>
            <w:tcW w:w="1500" w:type="dxa"/>
            <w:tcMar>
              <w:top w:w="120" w:type="dxa"/>
              <w:left w:w="150" w:type="dxa"/>
              <w:bottom w:w="120" w:type="dxa"/>
              <w:right w:w="150" w:type="dxa"/>
            </w:tcMar>
            <w:vAlign w:val="center"/>
          </w:tcPr>
          <w:p>
            <w:pPr>
              <w:pStyle w:val="TableCell"/>
            </w:pPr>
            <w:r>
              <w:t xml:space="preserve">08</w:t>
            </w:r>
          </w:p>
        </w:tc>
        <w:tc>
          <w:tcPr>
            <w:tcW w:w="7620" w:type="dxa"/>
            <w:tcMar>
              <w:top w:w="120" w:type="dxa"/>
              <w:left w:w="150" w:type="dxa"/>
              <w:bottom w:w="120" w:type="dxa"/>
              <w:right w:w="150" w:type="dxa"/>
            </w:tcMar>
            <w:vAlign w:val="center"/>
          </w:tcPr>
          <w:p>
            <w:pPr>
              <w:pStyle w:val="TableCell"/>
            </w:pPr>
            <w:r>
              <w:t xml:space="preserve">First 20 leads routine - Once a week, review 20 ecommerce brands in [PRODUCT CATEGORY] that already post…</w:t>
            </w:r>
          </w:p>
        </w:tc>
      </w:tr>
      <w:tr>
        <w:tc>
          <w:tcPr>
            <w:tcW w:w="1500" w:type="dxa"/>
            <w:shd w:fill="F5F3F1"/>
            <w:tcMar>
              <w:top w:w="120" w:type="dxa"/>
              <w:left w:w="150" w:type="dxa"/>
              <w:bottom w:w="120" w:type="dxa"/>
              <w:right w:w="150" w:type="dxa"/>
            </w:tcMar>
            <w:vAlign w:val="center"/>
          </w:tcPr>
          <w:p>
            <w:pPr>
              <w:pStyle w:val="TableCell"/>
            </w:pPr>
            <w:r>
              <w:t xml:space="preserve">09</w:t>
            </w:r>
          </w:p>
        </w:tc>
        <w:tc>
          <w:tcPr>
            <w:tcW w:w="7620" w:type="dxa"/>
            <w:shd w:fill="F5F3F1"/>
            <w:tcMar>
              <w:top w:w="120" w:type="dxa"/>
              <w:left w:w="150" w:type="dxa"/>
              <w:bottom w:w="120" w:type="dxa"/>
              <w:right w:w="150" w:type="dxa"/>
            </w:tcMar>
            <w:vAlign w:val="center"/>
          </w:tcPr>
          <w:p>
            <w:pPr>
              <w:pStyle w:val="TableCell"/>
            </w:pPr>
            <w:r>
              <w:t xml:space="preserve">Failure and safety rules - Stop when source evidence is missing, rights are unclear, the request involves sensitive or…</w:t>
            </w:r>
          </w:p>
        </w:tc>
      </w:tr>
      <w:tr>
        <w:tc>
          <w:tcPr>
            <w:tcW w:w="1500" w:type="dxa"/>
            <w:tcMar>
              <w:top w:w="120" w:type="dxa"/>
              <w:left w:w="150" w:type="dxa"/>
              <w:bottom w:w="120" w:type="dxa"/>
              <w:right w:w="150" w:type="dxa"/>
            </w:tcMar>
            <w:vAlign w:val="center"/>
          </w:tcPr>
          <w:p>
            <w:pPr>
              <w:pStyle w:val="TableCell"/>
            </w:pPr>
            <w:r>
              <w:t xml:space="preserve">10</w:t>
            </w:r>
          </w:p>
        </w:tc>
        <w:tc>
          <w:tcPr>
            <w:tcW w:w="7620" w:type="dxa"/>
            <w:tcMar>
              <w:top w:w="120" w:type="dxa"/>
              <w:left w:w="150" w:type="dxa"/>
              <w:bottom w:w="120" w:type="dxa"/>
              <w:right w:w="150" w:type="dxa"/>
            </w:tcMar>
            <w:vAlign w:val="center"/>
          </w:tcPr>
          <w:p>
            <w:pPr>
              <w:pStyle w:val="TableCell"/>
            </w:pPr>
            <w:r>
              <w:t xml:space="preserve">Delivery standards (shared) - This asset is for ecommerce brands; replace bracketed fields with their specifics before…</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The simplest reliable stack</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rPr>
          <w:tblHeader/>
        </w:trPr>
        <w:tc>
          <w:tcPr>
            <w:tcW w:w="3000" w:type="dxa"/>
            <w:shd w:fill="0A0A0A"/>
            <w:tcMar>
              <w:top w:w="120" w:type="dxa"/>
              <w:left w:w="150" w:type="dxa"/>
              <w:bottom w:w="120" w:type="dxa"/>
              <w:right w:w="150" w:type="dxa"/>
            </w:tcMar>
            <w:vAlign w:val="center"/>
          </w:tcPr>
          <w:p>
            <w:pPr>
              <w:pStyle w:val="TableHeader"/>
            </w:pPr>
            <w:r>
              <w:t xml:space="preserve">Field</w:t>
            </w:r>
          </w:p>
        </w:tc>
        <w:tc>
          <w:tcPr>
            <w:tcW w:w="6180" w:type="dxa"/>
            <w:shd w:fill="0A0A0A"/>
            <w:tcMar>
              <w:top w:w="120" w:type="dxa"/>
              <w:left w:w="150" w:type="dxa"/>
              <w:bottom w:w="120" w:type="dxa"/>
              <w:right w:w="150" w:type="dxa"/>
            </w:tcMar>
            <w:vAlign w:val="center"/>
          </w:tcPr>
          <w:p>
            <w:pPr>
              <w:pStyle w:val="TableHeader"/>
            </w:pPr>
            <w:r>
              <w:t xml:space="preserve">Detail</w:t>
            </w:r>
          </w:p>
        </w:tc>
      </w:tr>
      <w:tr>
        <w:tc>
          <w:tcPr>
            <w:tcW w:w="3000" w:type="dxa"/>
            <w:shd w:fill="F5F3F1"/>
            <w:tcMar>
              <w:top w:w="120" w:type="dxa"/>
              <w:left w:w="150" w:type="dxa"/>
              <w:bottom w:w="120" w:type="dxa"/>
              <w:right w:w="150" w:type="dxa"/>
            </w:tcMar>
            <w:vAlign w:val="center"/>
          </w:tcPr>
          <w:p>
            <w:pPr>
              <w:pStyle w:val="TableLabel"/>
            </w:pPr>
            <w:r>
              <w:t xml:space="preserve">Source folder</w:t>
            </w:r>
          </w:p>
        </w:tc>
        <w:tc>
          <w:tcPr>
            <w:tcW w:w="6180" w:type="dxa"/>
            <w:shd w:fill="F5F3F1"/>
            <w:tcMar>
              <w:top w:w="120" w:type="dxa"/>
              <w:left w:w="150" w:type="dxa"/>
              <w:bottom w:w="120" w:type="dxa"/>
              <w:right w:w="150" w:type="dxa"/>
            </w:tcMar>
            <w:vAlign w:val="center"/>
          </w:tcPr>
          <w:p>
            <w:pPr>
              <w:pStyle w:val="TableCell"/>
            </w:pPr>
            <w:r>
              <w:t xml:space="preserve">approved product page, brand guide, claim evidence, customer-language notes, creator constraints, and signed usage-rights terms.</w:t>
            </w:r>
          </w:p>
        </w:tc>
      </w:tr>
      <w:tr>
        <w:tc>
          <w:tcPr>
            <w:tcW w:w="3000" w:type="dxa"/>
            <w:shd w:fill="F5F3F1"/>
            <w:tcMar>
              <w:top w:w="120" w:type="dxa"/>
              <w:left w:w="150" w:type="dxa"/>
              <w:bottom w:w="120" w:type="dxa"/>
              <w:right w:w="150" w:type="dxa"/>
            </w:tcMar>
            <w:vAlign w:val="center"/>
          </w:tcPr>
          <w:p>
            <w:pPr>
              <w:pStyle w:val="TableLabel"/>
            </w:pPr>
            <w:r>
              <w:t xml:space="preserve">Control sheet</w:t>
            </w:r>
          </w:p>
        </w:tc>
        <w:tc>
          <w:tcPr>
            <w:tcW w:w="6180" w:type="dxa"/>
            <w:tcMar>
              <w:top w:w="120" w:type="dxa"/>
              <w:left w:w="150" w:type="dxa"/>
              <w:bottom w:w="120" w:type="dxa"/>
              <w:right w:w="150" w:type="dxa"/>
            </w:tcMar>
            <w:vAlign w:val="center"/>
          </w:tcPr>
          <w:p>
            <w:pPr>
              <w:pStyle w:val="TableCell"/>
            </w:pPr>
            <w:r>
              <w:t xml:space="preserve">one row per product and concept with audience, channel, hook, proof source, claim status, creator, due date, rights scope, approver, and final file link.</w:t>
            </w:r>
          </w:p>
        </w:tc>
      </w:tr>
      <w:tr>
        <w:tc>
          <w:tcPr>
            <w:tcW w:w="3000" w:type="dxa"/>
            <w:shd w:fill="F5F3F1"/>
            <w:tcMar>
              <w:top w:w="120" w:type="dxa"/>
              <w:left w:w="150" w:type="dxa"/>
              <w:bottom w:w="120" w:type="dxa"/>
              <w:right w:w="150" w:type="dxa"/>
            </w:tcMar>
            <w:vAlign w:val="center"/>
          </w:tcPr>
          <w:p>
            <w:pPr>
              <w:pStyle w:val="TableLabel"/>
            </w:pPr>
            <w:r>
              <w:t xml:space="preserve">Production</w:t>
            </w:r>
          </w:p>
        </w:tc>
        <w:tc>
          <w:tcPr>
            <w:tcW w:w="6180" w:type="dxa"/>
            <w:shd w:fill="F5F3F1"/>
            <w:tcMar>
              <w:top w:w="120" w:type="dxa"/>
              <w:left w:w="150" w:type="dxa"/>
              <w:bottom w:w="120" w:type="dxa"/>
              <w:right w:w="150" w:type="dxa"/>
            </w:tcMar>
            <w:vAlign w:val="center"/>
          </w:tcPr>
          <w:p>
            <w:pPr>
              <w:pStyle w:val="TableCell"/>
            </w:pPr>
            <w:r>
              <w:t xml:space="preserve">one reusable creator brief template, one claims and rights checklist, and one approval email for each product.</w:t>
            </w:r>
          </w:p>
        </w:tc>
      </w:tr>
      <w:tr>
        <w:tc>
          <w:tcPr>
            <w:tcW w:w="3000" w:type="dxa"/>
            <w:shd w:fill="F5F3F1"/>
            <w:tcMar>
              <w:top w:w="120" w:type="dxa"/>
              <w:left w:w="150" w:type="dxa"/>
              <w:bottom w:w="120" w:type="dxa"/>
              <w:right w:w="150" w:type="dxa"/>
            </w:tcMar>
            <w:vAlign w:val="center"/>
          </w:tcPr>
          <w:p>
            <w:pPr>
              <w:pStyle w:val="TableLabel"/>
            </w:pPr>
            <w:r>
              <w:t xml:space="preserve">Automation</w:t>
            </w:r>
          </w:p>
        </w:tc>
        <w:tc>
          <w:tcPr>
            <w:tcW w:w="6180" w:type="dxa"/>
            <w:tcMar>
              <w:top w:w="120" w:type="dxa"/>
              <w:left w:w="150" w:type="dxa"/>
              <w:bottom w:w="120" w:type="dxa"/>
              <w:right w:w="150" w:type="dxa"/>
            </w:tcMar>
            <w:vAlign w:val="center"/>
          </w:tcPr>
          <w:p>
            <w:pPr>
              <w:pStyle w:val="TableCell"/>
            </w:pPr>
            <w:r>
              <w:t xml:space="preserve">use AI to organise approved inputs, draft options, and run QA. Keep claims, rights, creator contact, publishing, and paid usage behind named human approval.</w:t>
            </w:r>
          </w:p>
        </w:tc>
      </w:tr>
    </w:tbl>
    <w:p>
      <w:pPr>
        <w:pStyle w:val="Heading1"/>
      </w:pPr>
      <w:r>
        <w:t xml:space="preserve">02 / Minimum viable weekly loop</w:t>
      </w:r>
    </w:p>
    <w:p>
      <w:pPr>
        <w:pStyle w:val="ListParagraph"/>
        <w:numPr>
          <w:ilvl w:val="0"/>
          <w:numId w:val="1"/>
        </w:numPr>
      </w:pPr>
      <w:r>
        <w:t xml:space="preserve">1. Select: choose one approved product, audience, channel, and creative goal.</w:t>
      </w:r>
    </w:p>
    <w:p>
      <w:pPr>
        <w:pStyle w:val="ListParagraph"/>
        <w:numPr>
          <w:ilvl w:val="0"/>
          <w:numId w:val="1"/>
        </w:numPr>
      </w:pPr>
      <w:r>
        <w:t xml:space="preserve">2. Research: collect product facts, customer language, objections, use cases, and current creator examples from approved sources.</w:t>
      </w:r>
    </w:p>
    <w:p>
      <w:pPr>
        <w:pStyle w:val="ListParagraph"/>
        <w:numPr>
          <w:ilvl w:val="0"/>
          <w:numId w:val="1"/>
        </w:numPr>
      </w:pPr>
      <w:r>
        <w:t xml:space="preserve">3. Draft: produce hook options, shot sequence, proof notes, call to action, creator instructions, and disclosure fields.</w:t>
      </w:r>
    </w:p>
    <w:p>
      <w:pPr>
        <w:pStyle w:val="ListParagraph"/>
        <w:numPr>
          <w:ilvl w:val="0"/>
          <w:numId w:val="1"/>
        </w:numPr>
      </w:pPr>
      <w:r>
        <w:t xml:space="preserve">4. Gate: hold every unsupported claim, unclear review quote, missing disclosure, or usage-rights conflict.</w:t>
      </w:r>
    </w:p>
    <w:p>
      <w:pPr>
        <w:pStyle w:val="ListParagraph"/>
        <w:numPr>
          <w:ilvl w:val="0"/>
          <w:numId w:val="1"/>
        </w:numPr>
      </w:pPr>
      <w:r>
        <w:t xml:space="preserve">5. Approve: send one brief and its claim-source list to the named brand approver.</w:t>
      </w:r>
    </w:p>
    <w:p>
      <w:pPr>
        <w:pStyle w:val="ListParagraph"/>
        <w:numPr>
          <w:ilvl w:val="0"/>
          <w:numId w:val="1"/>
        </w:numPr>
      </w:pPr>
      <w:r>
        <w:t xml:space="preserve">6. Handoff: deliver only the approved version to the creator with the agreed rights, deadline, formats, and revision route.</w:t>
      </w:r>
    </w:p>
    <w:p>
      <w:pPr>
        <w:pStyle w:val="ListParagraph"/>
        <w:numPr>
          <w:ilvl w:val="0"/>
          <w:numId w:val="1"/>
        </w:numPr>
      </w:pPr>
      <w:r>
        <w:t xml:space="preserve">7. Learn: record creator questions, rejected claims, missing shots, and reusable patterns for the next brief.</w:t>
      </w:r>
    </w:p>
    <w:p>
      <w:pPr>
        <w:pStyle w:val="Heading1"/>
      </w:pPr>
      <w:r>
        <w:t xml:space="preserve">03 / Weekly product opportunity prompt</w:t>
      </w:r>
    </w:p>
    <w:p>
      <w:pPr>
        <w:pStyle w:val="ExampleBlock"/>
      </w:pPr>
      <w:r>
        <w:t xml:space="preserve">Review [APPROVED PRODUCT PAGES, REVIEWS OR EXPORTS, AND RECENT CREATIVE] for [BRAND]. Return up to five product-specific UGC angles. For each, list the target buyer, customer-language problem, hook, required proof, three-shot sequence, call to action, source link, claim risk, and creator constraint. Use only facts and customer language in the supplied sources. Do not invent product experience, results, testimonials, comparisons, discounts, or usage rights. Mark any uncertain item HOLD.</w:t>
      </w:r>
    </w:p>
    <w:p>
      <w:pPr>
        <w:pStyle w:val="Heading1"/>
      </w:pPr>
      <w:r>
        <w:t xml:space="preserve">04 / Brief drafting prompt</w:t>
      </w:r>
    </w:p>
    <w:p>
      <w:pPr>
        <w:pStyle w:val="ExampleBlock"/>
      </w:pPr>
      <w:r>
        <w:t xml:space="preserve">Create a creator-ready brief for [PRODUCT] using only [APPROVED SOURCE PACK]. Include objective, target buyer, one core angle, five hook options, required shots, optional delivery ideas, approved proof points, prohibited claims, disclosure field, pronunciation notes, caption needs, call to action, aspect ratio, duration, raw-footage requirement, and approval checklist. Separate required beats from creative freedom. Do not contact a creator or publish anything.</w:t>
      </w:r>
    </w:p>
    <w:p>
      <w:pPr>
        <w:pStyle w:val="Heading1"/>
      </w:pPr>
      <w:r>
        <w:t xml:space="preserve">05 / Claims and source gate</w:t>
      </w:r>
    </w:p>
    <w:p>
      <w:pPr>
        <w:pStyle w:val="ExampleBlock"/>
      </w:pPr>
      <w:r>
        <w:t xml:space="preserve">Compare every proposed product statement in [DRAFT BRIEF] with [APPROVED SOURCE PACK]. Return a table with exact statement, source, status PASS or HOLD, reason, safer rewrite, and named approval needed. Hold unsupported outcomes, comparisons, superlatives, testimonials, regulated claims, before-and-after implications, and price or offer details that cannot be verified.</w:t>
      </w:r>
    </w:p>
    <w:p>
      <w:pPr>
        <w:pStyle w:val="Heading1"/>
      </w:pPr>
      <w:r>
        <w:t xml:space="preserve">06 / Rights and handoff gate</w:t>
      </w:r>
    </w:p>
    <w:p>
      <w:pPr>
        <w:pStyle w:val="ExampleBlock"/>
      </w:pPr>
      <w:r>
        <w:t xml:space="preserve">Check [DRAFT BRIEF] against [SIGNED USAGE TERMS]. Return PASS or HOLD for creator identity, organic channels, paid usage, whitelisting, territory, duration, raw footage, editing, resizing, translation, exclusivity, music, third-party assets, and renewal. Do not infer missing rights. Produce a clean handoff list only for approved items.</w:t>
      </w:r>
    </w:p>
    <w:p>
      <w:pPr>
        <w:pStyle w:val="Heading1"/>
      </w:pPr>
      <w:r>
        <w:t xml:space="preserve">07 / Approval email draft</w:t>
      </w:r>
    </w:p>
    <w:p>
      <w:pPr>
        <w:pStyle w:val="ExampleBlock"/>
      </w:pPr>
      <w:r>
        <w:t xml:space="preserve">Draft one email to [BRAND APPROVER] linking the brief, claim-source list, rights checklist, and creator handoff. Group decisions into APPROVE, EDIT, and HOLD. Ask the approver to confirm claims, required shots, disclosures, call to action, channels, rights, and deadline. Save as a draft. Do not send or share the brief with the creator.</w:t>
      </w:r>
    </w:p>
    <w:p>
      <w:pPr>
        <w:pStyle w:val="Heading1"/>
      </w:pPr>
      <w:r>
        <w:t xml:space="preserve">08 / First 20 leads routine</w:t>
      </w:r>
    </w:p>
    <w:p>
      <w:pPr>
        <w:pStyle w:val="ExampleBlock"/>
      </w:pPr>
      <w:r>
        <w:t xml:space="preserve">Once a week, review 20 ecommerce brands in [PRODUCT CATEGORY] that already post creator-style content. Return brands with one product that has clear reviews, repeated buyer objections, and visible brief gaps. Record the public product URL, creative evidence, one mini-brief angle, likely decision-maker role, and public contact channel. Do not collect private data or send outreach.</w:t>
      </w:r>
    </w:p>
    <w:p>
      <w:pPr>
        <w:pStyle w:val="ExampleBlock"/>
      </w:pPr>
      <w:r>
        <w:t xml:space="preserve">For the five strongest prospects, draft a message under 70 words offering a one-product mini-brief with one hook, three shots, and one claim boundary. Keep every message in drafts for human review.</w:t>
      </w:r>
    </w:p>
    <w:p>
      <w:pPr>
        <w:pStyle w:val="Heading1"/>
      </w:pPr>
      <w:r>
        <w:t xml:space="preserve">09 / Failure and safety rules</w:t>
      </w:r>
    </w:p>
    <w:p>
      <w:pPr>
        <w:pStyle w:val="ListParagraph"/>
        <w:numPr>
          <w:ilvl w:val="0"/>
          <w:numId w:val="1"/>
        </w:numPr>
      </w:pPr>
      <w:r>
        <w:t xml:space="preserve">Stop when source evidence is missing, rights are unclear, the request involves sensitive or regulated claims, a creator is asked to fake experience, or a named approver is absent.</w:t>
      </w:r>
    </w:p>
    <w:p>
      <w:pPr>
        <w:pStyle w:val="ListParagraph"/>
        <w:numPr>
          <w:ilvl w:val="0"/>
          <w:numId w:val="1"/>
        </w:numPr>
      </w:pPr>
      <w:r>
        <w:t xml:space="preserve">Do not automate creator contact, contract acceptance, rights expansion, public posting, paid boosting, whitelisting, legal review, payment, or final approval.</w:t>
      </w:r>
    </w:p>
    <w:p>
      <w:pPr>
        <w:pStyle w:val="ListParagraph"/>
        <w:numPr>
          <w:ilvl w:val="0"/>
          <w:numId w:val="1"/>
        </w:numPr>
      </w:pPr>
      <w:r>
        <w:t xml:space="preserve">Log the source pack, model, run date, draft version, held claims, rights status, human approver, creator handoff date, and final filename.</w:t>
      </w:r>
    </w:p>
    <w:p>
      <w:pPr>
        <w:pStyle w:val="Heading1"/>
      </w:pPr>
      <w:r>
        <w:t xml:space="preserve">10 / Delivery standards (shared)</w:t>
      </w:r>
    </w:p>
    <w:p>
      <w:pPr>
        <w:pStyle w:val="ListParagraph"/>
        <w:numPr>
          <w:ilvl w:val="0"/>
          <w:numId w:val="1"/>
        </w:numPr>
      </w:pPr>
      <w:r>
        <w:t xml:space="preserve">This asset is for ecommerce brands;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UGC Brief Generator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AI Automation Pack</dc:title>
  <dc:creator>Side Hustle Stephen</dc:creator>
  <dc:subject>UGC Brief Generator</dc:subject>
  <dc:description>Scheduled AI-agent prompts for this service: daily lead triage, weekly prospecting, outreach drafting, follow-ups, delivery QA, weekly reporting, and proof repurposing - each ready to paste into an agent and run on a cadence with human approval.</dc:description>
</cp:coreProperties>
</file>