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Ready-to-adapt emails for outreach, intake, approvals, delivery, follow-up, and monthly refresh offers.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cafe menu refresh package idea for [business]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cafe menu refresh package. To start cleanly, please send the…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cafe menu refresh package for [business]. I included the working…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independent cafes;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cafe menu refresh package idea for [business]</w:t>
      </w:r>
    </w:p>
    <w:p>
      <w:pPr>
        <w:pStyle w:val="ExampleBlock"/>
      </w:pPr>
      <w:r>
        <w:t xml:space="preserve">Hi [Name], I noticed [specific issue]. For independent cafes, that can create friction because [customer/lead impact].</w:t>
      </w:r>
    </w:p>
    <w:p>
      <w:pPr>
        <w:pStyle w:val="ExampleBlock"/>
      </w:pPr>
      <w:r>
        <w:t xml:space="preserve">I put together a fixed-scope cafe menu refresh package that helps with menu files, specials, QR/menu links, Google details, and final export formats.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cafe menu refresh package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cafe menu refresh package. To start cleanly, please send the intake details for menu files, specials, QR/menu links, Google details, and final export formats.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cafe menu refresh package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Cafe Menu Refresh Package</dc:subject>
  <dc:description>Ready-to-adapt emails for outreach, intake, approvals, delivery, follow-up, and monthly refresh offers.</dc:description>
</cp:coreProperties>
</file>