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BrandBand"/>
      </w:pPr>
      <w:r>
        <w:t xml:space="preserve">SIDE HUSTLE STEPHEN</w:t>
      </w:r>
    </w:p>
    <w:p>
      <w:pPr>
        <w:pStyle w:val="Title"/>
      </w:pPr>
      <w:r>
        <w:t xml:space="preserve">Client Intake Form</w:t>
      </w:r>
    </w:p>
    <w:p>
      <w:pPr>
        <w:pStyle w:val="Heading2"/>
      </w:pPr>
      <w:r>
        <w:t xml:space="preserve">AI Review Repurposing Service</w:t>
      </w:r>
    </w:p>
    <w:p>
      <w:pPr>
        <w:pStyle w:val="Lead"/>
      </w:pPr>
      <w:r>
        <w:t xml:space="preserve">Editable intake questions for review platforms, reply tone, escalation rules, proof claims, and design approvals.</w:t>
      </w:r>
    </w:p>
    <w:p>
      <w:pPr>
        <w:pStyle w:val="Tagline"/>
      </w:pPr>
      <w:r>
        <w:t xml:space="preserve">Turn one customer review into replies, website proof, email copy, and social content.</w:t>
      </w:r>
    </w:p>
    <w:p>
      <w:pPr>
        <w:pBdr>
          <w:bottom w:val="single" w:sz="8" w:space="1" w:color="0A0A0A"/>
        </w:pBdr>
        <w:spacing w:before="70" w:after="210"/>
      </w:pP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2200"/>
        <w:gridCol w:w="6980"/>
      </w:tblGrid>
      <w:tr>
        <w:tc>
          <w:tcPr>
            <w:tcW w:w="2200" w:type="dxa"/>
            <w:shd w:fill="F5F3F1"/>
            <w:tcMar>
              <w:top w:w="120" w:type="dxa"/>
              <w:left w:w="150" w:type="dxa"/>
              <w:bottom w:w="120" w:type="dxa"/>
              <w:right w:w="150" w:type="dxa"/>
            </w:tcMar>
            <w:vAlign w:val="center"/>
          </w:tcPr>
          <w:p>
            <w:pPr>
              <w:pStyle w:val="TableLabel"/>
            </w:pPr>
            <w:r>
              <w:t xml:space="preserve">Buyer</w:t>
            </w:r>
          </w:p>
        </w:tc>
        <w:tc>
          <w:tcPr>
            <w:tcW w:w="6980" w:type="dxa"/>
            <w:shd w:fill="F5F3F1"/>
            <w:tcMar>
              <w:top w:w="120" w:type="dxa"/>
              <w:left w:w="150" w:type="dxa"/>
              <w:bottom w:w="120" w:type="dxa"/>
              <w:right w:w="150" w:type="dxa"/>
            </w:tcMar>
            <w:vAlign w:val="center"/>
          </w:tcPr>
          <w:p>
            <w:pPr>
              <w:pStyle w:val="TableCell"/>
            </w:pPr>
            <w:r>
              <w:t xml:space="preserve">Local businesses</w:t>
            </w:r>
          </w:p>
        </w:tc>
      </w:tr>
      <w:tr>
        <w:tc>
          <w:tcPr>
            <w:tcW w:w="2200" w:type="dxa"/>
            <w:shd w:fill="F5F3F1"/>
            <w:tcMar>
              <w:top w:w="120" w:type="dxa"/>
              <w:left w:w="150" w:type="dxa"/>
              <w:bottom w:w="120" w:type="dxa"/>
              <w:right w:w="150" w:type="dxa"/>
            </w:tcMar>
            <w:vAlign w:val="center"/>
          </w:tcPr>
          <w:p>
            <w:pPr>
              <w:pStyle w:val="TableLabel"/>
            </w:pPr>
            <w:r>
              <w:t xml:space="preserve">Category</w:t>
            </w:r>
          </w:p>
        </w:tc>
        <w:tc>
          <w:tcPr>
            <w:tcW w:w="6980" w:type="dxa"/>
            <w:tcMar>
              <w:top w:w="120" w:type="dxa"/>
              <w:left w:w="150" w:type="dxa"/>
              <w:bottom w:w="120" w:type="dxa"/>
              <w:right w:w="150" w:type="dxa"/>
            </w:tcMar>
            <w:vAlign w:val="center"/>
          </w:tcPr>
          <w:p>
            <w:pPr>
              <w:pStyle w:val="TableCell"/>
            </w:pPr>
            <w:r>
              <w:t xml:space="preserve">B2B Service</w:t>
            </w:r>
          </w:p>
        </w:tc>
      </w:tr>
      <w:tr>
        <w:tc>
          <w:tcPr>
            <w:tcW w:w="2200" w:type="dxa"/>
            <w:shd w:fill="F5F3F1"/>
            <w:tcMar>
              <w:top w:w="120" w:type="dxa"/>
              <w:left w:w="150" w:type="dxa"/>
              <w:bottom w:w="120" w:type="dxa"/>
              <w:right w:w="150" w:type="dxa"/>
            </w:tcMar>
            <w:vAlign w:val="center"/>
          </w:tcPr>
          <w:p>
            <w:pPr>
              <w:pStyle w:val="TableLabel"/>
            </w:pPr>
            <w:r>
              <w:t xml:space="preserve">Startup cost</w:t>
            </w:r>
          </w:p>
        </w:tc>
        <w:tc>
          <w:tcPr>
            <w:tcW w:w="6980" w:type="dxa"/>
            <w:shd w:fill="F5F3F1"/>
            <w:tcMar>
              <w:top w:w="120" w:type="dxa"/>
              <w:left w:w="150" w:type="dxa"/>
              <w:bottom w:w="120" w:type="dxa"/>
              <w:right w:w="150" w:type="dxa"/>
            </w:tcMar>
            <w:vAlign w:val="center"/>
          </w:tcPr>
          <w:p>
            <w:pPr>
              <w:pStyle w:val="TableCell"/>
            </w:pPr>
            <w:r>
              <w:t xml:space="preserve">$1-$50</w:t>
            </w:r>
          </w:p>
        </w:tc>
      </w:tr>
      <w:tr>
        <w:tc>
          <w:tcPr>
            <w:tcW w:w="2200" w:type="dxa"/>
            <w:shd w:fill="F5F3F1"/>
            <w:tcMar>
              <w:top w:w="120" w:type="dxa"/>
              <w:left w:w="150" w:type="dxa"/>
              <w:bottom w:w="120" w:type="dxa"/>
              <w:right w:w="150" w:type="dxa"/>
            </w:tcMar>
            <w:vAlign w:val="center"/>
          </w:tcPr>
          <w:p>
            <w:pPr>
              <w:pStyle w:val="TableLabel"/>
            </w:pPr>
            <w:r>
              <w:t xml:space="preserve">First sale</w:t>
            </w:r>
          </w:p>
        </w:tc>
        <w:tc>
          <w:tcPr>
            <w:tcW w:w="6980" w:type="dxa"/>
            <w:tcMar>
              <w:top w:w="120" w:type="dxa"/>
              <w:left w:w="150" w:type="dxa"/>
              <w:bottom w:w="120" w:type="dxa"/>
              <w:right w:w="150" w:type="dxa"/>
            </w:tcMar>
            <w:vAlign w:val="center"/>
          </w:tcPr>
          <w:p>
            <w:pPr>
              <w:pStyle w:val="TableCell"/>
            </w:pPr>
            <w:r>
              <w:t xml:space="preserve">1-7 days</w:t>
            </w:r>
          </w:p>
        </w:tc>
      </w:tr>
      <w:tr>
        <w:tc>
          <w:tcPr>
            <w:tcW w:w="2200" w:type="dxa"/>
            <w:shd w:fill="F5F3F1"/>
            <w:tcMar>
              <w:top w:w="120" w:type="dxa"/>
              <w:left w:w="150" w:type="dxa"/>
              <w:bottom w:w="120" w:type="dxa"/>
              <w:right w:w="150" w:type="dxa"/>
            </w:tcMar>
            <w:vAlign w:val="center"/>
          </w:tcPr>
          <w:p>
            <w:pPr>
              <w:pStyle w:val="TableLabel"/>
            </w:pPr>
            <w:r>
              <w:t xml:space="preserve">Difficulty</w:t>
            </w:r>
          </w:p>
        </w:tc>
        <w:tc>
          <w:tcPr>
            <w:tcW w:w="6980" w:type="dxa"/>
            <w:shd w:fill="F5F3F1"/>
            <w:tcMar>
              <w:top w:w="120" w:type="dxa"/>
              <w:left w:w="150" w:type="dxa"/>
              <w:bottom w:w="120" w:type="dxa"/>
              <w:right w:w="150" w:type="dxa"/>
            </w:tcMar>
            <w:vAlign w:val="center"/>
          </w:tcPr>
          <w:p>
            <w:pPr>
              <w:pStyle w:val="TableCell"/>
            </w:pPr>
            <w:r>
              <w:t xml:space="preserve">Easy</w:t>
            </w:r>
          </w:p>
        </w:tc>
      </w:tr>
    </w:tbl>
    <w:p>
      <w:pPr>
        <w:pStyle w:val="Kicker"/>
      </w:pPr>
      <w:r>
        <w:t xml:space="preserve">Operator standard</w:t>
      </w:r>
    </w:p>
    <w:p>
      <w:pPr>
        <w:pStyle w:val="IntenseQuote"/>
      </w:pPr>
      <w:r>
        <w:t xml:space="preserve">Use this as a working asset. Replace bracketed details with buyer-specific information, verify every sensitive fact, and keep approvals in writing.</w:t>
      </w:r>
    </w:p>
    <w:p>
      <w:pPr>
        <w:pStyle w:val="Kicker"/>
      </w:pPr>
      <w:r>
        <w:t xml:space="preserve">Launch action board</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620"/>
        <w:gridCol w:w="3960"/>
        <w:gridCol w:w="3600"/>
      </w:tblGrid>
      <w:tr>
        <w:tc>
          <w:tcPr>
            <w:tcW w:w="1620" w:type="dxa"/>
            <w:shd w:fill="0A0A0A"/>
            <w:tcMar>
              <w:top w:w="120" w:type="dxa"/>
              <w:left w:w="150" w:type="dxa"/>
              <w:bottom w:w="120" w:type="dxa"/>
              <w:right w:w="150" w:type="dxa"/>
            </w:tcMar>
            <w:vAlign w:val="center"/>
          </w:tcPr>
          <w:p>
            <w:pPr>
              <w:pStyle w:val="TableHeader"/>
            </w:pPr>
            <w:r>
              <w:t xml:space="preserve">Move</w:t>
            </w:r>
          </w:p>
        </w:tc>
        <w:tc>
          <w:tcPr>
            <w:tcW w:w="3960" w:type="dxa"/>
            <w:shd w:fill="0A0A0A"/>
            <w:tcMar>
              <w:top w:w="120" w:type="dxa"/>
              <w:left w:w="150" w:type="dxa"/>
              <w:bottom w:w="120" w:type="dxa"/>
              <w:right w:w="150" w:type="dxa"/>
            </w:tcMar>
            <w:vAlign w:val="center"/>
          </w:tcPr>
          <w:p>
            <w:pPr>
              <w:pStyle w:val="TableHeader"/>
            </w:pPr>
            <w:r>
              <w:t xml:space="preserve">What to check</w:t>
            </w:r>
          </w:p>
        </w:tc>
        <w:tc>
          <w:tcPr>
            <w:tcW w:w="3600" w:type="dxa"/>
            <w:shd w:fill="0A0A0A"/>
            <w:tcMar>
              <w:top w:w="120" w:type="dxa"/>
              <w:left w:w="150" w:type="dxa"/>
              <w:bottom w:w="120" w:type="dxa"/>
              <w:right w:w="150" w:type="dxa"/>
            </w:tcMar>
            <w:vAlign w:val="center"/>
          </w:tcPr>
          <w:p>
            <w:pPr>
              <w:pStyle w:val="TableHeader"/>
            </w:pPr>
            <w:r>
              <w:t xml:space="preserve">Output</w:t>
            </w:r>
          </w:p>
        </w:tc>
      </w:tr>
      <w:tr>
        <w:tc>
          <w:tcPr>
            <w:tcW w:w="1620" w:type="dxa"/>
            <w:shd w:fill="F5F3F1"/>
            <w:tcMar>
              <w:top w:w="120" w:type="dxa"/>
              <w:left w:w="150" w:type="dxa"/>
              <w:bottom w:w="120" w:type="dxa"/>
              <w:right w:w="150" w:type="dxa"/>
            </w:tcMar>
            <w:vAlign w:val="center"/>
          </w:tcPr>
          <w:p>
            <w:pPr>
              <w:pStyle w:val="TableCell"/>
            </w:pPr>
            <w:r>
              <w:t xml:space="preserve">1. Scope</w:t>
            </w:r>
          </w:p>
        </w:tc>
        <w:tc>
          <w:tcPr>
            <w:tcW w:w="3960" w:type="dxa"/>
            <w:shd w:fill="F5F3F1"/>
            <w:tcMar>
              <w:top w:w="120" w:type="dxa"/>
              <w:left w:w="150" w:type="dxa"/>
              <w:bottom w:w="120" w:type="dxa"/>
              <w:right w:w="150" w:type="dxa"/>
            </w:tcMar>
            <w:vAlign w:val="center"/>
          </w:tcPr>
          <w:p>
            <w:pPr>
              <w:pStyle w:val="TableCell"/>
            </w:pPr>
            <w:r>
              <w:t xml:space="preserve">Buyer, input files, sensitive claims, approval owner</w:t>
            </w:r>
          </w:p>
        </w:tc>
        <w:tc>
          <w:tcPr>
            <w:tcW w:w="3600" w:type="dxa"/>
            <w:shd w:fill="F5F3F1"/>
            <w:tcMar>
              <w:top w:w="120" w:type="dxa"/>
              <w:left w:w="150" w:type="dxa"/>
              <w:bottom w:w="120" w:type="dxa"/>
              <w:right w:w="150" w:type="dxa"/>
            </w:tcMar>
            <w:vAlign w:val="center"/>
          </w:tcPr>
          <w:p>
            <w:pPr>
              <w:pStyle w:val="TableCell"/>
            </w:pPr>
            <w:r>
              <w:t xml:space="preserve">Clean project brief</w:t>
            </w:r>
          </w:p>
        </w:tc>
      </w:tr>
      <w:tr>
        <w:tc>
          <w:tcPr>
            <w:tcW w:w="1620" w:type="dxa"/>
            <w:tcMar>
              <w:top w:w="120" w:type="dxa"/>
              <w:left w:w="150" w:type="dxa"/>
              <w:bottom w:w="120" w:type="dxa"/>
              <w:right w:w="150" w:type="dxa"/>
            </w:tcMar>
            <w:vAlign w:val="center"/>
          </w:tcPr>
          <w:p>
            <w:pPr>
              <w:pStyle w:val="TableCell"/>
            </w:pPr>
            <w:r>
              <w:t xml:space="preserve">2. Build</w:t>
            </w:r>
          </w:p>
        </w:tc>
        <w:tc>
          <w:tcPr>
            <w:tcW w:w="3960" w:type="dxa"/>
            <w:tcMar>
              <w:top w:w="120" w:type="dxa"/>
              <w:left w:w="150" w:type="dxa"/>
              <w:bottom w:w="120" w:type="dxa"/>
              <w:right w:w="150" w:type="dxa"/>
            </w:tcMar>
            <w:vAlign w:val="center"/>
          </w:tcPr>
          <w:p>
            <w:pPr>
              <w:pStyle w:val="TableCell"/>
            </w:pPr>
            <w:r>
              <w:t xml:space="preserve">Use the template, prompts, checklist, or workbook sections</w:t>
            </w:r>
          </w:p>
        </w:tc>
        <w:tc>
          <w:tcPr>
            <w:tcW w:w="3600" w:type="dxa"/>
            <w:tcMar>
              <w:top w:w="120" w:type="dxa"/>
              <w:left w:w="150" w:type="dxa"/>
              <w:bottom w:w="120" w:type="dxa"/>
              <w:right w:w="150" w:type="dxa"/>
            </w:tcMar>
            <w:vAlign w:val="center"/>
          </w:tcPr>
          <w:p>
            <w:pPr>
              <w:pStyle w:val="TableCell"/>
            </w:pPr>
            <w:r>
              <w:t xml:space="preserve">Buyer-specific asset</w:t>
            </w:r>
          </w:p>
        </w:tc>
      </w:tr>
      <w:tr>
        <w:tc>
          <w:tcPr>
            <w:tcW w:w="1620" w:type="dxa"/>
            <w:shd w:fill="F5F3F1"/>
            <w:tcMar>
              <w:top w:w="120" w:type="dxa"/>
              <w:left w:w="150" w:type="dxa"/>
              <w:bottom w:w="120" w:type="dxa"/>
              <w:right w:w="150" w:type="dxa"/>
            </w:tcMar>
            <w:vAlign w:val="center"/>
          </w:tcPr>
          <w:p>
            <w:pPr>
              <w:pStyle w:val="TableCell"/>
            </w:pPr>
            <w:r>
              <w:t xml:space="preserve">3. Approve</w:t>
            </w:r>
          </w:p>
        </w:tc>
        <w:tc>
          <w:tcPr>
            <w:tcW w:w="3960" w:type="dxa"/>
            <w:shd w:fill="F5F3F1"/>
            <w:tcMar>
              <w:top w:w="120" w:type="dxa"/>
              <w:left w:w="150" w:type="dxa"/>
              <w:bottom w:w="120" w:type="dxa"/>
              <w:right w:w="150" w:type="dxa"/>
            </w:tcMar>
            <w:vAlign w:val="center"/>
          </w:tcPr>
          <w:p>
            <w:pPr>
              <w:pStyle w:val="TableCell"/>
            </w:pPr>
            <w:r>
              <w:t xml:space="preserve">Facts, prices, dates, links, policies, and public claims</w:t>
            </w:r>
          </w:p>
        </w:tc>
        <w:tc>
          <w:tcPr>
            <w:tcW w:w="3600" w:type="dxa"/>
            <w:shd w:fill="F5F3F1"/>
            <w:tcMar>
              <w:top w:w="120" w:type="dxa"/>
              <w:left w:w="150" w:type="dxa"/>
              <w:bottom w:w="120" w:type="dxa"/>
              <w:right w:w="150" w:type="dxa"/>
            </w:tcMar>
            <w:vAlign w:val="center"/>
          </w:tcPr>
          <w:p>
            <w:pPr>
              <w:pStyle w:val="TableCell"/>
            </w:pPr>
            <w:r>
              <w:t xml:space="preserve">Approved final version</w:t>
            </w:r>
          </w:p>
        </w:tc>
      </w:tr>
      <w:tr>
        <w:tc>
          <w:tcPr>
            <w:tcW w:w="1620" w:type="dxa"/>
            <w:tcMar>
              <w:top w:w="120" w:type="dxa"/>
              <w:left w:w="150" w:type="dxa"/>
              <w:bottom w:w="120" w:type="dxa"/>
              <w:right w:w="150" w:type="dxa"/>
            </w:tcMar>
            <w:vAlign w:val="center"/>
          </w:tcPr>
          <w:p>
            <w:pPr>
              <w:pStyle w:val="TableCell"/>
            </w:pPr>
            <w:r>
              <w:t xml:space="preserve">4. Follow up</w:t>
            </w:r>
          </w:p>
        </w:tc>
        <w:tc>
          <w:tcPr>
            <w:tcW w:w="3960" w:type="dxa"/>
            <w:tcMar>
              <w:top w:w="120" w:type="dxa"/>
              <w:left w:w="150" w:type="dxa"/>
              <w:bottom w:w="120" w:type="dxa"/>
              <w:right w:w="150" w:type="dxa"/>
            </w:tcMar>
            <w:vAlign w:val="center"/>
          </w:tcPr>
          <w:p>
            <w:pPr>
              <w:pStyle w:val="TableCell"/>
            </w:pPr>
            <w:r>
              <w:t xml:space="preserve">Next refresh, retainer, or second sprint</w:t>
            </w:r>
          </w:p>
        </w:tc>
        <w:tc>
          <w:tcPr>
            <w:tcW w:w="3600" w:type="dxa"/>
            <w:tcMar>
              <w:top w:w="120" w:type="dxa"/>
              <w:left w:w="150" w:type="dxa"/>
              <w:bottom w:w="120" w:type="dxa"/>
              <w:right w:w="150" w:type="dxa"/>
            </w:tcMar>
            <w:vAlign w:val="center"/>
          </w:tcPr>
          <w:p>
            <w:pPr>
              <w:pStyle w:val="TableCell"/>
            </w:pPr>
            <w:r>
              <w:t xml:space="preserve">Clear paid next step</w:t>
            </w:r>
          </w:p>
        </w:tc>
      </w:tr>
    </w:tbl>
    <w:p>
      <w:pPr>
        <w:pStyle w:val="Kicker"/>
      </w:pPr>
      <w:r>
        <w:t xml:space="preserve">In this document</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180"/>
        <w:gridCol w:w="7940"/>
      </w:tblGrid>
      <w:tr>
        <w:tc>
          <w:tcPr>
            <w:tcW w:w="1180" w:type="dxa"/>
            <w:shd w:fill="0A0A0A"/>
            <w:tcMar>
              <w:top w:w="120" w:type="dxa"/>
              <w:left w:w="150" w:type="dxa"/>
              <w:bottom w:w="120" w:type="dxa"/>
              <w:right w:w="150" w:type="dxa"/>
            </w:tcMar>
            <w:vAlign w:val="center"/>
          </w:tcPr>
          <w:p>
            <w:pPr>
              <w:pStyle w:val="TableHeader"/>
            </w:pPr>
            <w:r>
              <w:t xml:space="preserve">Section</w:t>
            </w:r>
          </w:p>
        </w:tc>
        <w:tc>
          <w:tcPr>
            <w:tcW w:w="7940" w:type="dxa"/>
            <w:shd w:fill="0A0A0A"/>
            <w:tcMar>
              <w:top w:w="120" w:type="dxa"/>
              <w:left w:w="150" w:type="dxa"/>
              <w:bottom w:w="120" w:type="dxa"/>
              <w:right w:w="150" w:type="dxa"/>
            </w:tcMar>
            <w:vAlign w:val="center"/>
          </w:tcPr>
          <w:p>
            <w:pPr>
              <w:pStyle w:val="TableHeader"/>
            </w:pPr>
            <w:r>
              <w:t xml:space="preserve">What it covers</w:t>
            </w:r>
          </w:p>
        </w:tc>
      </w:tr>
      <w:tr>
        <w:tc>
          <w:tcPr>
            <w:tcW w:w="1180" w:type="dxa"/>
            <w:shd w:fill="F5F3F1"/>
            <w:tcMar>
              <w:top w:w="120" w:type="dxa"/>
              <w:left w:w="150" w:type="dxa"/>
              <w:bottom w:w="120" w:type="dxa"/>
              <w:right w:w="150" w:type="dxa"/>
            </w:tcMar>
            <w:vAlign w:val="center"/>
          </w:tcPr>
          <w:p>
            <w:pPr>
              <w:pStyle w:val="TableCell"/>
            </w:pPr>
            <w:r>
              <w:t xml:space="preserve">01</w:t>
            </w:r>
          </w:p>
        </w:tc>
        <w:tc>
          <w:tcPr>
            <w:tcW w:w="7940" w:type="dxa"/>
            <w:shd w:fill="F5F3F1"/>
            <w:tcMar>
              <w:top w:w="120" w:type="dxa"/>
              <w:left w:w="150" w:type="dxa"/>
              <w:bottom w:w="120" w:type="dxa"/>
              <w:right w:w="150" w:type="dxa"/>
            </w:tcMar>
            <w:vAlign w:val="center"/>
          </w:tcPr>
          <w:p>
            <w:pPr>
              <w:pStyle w:val="TableCell"/>
            </w:pPr>
            <w:r>
              <w:t xml:space="preserve">The simplest reliable stack - Review source: the client's approved Google Business Profile, Facebook page, marketplace…</w:t>
            </w:r>
          </w:p>
        </w:tc>
      </w:tr>
      <w:tr>
        <w:tc>
          <w:tcPr>
            <w:tcW w:w="1180" w:type="dxa"/>
            <w:tcMar>
              <w:top w:w="120" w:type="dxa"/>
              <w:left w:w="150" w:type="dxa"/>
              <w:bottom w:w="120" w:type="dxa"/>
              <w:right w:w="150" w:type="dxa"/>
            </w:tcMar>
            <w:vAlign w:val="center"/>
          </w:tcPr>
          <w:p>
            <w:pPr>
              <w:pStyle w:val="TableCell"/>
            </w:pPr>
            <w:r>
              <w:t xml:space="preserve">02</w:t>
            </w:r>
          </w:p>
        </w:tc>
        <w:tc>
          <w:tcPr>
            <w:tcW w:w="7940" w:type="dxa"/>
            <w:tcMar>
              <w:top w:w="120" w:type="dxa"/>
              <w:left w:w="150" w:type="dxa"/>
              <w:bottom w:w="120" w:type="dxa"/>
              <w:right w:w="150" w:type="dxa"/>
            </w:tcMar>
            <w:vAlign w:val="center"/>
          </w:tcPr>
          <w:p>
            <w:pPr>
              <w:pStyle w:val="TableCell"/>
            </w:pPr>
            <w:r>
              <w:t xml:space="preserve">Minimum viable weekly loop - 1. Collect: import only new reviews from the agreed public sources or client export.</w:t>
            </w:r>
          </w:p>
        </w:tc>
      </w:tr>
      <w:tr>
        <w:tc>
          <w:tcPr>
            <w:tcW w:w="1180" w:type="dxa"/>
            <w:shd w:fill="F5F3F1"/>
            <w:tcMar>
              <w:top w:w="120" w:type="dxa"/>
              <w:left w:w="150" w:type="dxa"/>
              <w:bottom w:w="120" w:type="dxa"/>
              <w:right w:w="150" w:type="dxa"/>
            </w:tcMar>
            <w:vAlign w:val="center"/>
          </w:tcPr>
          <w:p>
            <w:pPr>
              <w:pStyle w:val="TableCell"/>
            </w:pPr>
            <w:r>
              <w:t xml:space="preserve">03</w:t>
            </w:r>
          </w:p>
        </w:tc>
        <w:tc>
          <w:tcPr>
            <w:tcW w:w="7940" w:type="dxa"/>
            <w:shd w:fill="F5F3F1"/>
            <w:tcMar>
              <w:top w:w="120" w:type="dxa"/>
              <w:left w:w="150" w:type="dxa"/>
              <w:bottom w:w="120" w:type="dxa"/>
              <w:right w:w="150" w:type="dxa"/>
            </w:tcMar>
            <w:vAlign w:val="center"/>
          </w:tcPr>
          <w:p>
            <w:pPr>
              <w:pStyle w:val="TableCell"/>
            </w:pPr>
            <w:r>
              <w:t xml:space="preserve">Scheduled review sweep prompt - Review the new items in [APPROVED REVIEW EXPORT OR LINKS] for [BUSINESS]. Return one row…</w:t>
            </w:r>
          </w:p>
        </w:tc>
      </w:tr>
      <w:tr>
        <w:tc>
          <w:tcPr>
            <w:tcW w:w="1180" w:type="dxa"/>
            <w:tcMar>
              <w:top w:w="120" w:type="dxa"/>
              <w:left w:w="150" w:type="dxa"/>
              <w:bottom w:w="120" w:type="dxa"/>
              <w:right w:w="150" w:type="dxa"/>
            </w:tcMar>
            <w:vAlign w:val="center"/>
          </w:tcPr>
          <w:p>
            <w:pPr>
              <w:pStyle w:val="TableCell"/>
            </w:pPr>
            <w:r>
              <w:t xml:space="preserve">04</w:t>
            </w:r>
          </w:p>
        </w:tc>
        <w:tc>
          <w:tcPr>
            <w:tcW w:w="7940" w:type="dxa"/>
            <w:tcMar>
              <w:top w:w="120" w:type="dxa"/>
              <w:left w:w="150" w:type="dxa"/>
              <w:bottom w:w="120" w:type="dxa"/>
              <w:right w:w="150" w:type="dxa"/>
            </w:tcMar>
            <w:vAlign w:val="center"/>
          </w:tcPr>
          <w:p>
            <w:pPr>
              <w:pStyle w:val="TableCell"/>
            </w:pPr>
            <w:r>
              <w:t xml:space="preserve">Exact-quote and permission gate - Compare every proposed testimonial line against its source review. Return PASS only when…</w:t>
            </w:r>
          </w:p>
        </w:tc>
      </w:tr>
      <w:tr>
        <w:tc>
          <w:tcPr>
            <w:tcW w:w="1180" w:type="dxa"/>
            <w:shd w:fill="F5F3F1"/>
            <w:tcMar>
              <w:top w:w="120" w:type="dxa"/>
              <w:left w:w="150" w:type="dxa"/>
              <w:bottom w:w="120" w:type="dxa"/>
              <w:right w:w="150" w:type="dxa"/>
            </w:tcMar>
            <w:vAlign w:val="center"/>
          </w:tcPr>
          <w:p>
            <w:pPr>
              <w:pStyle w:val="TableCell"/>
            </w:pPr>
            <w:r>
              <w:t xml:space="preserve">05</w:t>
            </w:r>
          </w:p>
        </w:tc>
        <w:tc>
          <w:tcPr>
            <w:tcW w:w="7940" w:type="dxa"/>
            <w:shd w:fill="F5F3F1"/>
            <w:tcMar>
              <w:top w:w="120" w:type="dxa"/>
              <w:left w:w="150" w:type="dxa"/>
              <w:bottom w:w="120" w:type="dxa"/>
              <w:right w:w="150" w:type="dxa"/>
            </w:tcMar>
            <w:vAlign w:val="center"/>
          </w:tcPr>
          <w:p>
            <w:pPr>
              <w:pStyle w:val="TableCell"/>
            </w:pPr>
            <w:r>
              <w:t xml:space="preserve">Monthly content pack prompt - Using only the rows marked APPROVED in [CONTROL SHEET], prepare this month's client pack…</w:t>
            </w:r>
          </w:p>
        </w:tc>
      </w:tr>
      <w:tr>
        <w:tc>
          <w:tcPr>
            <w:tcW w:w="1180" w:type="dxa"/>
            <w:tcMar>
              <w:top w:w="120" w:type="dxa"/>
              <w:left w:w="150" w:type="dxa"/>
              <w:bottom w:w="120" w:type="dxa"/>
              <w:right w:w="150" w:type="dxa"/>
            </w:tcMar>
            <w:vAlign w:val="center"/>
          </w:tcPr>
          <w:p>
            <w:pPr>
              <w:pStyle w:val="TableCell"/>
            </w:pPr>
            <w:r>
              <w:t xml:space="preserve">06</w:t>
            </w:r>
          </w:p>
        </w:tc>
        <w:tc>
          <w:tcPr>
            <w:tcW w:w="7940" w:type="dxa"/>
            <w:tcMar>
              <w:top w:w="120" w:type="dxa"/>
              <w:left w:w="150" w:type="dxa"/>
              <w:bottom w:w="120" w:type="dxa"/>
              <w:right w:w="150" w:type="dxa"/>
            </w:tcMar>
            <w:vAlign w:val="center"/>
          </w:tcPr>
          <w:p>
            <w:pPr>
              <w:pStyle w:val="TableCell"/>
            </w:pPr>
            <w:r>
              <w:t xml:space="preserve">Approval email draft - Draft one email to [APPROVAL OWNER] linking the review log and content pack. Group items…</w:t>
            </w:r>
          </w:p>
        </w:tc>
      </w:tr>
      <w:tr>
        <w:tc>
          <w:tcPr>
            <w:tcW w:w="1180" w:type="dxa"/>
            <w:shd w:fill="F5F3F1"/>
            <w:tcMar>
              <w:top w:w="120" w:type="dxa"/>
              <w:left w:w="150" w:type="dxa"/>
              <w:bottom w:w="120" w:type="dxa"/>
              <w:right w:w="150" w:type="dxa"/>
            </w:tcMar>
            <w:vAlign w:val="center"/>
          </w:tcPr>
          <w:p>
            <w:pPr>
              <w:pStyle w:val="TableCell"/>
            </w:pPr>
            <w:r>
              <w:t xml:space="preserve">07</w:t>
            </w:r>
          </w:p>
        </w:tc>
        <w:tc>
          <w:tcPr>
            <w:tcW w:w="7940" w:type="dxa"/>
            <w:shd w:fill="F5F3F1"/>
            <w:tcMar>
              <w:top w:w="120" w:type="dxa"/>
              <w:left w:w="150" w:type="dxa"/>
              <w:bottom w:w="120" w:type="dxa"/>
              <w:right w:w="150" w:type="dxa"/>
            </w:tcMar>
            <w:vAlign w:val="center"/>
          </w:tcPr>
          <w:p>
            <w:pPr>
              <w:pStyle w:val="TableCell"/>
            </w:pPr>
            <w:r>
              <w:t xml:space="preserve">First 20 leads routine - Once a week, review 20 public local-business profiles in [AREA OR NICHE]. Return only…</w:t>
            </w:r>
          </w:p>
        </w:tc>
      </w:tr>
      <w:tr>
        <w:tc>
          <w:tcPr>
            <w:tcW w:w="1180" w:type="dxa"/>
            <w:tcMar>
              <w:top w:w="120" w:type="dxa"/>
              <w:left w:w="150" w:type="dxa"/>
              <w:bottom w:w="120" w:type="dxa"/>
              <w:right w:w="150" w:type="dxa"/>
            </w:tcMar>
            <w:vAlign w:val="center"/>
          </w:tcPr>
          <w:p>
            <w:pPr>
              <w:pStyle w:val="TableCell"/>
            </w:pPr>
            <w:r>
              <w:t xml:space="preserve">08</w:t>
            </w:r>
          </w:p>
        </w:tc>
        <w:tc>
          <w:tcPr>
            <w:tcW w:w="7940" w:type="dxa"/>
            <w:tcMar>
              <w:top w:w="120" w:type="dxa"/>
              <w:left w:w="150" w:type="dxa"/>
              <w:bottom w:w="120" w:type="dxa"/>
              <w:right w:w="150" w:type="dxa"/>
            </w:tcMar>
            <w:vAlign w:val="center"/>
          </w:tcPr>
          <w:p>
            <w:pPr>
              <w:pStyle w:val="TableCell"/>
            </w:pPr>
            <w:r>
              <w:t xml:space="preserve">Failure and safety rules - Stop when the review source cannot be verified, wording is ambiguous, a complaint includes…</w:t>
            </w:r>
          </w:p>
        </w:tc>
      </w:tr>
      <w:tr>
        <w:tc>
          <w:tcPr>
            <w:tcW w:w="1180" w:type="dxa"/>
            <w:shd w:fill="F5F3F1"/>
            <w:tcMar>
              <w:top w:w="120" w:type="dxa"/>
              <w:left w:w="150" w:type="dxa"/>
              <w:bottom w:w="120" w:type="dxa"/>
              <w:right w:w="150" w:type="dxa"/>
            </w:tcMar>
            <w:vAlign w:val="center"/>
          </w:tcPr>
          <w:p>
            <w:pPr>
              <w:pStyle w:val="TableCell"/>
            </w:pPr>
            <w:r>
              <w:t xml:space="preserve">09</w:t>
            </w:r>
          </w:p>
        </w:tc>
        <w:tc>
          <w:tcPr>
            <w:tcW w:w="7940" w:type="dxa"/>
            <w:shd w:fill="F5F3F1"/>
            <w:tcMar>
              <w:top w:w="120" w:type="dxa"/>
              <w:left w:w="150" w:type="dxa"/>
              <w:bottom w:w="120" w:type="dxa"/>
              <w:right w:w="150" w:type="dxa"/>
            </w:tcMar>
            <w:vAlign w:val="center"/>
          </w:tcPr>
          <w:p>
            <w:pPr>
              <w:pStyle w:val="TableCell"/>
            </w:pPr>
            <w:r>
              <w:t xml:space="preserve">Delivery standards (shared) - This asset is for local businesses; replace bracketed fields with their specifics before…</w:t>
            </w:r>
          </w:p>
        </w:tc>
      </w:tr>
    </w:tbl>
    <w:p>
      <w:pPr>
        <w:pStyle w:val="Heading3"/>
      </w:pPr>
      <w:r>
        <w:t xml:space="preserve">Before sending</w:t>
      </w:r>
    </w:p>
    <w:p>
      <w:pPr>
        <w:pStyle w:val="Checklist"/>
      </w:pPr>
      <w:r>
        <w:t xml:space="preserve">[ ]  Replace bracketed fields.</w:t>
      </w:r>
    </w:p>
    <w:p>
      <w:pPr>
        <w:pStyle w:val="Checklist"/>
      </w:pPr>
      <w:r>
        <w:t xml:space="preserve">[ ]  Verify facts and claims.</w:t>
      </w:r>
    </w:p>
    <w:p>
      <w:pPr>
        <w:pStyle w:val="Checklist"/>
      </w:pPr>
      <w:r>
        <w:t xml:space="preserve">[ ]  Send for approval before publishing.</w:t>
      </w:r>
    </w:p>
    <w:p>
      <w:pPr>
        <w:pStyle w:val="Heading1"/>
      </w:pPr>
      <w:r>
        <w:t xml:space="preserve">01 / The simplest reliable stack</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3000"/>
        <w:gridCol w:w="6180"/>
      </w:tblGrid>
      <w:tr>
        <w:tc>
          <w:tcPr>
            <w:tcW w:w="3000" w:type="dxa"/>
            <w:shd w:fill="0A0A0A"/>
            <w:tcMar>
              <w:top w:w="120" w:type="dxa"/>
              <w:left w:w="150" w:type="dxa"/>
              <w:bottom w:w="120" w:type="dxa"/>
              <w:right w:w="150" w:type="dxa"/>
            </w:tcMar>
            <w:vAlign w:val="center"/>
          </w:tcPr>
          <w:p>
            <w:pPr>
              <w:pStyle w:val="TableHeader"/>
            </w:pPr>
            <w:r>
              <w:t xml:space="preserve">Field</w:t>
            </w:r>
          </w:p>
        </w:tc>
        <w:tc>
          <w:tcPr>
            <w:tcW w:w="6180" w:type="dxa"/>
            <w:shd w:fill="0A0A0A"/>
            <w:tcMar>
              <w:top w:w="120" w:type="dxa"/>
              <w:left w:w="150" w:type="dxa"/>
              <w:bottom w:w="120" w:type="dxa"/>
              <w:right w:w="150" w:type="dxa"/>
            </w:tcMar>
            <w:vAlign w:val="center"/>
          </w:tcPr>
          <w:p>
            <w:pPr>
              <w:pStyle w:val="TableHeader"/>
            </w:pPr>
            <w:r>
              <w:t xml:space="preserve">Detail</w:t>
            </w:r>
          </w:p>
        </w:tc>
      </w:tr>
      <w:tr>
        <w:tc>
          <w:tcPr>
            <w:tcW w:w="3000" w:type="dxa"/>
            <w:shd w:fill="F5F3F1"/>
            <w:tcMar>
              <w:top w:w="120" w:type="dxa"/>
              <w:left w:w="150" w:type="dxa"/>
              <w:bottom w:w="120" w:type="dxa"/>
              <w:right w:w="150" w:type="dxa"/>
            </w:tcMar>
            <w:vAlign w:val="center"/>
          </w:tcPr>
          <w:p>
            <w:pPr>
              <w:pStyle w:val="TableLabel"/>
            </w:pPr>
            <w:r>
              <w:t xml:space="preserve">Review source</w:t>
            </w:r>
          </w:p>
        </w:tc>
        <w:tc>
          <w:tcPr>
            <w:tcW w:w="6180" w:type="dxa"/>
            <w:shd w:fill="F5F3F1"/>
            <w:tcMar>
              <w:top w:w="120" w:type="dxa"/>
              <w:left w:w="150" w:type="dxa"/>
              <w:bottom w:w="120" w:type="dxa"/>
              <w:right w:w="150" w:type="dxa"/>
            </w:tcMar>
            <w:vAlign w:val="center"/>
          </w:tcPr>
          <w:p>
            <w:pPr>
              <w:pStyle w:val="TableCell"/>
            </w:pPr>
            <w:r>
              <w:t xml:space="preserve">the client's approved Google Business Profile, Facebook page, marketplace profile, or exported review list.</w:t>
            </w:r>
          </w:p>
        </w:tc>
      </w:tr>
      <w:tr>
        <w:tc>
          <w:tcPr>
            <w:tcW w:w="3000" w:type="dxa"/>
            <w:shd w:fill="F5F3F1"/>
            <w:tcMar>
              <w:top w:w="120" w:type="dxa"/>
              <w:left w:w="150" w:type="dxa"/>
              <w:bottom w:w="120" w:type="dxa"/>
              <w:right w:w="150" w:type="dxa"/>
            </w:tcMar>
            <w:vAlign w:val="center"/>
          </w:tcPr>
          <w:p>
            <w:pPr>
              <w:pStyle w:val="TableLabel"/>
            </w:pPr>
            <w:r>
              <w:t xml:space="preserve">Control sheet</w:t>
            </w:r>
          </w:p>
        </w:tc>
        <w:tc>
          <w:tcPr>
            <w:tcW w:w="6180" w:type="dxa"/>
            <w:tcMar>
              <w:top w:w="120" w:type="dxa"/>
              <w:left w:w="150" w:type="dxa"/>
              <w:bottom w:w="120" w:type="dxa"/>
              <w:right w:w="150" w:type="dxa"/>
            </w:tcMar>
            <w:vAlign w:val="center"/>
          </w:tcPr>
          <w:p>
            <w:pPr>
              <w:pStyle w:val="TableCell"/>
            </w:pPr>
            <w:r>
              <w:t xml:space="preserve">one row per review with source URL, date, rating, sentiment, reply status, escalation status, exact quote, approved use, and final asset links.</w:t>
            </w:r>
          </w:p>
        </w:tc>
      </w:tr>
      <w:tr>
        <w:tc>
          <w:tcPr>
            <w:tcW w:w="3000" w:type="dxa"/>
            <w:shd w:fill="F5F3F1"/>
            <w:tcMar>
              <w:top w:w="120" w:type="dxa"/>
              <w:left w:w="150" w:type="dxa"/>
              <w:bottom w:w="120" w:type="dxa"/>
              <w:right w:w="150" w:type="dxa"/>
            </w:tcMar>
            <w:vAlign w:val="center"/>
          </w:tcPr>
          <w:p>
            <w:pPr>
              <w:pStyle w:val="TableLabel"/>
            </w:pPr>
            <w:r>
              <w:t xml:space="preserve">Production</w:t>
            </w:r>
          </w:p>
        </w:tc>
        <w:tc>
          <w:tcPr>
            <w:tcW w:w="6180" w:type="dxa"/>
            <w:shd w:fill="F5F3F1"/>
            <w:tcMar>
              <w:top w:w="120" w:type="dxa"/>
              <w:left w:w="150" w:type="dxa"/>
              <w:bottom w:w="120" w:type="dxa"/>
              <w:right w:w="150" w:type="dxa"/>
            </w:tcMar>
            <w:vAlign w:val="center"/>
          </w:tcPr>
          <w:p>
            <w:pPr>
              <w:pStyle w:val="TableCell"/>
            </w:pPr>
            <w:r>
              <w:t xml:space="preserve">one reply template library and one original Canva system for square, story, website, and email proof blocks.</w:t>
            </w:r>
          </w:p>
        </w:tc>
      </w:tr>
      <w:tr>
        <w:tc>
          <w:tcPr>
            <w:tcW w:w="3000" w:type="dxa"/>
            <w:shd w:fill="F5F3F1"/>
            <w:tcMar>
              <w:top w:w="120" w:type="dxa"/>
              <w:left w:w="150" w:type="dxa"/>
              <w:bottom w:w="120" w:type="dxa"/>
              <w:right w:w="150" w:type="dxa"/>
            </w:tcMar>
            <w:vAlign w:val="center"/>
          </w:tcPr>
          <w:p>
            <w:pPr>
              <w:pStyle w:val="TableLabel"/>
            </w:pPr>
            <w:r>
              <w:t xml:space="preserve">Automation</w:t>
            </w:r>
          </w:p>
        </w:tc>
        <w:tc>
          <w:tcPr>
            <w:tcW w:w="6180" w:type="dxa"/>
            <w:tcMar>
              <w:top w:w="120" w:type="dxa"/>
              <w:left w:w="150" w:type="dxa"/>
              <w:bottom w:w="120" w:type="dxa"/>
              <w:right w:w="150" w:type="dxa"/>
            </w:tcMar>
            <w:vAlign w:val="center"/>
          </w:tcPr>
          <w:p>
            <w:pPr>
              <w:pStyle w:val="TableCell"/>
            </w:pPr>
            <w:r>
              <w:t xml:space="preserve">a scheduled AI routine can classify, draft, extract, and bundle. A named human still approves every public reply and proof asset before use.</w:t>
            </w:r>
          </w:p>
        </w:tc>
      </w:tr>
    </w:tbl>
    <w:p>
      <w:pPr>
        <w:pStyle w:val="Heading1"/>
      </w:pPr>
      <w:r>
        <w:t xml:space="preserve">02 / Minimum viable weekly loop</w:t>
      </w:r>
    </w:p>
    <w:p>
      <w:pPr>
        <w:pStyle w:val="ListParagraph"/>
        <w:numPr>
          <w:ilvl w:val="0"/>
          <w:numId w:val="1"/>
        </w:numPr>
      </w:pPr>
      <w:r>
        <w:t xml:space="preserve">1. Collect: import only new reviews from the agreed public sources or client export.</w:t>
      </w:r>
    </w:p>
    <w:p>
      <w:pPr>
        <w:pStyle w:val="ListParagraph"/>
        <w:numPr>
          <w:ilvl w:val="0"/>
          <w:numId w:val="1"/>
        </w:numPr>
      </w:pPr>
      <w:r>
        <w:t xml:space="preserve">2. Classify: mark positive, neutral, routine negative, or escalate before drafting.</w:t>
      </w:r>
    </w:p>
    <w:p>
      <w:pPr>
        <w:pStyle w:val="ListParagraph"/>
        <w:numPr>
          <w:ilvl w:val="0"/>
          <w:numId w:val="1"/>
        </w:numPr>
      </w:pPr>
      <w:r>
        <w:t xml:space="preserve">3. Draft: prepare a short owner-voice reply using only approved business facts.</w:t>
      </w:r>
    </w:p>
    <w:p>
      <w:pPr>
        <w:pStyle w:val="ListParagraph"/>
        <w:numPr>
          <w:ilvl w:val="0"/>
          <w:numId w:val="1"/>
        </w:numPr>
      </w:pPr>
      <w:r>
        <w:t xml:space="preserve">4. Extract: copy the strongest customer phrase exactly and retain its source URL.</w:t>
      </w:r>
    </w:p>
    <w:p>
      <w:pPr>
        <w:pStyle w:val="ListParagraph"/>
        <w:numPr>
          <w:ilvl w:val="0"/>
          <w:numId w:val="1"/>
        </w:numPr>
      </w:pPr>
      <w:r>
        <w:t xml:space="preserve">5. Gate: stop on privacy, safety, medical, legal, discrimination, refund, staff, or disputed-fact issues.</w:t>
      </w:r>
    </w:p>
    <w:p>
      <w:pPr>
        <w:pStyle w:val="ListParagraph"/>
        <w:numPr>
          <w:ilvl w:val="0"/>
          <w:numId w:val="1"/>
        </w:numPr>
      </w:pPr>
      <w:r>
        <w:t xml:space="preserve">6. Approve: send one batch to the named owner for reply and testimonial-use approval.</w:t>
      </w:r>
    </w:p>
    <w:p>
      <w:pPr>
        <w:pStyle w:val="ListParagraph"/>
        <w:numPr>
          <w:ilvl w:val="0"/>
          <w:numId w:val="1"/>
        </w:numPr>
      </w:pPr>
      <w:r>
        <w:t xml:space="preserve">7. Package: map approved wording into social, website, email, and sales-graphic copy blocks.</w:t>
      </w:r>
    </w:p>
    <w:p>
      <w:pPr>
        <w:pStyle w:val="Heading1"/>
      </w:pPr>
      <w:r>
        <w:t xml:space="preserve">03 / Scheduled review sweep prompt</w:t>
      </w:r>
    </w:p>
    <w:p>
      <w:pPr>
        <w:pStyle w:val="ExampleBlock"/>
      </w:pPr>
      <w:r>
        <w:t xml:space="preserve">Review the new items in [APPROVED REVIEW EXPORT OR LINKS] for [BUSINESS]. Return one row per review with source URL, review date, rating, sentiment, reply priority, sensitive-risk flag, short reply draft, exact customer quote worth reusing, and suggested proof format. Use only words and facts present in the review or approved business brief. Do not browse for private information, invent context, post replies, contact reviewers, or create unsupported claims. Mark legal, medical, safety, discrimination, privacy, staff, refund, threat, or disputed-fact content ESCALATE and provide no public reply beyond a neutral owner-review note.</w:t>
      </w:r>
    </w:p>
    <w:p>
      <w:pPr>
        <w:pStyle w:val="Heading1"/>
      </w:pPr>
      <w:r>
        <w:t xml:space="preserve">04 / Exact-quote and permission gate</w:t>
      </w:r>
    </w:p>
    <w:p>
      <w:pPr>
        <w:pStyle w:val="ListParagraph"/>
        <w:numPr>
          <w:ilvl w:val="0"/>
          <w:numId w:val="1"/>
        </w:numPr>
      </w:pPr>
      <w:r>
        <w:t xml:space="preserve">Compare every proposed testimonial line against its source review. Return PASS only when the wording is exact or clearly marked as an owner-approved edit.</w:t>
      </w:r>
    </w:p>
    <w:p>
      <w:pPr>
        <w:pStyle w:val="ListParagraph"/>
        <w:numPr>
          <w:ilvl w:val="0"/>
          <w:numId w:val="1"/>
        </w:numPr>
      </w:pPr>
      <w:r>
        <w:t xml:space="preserve">Record the source URL, reviewer display name as allowed by platform rules, original wording, proposed crop, context kept, intended channel, and owner approval status.</w:t>
      </w:r>
    </w:p>
    <w:p>
      <w:pPr>
        <w:pStyle w:val="ListParagraph"/>
        <w:numPr>
          <w:ilvl w:val="0"/>
          <w:numId w:val="1"/>
        </w:numPr>
      </w:pPr>
      <w:r>
        <w:t xml:space="preserve">Do not shorten wording in a way that changes meaning. Do not imply a result, timeframe, product, location, or customer identity that the review does not support.</w:t>
      </w:r>
    </w:p>
    <w:p>
      <w:pPr>
        <w:pStyle w:val="ListParagraph"/>
        <w:numPr>
          <w:ilvl w:val="0"/>
          <w:numId w:val="1"/>
        </w:numPr>
      </w:pPr>
      <w:r>
        <w:t xml:space="preserve">Hold every proof asset until the owner confirms the business can reuse the review and approves the final wording and design context.</w:t>
      </w:r>
    </w:p>
    <w:p>
      <w:pPr>
        <w:pStyle w:val="Heading1"/>
      </w:pPr>
      <w:r>
        <w:t xml:space="preserve">05 / Monthly content pack prompt</w:t>
      </w:r>
    </w:p>
    <w:p>
      <w:pPr>
        <w:pStyle w:val="ExampleBlock"/>
      </w:pPr>
      <w:r>
        <w:t xml:space="preserve">Using only the rows marked APPROVED in [CONTROL SHEET], prepare this month's client pack. Include the approved reply drafts, five strongest exact quotes, four social captions, four website proof blocks, four email proof lines, and Canva-ready copy for square and story cards. Label each item with its source URL and approval record. Do not reuse held, disputed, sensitive, or unapproved material. End with an activity summary showing reviews processed, replies approved, items escalated, and proof blocks produced. Do not claim rating, ranking, lead, booking, or revenue impact.</w:t>
      </w:r>
    </w:p>
    <w:p>
      <w:pPr>
        <w:pStyle w:val="Heading1"/>
      </w:pPr>
      <w:r>
        <w:t xml:space="preserve">06 / Approval email draft</w:t>
      </w:r>
    </w:p>
    <w:p>
      <w:pPr>
        <w:pStyle w:val="ExampleBlock"/>
      </w:pPr>
      <w:r>
        <w:t xml:space="preserve">Draft one email to [APPROVAL OWNER] linking the review log and content pack. Group items into APPROVE, EDIT, and HOLD. List sensitive items separately with no recommendation beyond owner review. Ask the owner to confirm the reply wording, testimonial-use permission, business facts, design context, and channels before anything is posted. Save as a draft and do not send.</w:t>
      </w:r>
    </w:p>
    <w:p>
      <w:pPr>
        <w:pStyle w:val="Heading1"/>
      </w:pPr>
      <w:r>
        <w:t xml:space="preserve">07 / First 20 leads routine</w:t>
      </w:r>
    </w:p>
    <w:p>
      <w:pPr>
        <w:pStyle w:val="ExampleBlock"/>
      </w:pPr>
      <w:r>
        <w:t xml:space="preserve">Once a week, review 20 public local-business profiles in [AREA OR NICHE]. Return only businesses with strong recent reviews plus visible reply gaps or unused proof. For each, record the public profile URL, two specific observations, one safe three-review sample angle, and the best public contact channel. Do not collect private data or send outreach.</w:t>
      </w:r>
    </w:p>
    <w:p>
      <w:pPr>
        <w:pStyle w:val="ExampleBlock"/>
      </w:pPr>
      <w:r>
        <w:t xml:space="preserve">For the five strongest prospects, draft a message under 70 words offering a three-review sample. Mention one real visible pattern, not AI. Keep every message in drafts for human review.</w:t>
      </w:r>
    </w:p>
    <w:p>
      <w:pPr>
        <w:pStyle w:val="Heading1"/>
      </w:pPr>
      <w:r>
        <w:t xml:space="preserve">08 / Failure and safety rules</w:t>
      </w:r>
    </w:p>
    <w:p>
      <w:pPr>
        <w:pStyle w:val="ListParagraph"/>
        <w:numPr>
          <w:ilvl w:val="0"/>
          <w:numId w:val="1"/>
        </w:numPr>
      </w:pPr>
      <w:r>
        <w:t xml:space="preserve">Stop when the review source cannot be verified, wording is ambiguous, a complaint includes sensitive claims, owner approval is missing, or reuse rights are unclear.</w:t>
      </w:r>
    </w:p>
    <w:p>
      <w:pPr>
        <w:pStyle w:val="ListParagraph"/>
        <w:numPr>
          <w:ilvl w:val="0"/>
          <w:numId w:val="1"/>
        </w:numPr>
      </w:pPr>
      <w:r>
        <w:t xml:space="preserve">Do not automate public posting, reviewer contact, review requests, review gating, incentives, removals, dispute submissions, crisis replies, or testimonial publishing.</w:t>
      </w:r>
    </w:p>
    <w:p>
      <w:pPr>
        <w:pStyle w:val="ListParagraph"/>
        <w:numPr>
          <w:ilvl w:val="0"/>
          <w:numId w:val="1"/>
        </w:numPr>
      </w:pPr>
      <w:r>
        <w:t xml:space="preserve">Log the source, run date, draft, risk decision, human approver, approved wording, intended channel, and final filename for every item.</w:t>
      </w:r>
    </w:p>
    <w:p>
      <w:pPr>
        <w:pStyle w:val="Heading1"/>
      </w:pPr>
      <w:r>
        <w:t xml:space="preserve">09 / Delivery standards (shared)</w:t>
      </w:r>
    </w:p>
    <w:p>
      <w:pPr>
        <w:pStyle w:val="ListParagraph"/>
        <w:numPr>
          <w:ilvl w:val="0"/>
          <w:numId w:val="1"/>
        </w:numPr>
      </w:pPr>
      <w:r>
        <w:t xml:space="preserve">This asset is for local businesses; replace bracketed fields with their specifics before sending.</w:t>
      </w:r>
    </w:p>
    <w:p>
      <w:pPr>
        <w:pStyle w:val="ListParagraph"/>
        <w:numPr>
          <w:ilvl w:val="0"/>
          <w:numId w:val="1"/>
        </w:numPr>
      </w:pPr>
      <w:r>
        <w:t xml:space="preserve">Full delivery standards - inputs to collect, evidence capture, pricing and scope guardrails, and the pre-send QA list - live once in this pack's AI Prompt Pack.</w:t>
      </w:r>
    </w:p>
    <w:p>
      <w:pPr>
        <w:pStyle w:val="ListParagraph"/>
        <w:numPr>
          <w:ilvl w:val="0"/>
          <w:numId w:val="1"/>
        </w:numPr>
      </w:pPr>
      <w:r>
        <w:t xml:space="preserve">Verify every fact, price, date, hour, link, and claim against a source, and keep approvals in writing.</w:t>
      </w:r>
    </w:p>
    <w:p>
      <w:pPr>
        <w:pStyle w:val="ListParagraph"/>
        <w:numPr>
          <w:ilvl w:val="0"/>
          <w:numId w:val="1"/>
        </w:numPr>
      </w:pPr>
      <w:r>
        <w:t xml:space="preserve">Never imply guaranteed revenue, rankings, bookings, retention, or ad performance.</w:t>
      </w:r>
    </w:p>
    <w:p>
      <w:pPr>
        <w:pStyle w:val="Heading1"/>
      </w:pPr>
      <w:r>
        <w:t xml:space="preserve">Commercial use note</w:t>
      </w:r>
    </w:p>
    <w:p>
      <w:r>
        <w:t xml:space="preserve">These templates are practical launch materials. They do not guarantee revenue, rankings, retention, or advertising performance. Validate claims with buyer data and keep approvals in writing.</w:t>
      </w:r>
    </w:p>
    <w:sectPr>
      <w:footerReference w:type="default" r:id="rId3"/>
      <w:pgSz w:w="12240" w:h="15840"/>
      <w:pgMar w:top="1180" w:right="1440" w:bottom="1000" w:left="1440" w:footer="432"/>
      <w:cols w:space="720"/>
    </w:sectPr>
  </w:body>
</w:document>
</file>

<file path=word/footer.xml><?xml version="1.0" encoding="utf-8"?>
<w:ftr xmlns:w="http://schemas.openxmlformats.org/wordprocessingml/2006/main">
  <w:p>
    <w:pPr>
      <w:pBdr>
        <w:top w:val="single" w:sz="4" w:space="3" w:color="E0DFDD"/>
      </w:pBdr>
      <w:jc w:val="center"/>
    </w:pPr>
    <w:r>
      <w:rPr>
        <w:rFonts w:ascii="Arial" w:hAnsi="Arial"/>
        <w:sz w:val="16"/>
        <w:color w:val="57534E"/>
      </w:rPr>
      <w:t xml:space="preserve">Side Hustle Stephen / AI Review Repurposing Service / Page </w:t>
    </w:r>
    <w:r>
      <w:rPr>
        <w:rFonts w:ascii="Arial" w:hAnsi="Arial"/>
        <w:sz w:val="16"/>
        <w:color w:val="57534E"/>
      </w:rPr>
      <w:fldChar w:fldCharType="begin"/>
    </w:r>
    <w:r>
      <w:instrText xml:space="preserve"> PAGE </w:instrText>
    </w:r>
    <w:r>
      <w:fldChar w:fldCharType="end"/>
    </w:r>
  </w:p>
</w:ftr>
</file>

<file path=word/numbering.xml><?xml version="1.0" encoding="utf-8"?>
<w:numbering xmlns:w="http://schemas.openxmlformats.org/wordprocessingml/2006/main">
  <w:abstractNum w:abstractNumId="1">
    <w:lvl w:ilvl="0">
      <w:start w:val="1"/>
      <w:numFmt w:val="bullet"/>
      <w:lvlText w:val="-"/>
      <w:pPr>
        <w:ind w:left="540" w:hanging="220"/>
      </w:pPr>
    </w:lvl>
  </w:abstractNum>
  <w:num w:numId="1">
    <w:abstractNumId w:val="1"/>
  </w:num>
</w:numbering>
</file>

<file path=word/styles.xml><?xml version="1.0" encoding="utf-8"?>
<w:styles xmlns:w="http://schemas.openxmlformats.org/wordprocessingml/2006/main">
  <w:style w:type="paragraph" w:default="1" w:styleId="Normal">
    <w:name w:val="Normal"/>
    <w:rPr>
      <w:rFonts w:ascii="Arial" w:hAnsi="Arial"/>
      <w:sz w:val="21"/>
      <w:color w:val="0A0A0A"/>
    </w:rPr>
    <w:pPr>
      <w:spacing w:after="150" w:line="300" w:lineRule="auto"/>
      <w:widowControl/>
    </w:pPr>
  </w:style>
  <w:style w:type="paragraph" w:styleId="BrandBand">
    <w:name w:val="BrandBand"/>
    <w:rPr>
      <w:rFonts w:ascii="Arial" w:hAnsi="Arial"/>
      <w:b/>
      <w:caps/>
      <w:sz w:val="15"/>
      <w:color w:val="0A0A0A"/>
      <w:spacing w:val="30"/>
    </w:rPr>
    <w:pPr>
      <w:pBdr>
        <w:bottom w:val="single" w:sz="18" w:space="6" w:color="0A0A0A"/>
      </w:pBdr>
      <w:spacing w:before="0" w:after="240"/>
      <w:jc w:val="left"/>
    </w:pPr>
  </w:style>
  <w:style w:type="paragraph" w:styleId="Title">
    <w:name w:val="Title"/>
    <w:rPr>
      <w:rFonts w:ascii="Arial" w:hAnsi="Arial"/>
      <w:b/>
      <w:sz w:val="56"/>
      <w:color w:val="0A0A0A"/>
      <w:spacing w:val="-10"/>
    </w:rPr>
    <w:pPr>
      <w:spacing w:before="60" w:after="60" w:line="300" w:lineRule="auto"/>
      <w:keepNext/>
    </w:pPr>
  </w:style>
  <w:style w:type="paragraph" w:styleId="Subtitle">
    <w:name w:val="Subtitle"/>
    <w:rPr>
      <w:rFonts w:ascii="Arial" w:hAnsi="Arial"/>
      <w:b/>
      <w:caps/>
      <w:sz w:val="16"/>
      <w:color w:val="57534E"/>
    </w:rPr>
    <w:pPr>
      <w:spacing w:after="120"/>
    </w:pPr>
  </w:style>
  <w:style w:type="paragraph" w:styleId="Tagline">
    <w:name w:val="Tagline"/>
    <w:rPr>
      <w:rFonts w:ascii="Arial" w:hAnsi="Arial"/>
      <w:sz w:val="22"/>
      <w:color w:val="0A59D2"/>
    </w:rPr>
    <w:pPr>
      <w:spacing w:before="0" w:after="150" w:line="300" w:lineRule="auto"/>
    </w:pPr>
  </w:style>
  <w:style w:type="paragraph" w:styleId="Lead">
    <w:name w:val="Lead"/>
    <w:rPr>
      <w:rFonts w:ascii="Arial" w:hAnsi="Arial"/>
      <w:sz w:val="24"/>
      <w:color w:val="0A0A0A"/>
    </w:rPr>
    <w:pPr>
      <w:spacing w:before="80" w:after="60" w:line="340" w:lineRule="auto"/>
    </w:pPr>
  </w:style>
  <w:style w:type="paragraph" w:styleId="Kicker">
    <w:name w:val="Kicker"/>
    <w:rPr>
      <w:rFonts w:ascii="Arial" w:hAnsi="Arial"/>
      <w:b/>
      <w:caps/>
      <w:sz w:val="15"/>
      <w:color w:val="57534E"/>
      <w:spacing w:val="24"/>
    </w:rPr>
    <w:pPr>
      <w:spacing w:before="180" w:after="70"/>
    </w:pPr>
  </w:style>
  <w:style w:type="paragraph" w:styleId="Heading1">
    <w:name w:val="heading 1"/>
    <w:rPr>
      <w:rFonts w:ascii="Arial" w:hAnsi="Arial"/>
      <w:b/>
      <w:sz w:val="30"/>
      <w:color w:val="0A0A0A"/>
      <w:spacing w:val="-6"/>
    </w:rPr>
    <w:pPr>
      <w:keepNext/>
      <w:spacing w:before="360" w:after="140"/>
      <w:pBdr>
        <w:bottom w:val="single" w:sz="12" w:space="7" w:color="0A0A0A"/>
      </w:pBdr>
    </w:pPr>
  </w:style>
  <w:style w:type="paragraph" w:styleId="Heading2">
    <w:name w:val="heading 2"/>
    <w:rPr>
      <w:rFonts w:ascii="Arial" w:hAnsi="Arial"/>
      <w:b/>
      <w:sz w:val="24"/>
      <w:color w:val="0A0A0A"/>
    </w:rPr>
    <w:pPr>
      <w:spacing w:after="70"/>
    </w:pPr>
  </w:style>
  <w:style w:type="paragraph" w:styleId="Heading3">
    <w:name w:val="heading 3"/>
    <w:rPr>
      <w:rFonts w:ascii="Arial" w:hAnsi="Arial"/>
      <w:b/>
      <w:sz w:val="22"/>
      <w:color w:val="0A59D2"/>
    </w:rPr>
    <w:pPr>
      <w:keepNext/>
      <w:spacing w:before="190" w:after="70"/>
    </w:pPr>
  </w:style>
  <w:style w:type="paragraph" w:styleId="Meta">
    <w:name w:val="Meta"/>
    <w:rPr>
      <w:rFonts w:ascii="Arial" w:hAnsi="Arial"/>
      <w:b/>
      <w:sz w:val="18"/>
      <w:color w:val="57534E"/>
    </w:rPr>
    <w:pPr>
      <w:spacing w:after="95"/>
    </w:pPr>
  </w:style>
  <w:style w:type="paragraph" w:styleId="ListParagraph">
    <w:name w:val="List Paragraph"/>
    <w:rPr>
      <w:rFonts w:ascii="Arial" w:hAnsi="Arial"/>
      <w:sz w:val="20"/>
      <w:color w:val="0A0A0A"/>
    </w:rPr>
    <w:pPr>
      <w:spacing w:after="110" w:line="292" w:lineRule="auto"/>
      <w:ind w:left="540" w:hanging="220"/>
      <w:widowControl/>
    </w:pPr>
  </w:style>
  <w:style w:type="paragraph" w:styleId="Checklist">
    <w:name w:val="Checklist"/>
    <w:rPr>
      <w:rFonts w:ascii="Arial" w:hAnsi="Arial"/>
      <w:b/>
      <w:sz w:val="20"/>
      <w:color w:val="0A0A0A"/>
    </w:rPr>
    <w:pPr>
      <w:spacing w:after="92" w:line="280" w:lineRule="auto"/>
      <w:shd w:fill="EEF4FF"/>
      <w:pBdr>
        <w:left w:val="single" w:sz="18" w:space="8" w:color="0A59D2"/>
      </w:pBdr>
    </w:pPr>
  </w:style>
  <w:style w:type="paragraph" w:styleId="IntenseQuote">
    <w:name w:val="Intense Quote"/>
    <w:rPr>
      <w:rFonts w:ascii="Arial" w:hAnsi="Arial"/>
      <w:b/>
      <w:color w:val="0A0A0A"/>
      <w:sz w:val="21"/>
    </w:rPr>
    <w:pPr>
      <w:spacing w:before="90" w:after="170" w:line="292" w:lineRule="auto"/>
      <w:shd w:fill="F5F3F1"/>
      <w:pBdr>
        <w:left w:val="single" w:sz="24" w:space="10" w:color="0A0A0A"/>
      </w:pBdr>
    </w:pPr>
  </w:style>
  <w:style w:type="paragraph" w:styleId="ExampleBlock">
    <w:name w:val="Example Block"/>
    <w:rPr>
      <w:rFonts w:ascii="Arial" w:hAnsi="Arial"/>
      <w:sz w:val="21"/>
      <w:color w:val="0A0A0A"/>
    </w:rPr>
    <w:pPr>
      <w:spacing w:before="60" w:after="120" w:line="288" w:lineRule="auto"/>
      <w:shd w:fill="EEF4FF"/>
      <w:pBdr>
        <w:left w:val="single" w:sz="14" w:space="8" w:color="0A59D2"/>
      </w:pBdr>
    </w:pPr>
  </w:style>
  <w:style w:type="paragraph" w:styleId="EmailSubject">
    <w:name w:val="Email Subject"/>
    <w:rPr>
      <w:rFonts w:ascii="Arial" w:hAnsi="Arial"/>
      <w:b/>
      <w:sz w:val="21"/>
      <w:color w:val="0A0A0A"/>
    </w:rPr>
    <w:pPr>
      <w:keepNext/>
      <w:spacing w:before="150" w:after="0" w:line="284" w:lineRule="auto"/>
      <w:shd w:fill="EEF4FF"/>
      <w:pBdr>
        <w:top w:val="single" w:sz="14" w:space="6" w:color="0A59D2"/>
        <w:left w:val="single" w:sz="14" w:space="8" w:color="0A59D2"/>
      </w:pBdr>
    </w:pPr>
  </w:style>
  <w:style w:type="paragraph" w:styleId="TableHeader">
    <w:name w:val="Table Header"/>
    <w:rPr>
      <w:rFonts w:ascii="Arial" w:hAnsi="Arial"/>
      <w:b/>
      <w:caps/>
      <w:sz w:val="18"/>
      <w:color w:val="FFFFFF"/>
      <w:spacing w:val="14"/>
    </w:rPr>
    <w:pPr>
      <w:spacing w:before="0" w:after="0" w:line="250" w:lineRule="auto"/>
    </w:pPr>
  </w:style>
  <w:style w:type="paragraph" w:styleId="TableCell">
    <w:name w:val="Table Cell"/>
    <w:rPr>
      <w:rFonts w:ascii="Arial" w:hAnsi="Arial"/>
      <w:sz w:val="20"/>
      <w:color w:val="0A0A0A"/>
    </w:rPr>
    <w:pPr>
      <w:spacing w:before="0" w:after="0" w:line="262" w:lineRule="auto"/>
    </w:pPr>
  </w:style>
  <w:style w:type="paragraph" w:styleId="TableLabel">
    <w:name w:val="Table Label"/>
    <w:rPr>
      <w:rFonts w:ascii="Arial" w:hAnsi="Arial"/>
      <w:b/>
      <w:sz w:val="20"/>
      <w:color w:val="0A0A0A"/>
    </w:rPr>
    <w:pPr>
      <w:spacing w:before="0" w:after="0" w:line="262"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xml"/>
</Relationships>
</file>

<file path=docProps/app.xml><?xml version="1.0" encoding="utf-8"?>
<Properties xmlns="http://schemas.openxmlformats.org/officeDocument/2006/extended-properties">
  <Application>Side Hustle Stephen Asset Generator</Application>
</Properties>
</file>

<file path=docProps/core.xml><?xml version="1.0" encoding="utf-8"?>
<cp:coreProperties xmlns:cp="http://schemas.openxmlformats.org/package/2006/metadata/core-properties" xmlns:dc="http://purl.org/dc/elements/1.1/" xmlns:dcterms="http://purl.org/dc/terms/">
  <dc:title>Client Intake Form</dc:title>
  <dc:creator>Side Hustle Stephen</dc:creator>
  <dc:subject>AI Review Repurposing Service</dc:subject>
  <dc:description>Editable intake questions for review platforms, reply tone, escalation rules, proof claims, and design approvals.</dc:description>
</cp:coreProperties>
</file>