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AI Inbox Triage for Trades</w:t>
      </w:r>
    </w:p>
    <w:p>
      <w:pPr>
        <w:pStyle w:val="Lead"/>
      </w:pPr>
      <w:r>
        <w:t xml:space="preserve">Editable intake questions for inquiry types, emergency rules, quote fields, approval roles, and communication channels.</w:t>
      </w:r>
    </w:p>
    <w:p>
      <w:pPr>
        <w:pStyle w:val="Tagline"/>
      </w:pPr>
      <w:r>
        <w:t xml:space="preserve">Plumbers do not need an AI agent. They need inbox triage.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Trades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ai inbox triage for trades so the client provides…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trades businesses.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ai inbox triage for trades look like for your business 30 days from…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trades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ExampleBlock"/>
      </w:pPr>
      <w:r>
        <w:t xml:space="preserve">Send this form before starting the ai inbox triage for trades so the client provides inquiry channels, emergency rules, quote fields, approval roles, and current response templates.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ai inbox triage for trades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inquiry channels, emergency rules, quote fields, approval roles, and current response templates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trades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Inbox Triage for Trades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AI Inbox Triage for Trades</dc:subject>
  <dc:description>Editable intake questions for inquiry types, emergency rules, quote fields, approval roles, and communication channels.</dc:description>
</cp:coreProperties>
</file>