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Ready-to-adapt emails for gym owner outreach, data requests, report delivery, action follow-up, and renewal.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boutique gym churn report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boutique gym churn report.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boutique gym churn report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boutique gyms and studios;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boutique gym churn report idea for [business]</w:t>
      </w:r>
    </w:p>
    <w:p>
      <w:pPr>
        <w:pStyle w:val="ExampleBlock"/>
      </w:pPr>
      <w:r>
        <w:t xml:space="preserve">Hi [Name], I noticed [specific issue]. For boutique gyms and studios, that can create friction because [customer/lead impact].</w:t>
      </w:r>
    </w:p>
    <w:p>
      <w:pPr>
        <w:pStyle w:val="ExampleBlock"/>
      </w:pPr>
      <w:r>
        <w:t xml:space="preserve">I put together a fixed-scope boutique gym churn report that helps with cancellation exports, member privacy rules, churn tags, membership types, and retention goals.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boutique gym churn report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boutique gym churn report. To start cleanly, please send the intake details for cancellation exports, member privacy rules, churn tags, membership types, and retention goals.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boutique gym churn report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Boutique Gym Churn Report</dc:subject>
  <dc:description>Ready-to-adapt emails for gym owner outreach, data requests, report delivery, action follow-up, and renewal.</dc:description>
</cp:coreProperties>
</file>