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Editable intake questions for cancellation exports, member privacy, churn tags, membership types, and owner goals.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boutique gym churn report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boutique gyms and studios.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boutique gym churn report look like for your business 30 days from…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boutique gyms and studios;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ListParagraph"/>
        <w:numPr>
          <w:ilvl w:val="0"/>
          <w:numId w:val="1"/>
        </w:numPr>
      </w:pPr>
      <w:r>
        <w:t xml:space="preserve">Send this form before starting the boutique gym churn report so the client provides cancellation exports, member privacy rules, churn tags, membership types, and retention goals.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boutique gym churn report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cancellation exports, member privacy rules, churn tags, membership types, and retention goals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Boutique Gym Churn Report</dc:subject>
  <dc:description>Editable intake questions for cancellation exports, member privacy, churn tags, membership types, and owner goals.</dc:description>
</cp:coreProperties>
</file>