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Emails for sample-led outreach, quote requests, booking confirmation, pre-job prep, completion handoff, referral asks, and dealer batch follow-ups.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mobile headlight restoration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mobile headlight restoration. To start cleanly, please send the…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mobile headlight restoration for [business]. I included the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mobile headlight restoration idea for [business]</w:t>
      </w:r>
    </w:p>
    <w:p>
      <w:pPr>
        <w:pStyle w:val="ExampleBlock"/>
      </w:pPr>
      <w:r>
        <w:t xml:space="preserve">Hi [Name], I noticed [specific issue]. For car owners, used-car sellers, landlords with fleets, and local dealers, that can create friction because [customer/lead impact].</w:t>
      </w:r>
    </w:p>
    <w:p>
      <w:pPr>
        <w:pStyle w:val="ExampleBlock"/>
      </w:pPr>
      <w:r>
        <w:t xml:space="preserve">I put together a fixed-scope mobile headlight restoration that helps with car make/model, headlight photos, lens condition, location, workspace access, weather window, result expectations, and client approval boundaries.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mobile headlight restoration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mobile headlight restoration. To start cleanly, please send the intake details for car make/model, headlight photos, lens condition, location, workspace access, weather window, result expectations, and client approval boundaries.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mobile headlight restoration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Mobile Headlight Restoration</dc:subject>
  <dc:description>Emails for sample-led outreach, quote requests, booking confirmation, pre-job prep, completion handoff, referral asks, and dealer batch follow-ups.</dc:description>
</cp:coreProperties>
</file>