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Realtor Suburb Snapshot Reports</w:t>
      </w:r>
    </w:p>
    <w:p>
      <w:pPr>
        <w:pStyle w:val="Lead"/>
      </w:pPr>
      <w:r>
        <w:t xml:space="preserve">Editable intake questions for target suburbs, data sources, agency tone, compliance approval, and posting cadence.</w:t>
      </w:r>
    </w:p>
    <w:p>
      <w:pPr>
        <w:pStyle w:val="Tagline"/>
      </w:pPr>
      <w:r>
        <w:t xml:space="preserve">Real estate agents need local content every week.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Real estate agents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realtor suburb snapshot reports so the client provides…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real estate agents.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realtor suburb snapshot reports look like for your business 30 days…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real estate agents;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ExampleBlock"/>
      </w:pPr>
      <w:r>
        <w:t xml:space="preserve">Send this form before starting the realtor suburb snapshot reports so the client provides target suburbs, source preferences, agency tone, compliance process, and publishing cadence.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realtor suburb snapshot reports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target suburbs, source preferences, agency tone, compliance process, and publishing cadence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real estate agents;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Realtor Suburb Snapshot Reports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Realtor Suburb Snapshot Reports</dc:subject>
  <dc:description>Editable intake questions for target suburbs, data sources, agency tone, compliance approval, and posting cadence.</dc:description>
</cp:coreProperties>
</file>