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randBand"/>
      </w:pPr>
      <w:r>
        <w:t xml:space="preserve">SIDE HUSTLE STEPHEN</w:t>
      </w:r>
    </w:p>
    <w:p>
      <w:pPr>
        <w:pStyle w:val="Title"/>
      </w:pPr>
      <w:r>
        <w:t xml:space="preserve">Abandoned Cart Email Swipe</w:t>
      </w:r>
    </w:p>
    <w:p>
      <w:pPr>
        <w:pStyle w:val="Heading2"/>
      </w:pPr>
      <w:r>
        <w:t xml:space="preserve">Shopify Cart Audit Pack</w:t>
      </w:r>
    </w:p>
    <w:p>
      <w:pPr>
        <w:pStyle w:val="Lead"/>
      </w:pPr>
      <w:r>
        <w:t xml:space="preserve">Starter copy blocks for small stores.</w:t>
      </w:r>
    </w:p>
    <w:p>
      <w:pPr>
        <w:pStyle w:val="Tagline"/>
      </w:pPr>
      <w:r>
        <w:t xml:space="preserve">Most small stores do not need more traffic first.</w:t>
      </w:r>
    </w:p>
    <w:p>
      <w:pPr>
        <w:pBdr>
          <w:bottom w:val="single" w:sz="8" w:space="1" w:color="0A0A0A"/>
        </w:pBdr>
        <w:spacing w:before="70" w:after="210"/>
      </w:pP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2200"/>
        <w:gridCol w:w="6980"/>
      </w:tblGrid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Buyer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Small Shopify stores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Category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Ecommerce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Startup cost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$0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First sale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1-7 days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Difficulty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Medium</w:t>
            </w:r>
          </w:p>
        </w:tc>
      </w:tr>
    </w:tbl>
    <w:p>
      <w:pPr>
        <w:pStyle w:val="Kicker"/>
      </w:pPr>
      <w:r>
        <w:t xml:space="preserve">Operator standard</w:t>
      </w:r>
    </w:p>
    <w:p>
      <w:pPr>
        <w:pStyle w:val="IntenseQuote"/>
      </w:pPr>
      <w:r>
        <w:t xml:space="preserve">Use this as a working asset. Replace bracketed details with buyer-specific information, verify every sensitive fact, and keep approvals in writing.</w:t>
      </w:r>
    </w:p>
    <w:p>
      <w:pPr>
        <w:pStyle w:val="Kicker"/>
      </w:pPr>
      <w:r>
        <w:t xml:space="preserve">Launch action board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620"/>
        <w:gridCol w:w="3960"/>
        <w:gridCol w:w="3600"/>
      </w:tblGrid>
      <w:tr>
        <w:tc>
          <w:tcPr>
            <w:tcW w:w="162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Move</w:t>
            </w:r>
          </w:p>
        </w:tc>
        <w:tc>
          <w:tcPr>
            <w:tcW w:w="396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to check</w:t>
            </w:r>
          </w:p>
        </w:tc>
        <w:tc>
          <w:tcPr>
            <w:tcW w:w="36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Output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1. Scope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Buyer, input files, sensitive claims, approval owner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Clean project brief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2. Build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Use the template, prompts, checklist, or workbook sections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Buyer-specific asset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3. Approve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Facts, prices, dates, links, policies, and public claims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Approved final version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4. Follow up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Next refresh, retainer, or second sprint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Clear paid next step</w:t>
            </w:r>
          </w:p>
        </w:tc>
      </w:tr>
    </w:tbl>
    <w:p>
      <w:pPr>
        <w:pStyle w:val="Kicker"/>
      </w:pPr>
      <w:r>
        <w:t xml:space="preserve">In this document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180"/>
        <w:gridCol w:w="7940"/>
      </w:tblGrid>
      <w:tr>
        <w:tc>
          <w:tcPr>
            <w:tcW w:w="1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Section</w:t>
            </w:r>
          </w:p>
        </w:tc>
        <w:tc>
          <w:tcPr>
            <w:tcW w:w="794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it covers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01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Flow assumptions - Use only after the brand confirms consent and email platform rules.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02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Email 1: 1-3 hours after abandonment - Subject: still deciding on [Product]?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03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Email 2: 18-24 hours after abandonment - Subject: a couple of details people check before ordering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04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Email 3: 48-72 hours after abandonment - Subject: should we keep this aside?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05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Segment variants - High AOV: emphasize support, guarantees, delivery confidence, and proof.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06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Filled example: skincare product - Subject: still deciding on the Barrier Repair Cream?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07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Compliance checklist - Sender identity is clear.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08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Audit scoring - Timing is clear and not excessive.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09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Brand approval pack - Send the email copy with subject line, preview text, body, CTA, timing, and policy claims…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10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Delivery standards (shared) - This asset is for small shopify stores; replace bracketed fields with their specifics…</w:t>
            </w:r>
          </w:p>
        </w:tc>
      </w:tr>
    </w:tbl>
    <w:p>
      <w:pPr>
        <w:pStyle w:val="Heading3"/>
      </w:pPr>
      <w:r>
        <w:t xml:space="preserve">Before sending</w:t>
      </w:r>
    </w:p>
    <w:p>
      <w:pPr>
        <w:pStyle w:val="Checklist"/>
      </w:pPr>
      <w:r>
        <w:t xml:space="preserve">[ ]  Replace bracketed fields.</w:t>
      </w:r>
    </w:p>
    <w:p>
      <w:pPr>
        <w:pStyle w:val="Checklist"/>
      </w:pPr>
      <w:r>
        <w:t xml:space="preserve">[ ]  Verify facts and claims.</w:t>
      </w:r>
    </w:p>
    <w:p>
      <w:pPr>
        <w:pStyle w:val="Checklist"/>
      </w:pPr>
      <w:r>
        <w:t xml:space="preserve">[ ]  Send for approval before publishing.</w:t>
      </w:r>
    </w:p>
    <w:p>
      <w:pPr>
        <w:pStyle w:val="Heading1"/>
      </w:pPr>
      <w:r>
        <w:t xml:space="preserve">01 / Flow assumptions</w:t>
      </w:r>
    </w:p>
    <w:p>
      <w:pPr>
        <w:pStyle w:val="ListParagraph"/>
        <w:numPr>
          <w:ilvl w:val="0"/>
          <w:numId w:val="1"/>
        </w:numPr>
      </w:pPr>
      <w:r>
        <w:t xml:space="preserve">Use only after the brand confirms consent and email platform rules.</w:t>
      </w:r>
    </w:p>
    <w:p>
      <w:pPr>
        <w:pStyle w:val="ListParagraph"/>
        <w:numPr>
          <w:ilvl w:val="0"/>
          <w:numId w:val="1"/>
        </w:numPr>
      </w:pPr>
      <w:r>
        <w:t xml:space="preserve">Keep the first email helpful, the second trust-building, and the third objection-focused.</w:t>
      </w:r>
    </w:p>
    <w:p>
      <w:pPr>
        <w:pStyle w:val="ListParagraph"/>
        <w:numPr>
          <w:ilvl w:val="0"/>
          <w:numId w:val="1"/>
        </w:numPr>
      </w:pPr>
      <w:r>
        <w:t xml:space="preserve">Do not use false scarcity, fake timers, or unsupported discount claims.</w:t>
      </w:r>
    </w:p>
    <w:p>
      <w:pPr>
        <w:pStyle w:val="Heading1"/>
      </w:pPr>
      <w:r>
        <w:t xml:space="preserve">02 / Email 1: 1-3 hours after abandonment</w:t>
      </w:r>
    </w:p>
    <w:p>
      <w:pPr>
        <w:pStyle w:val="EmailSubject"/>
      </w:pPr>
      <w:r>
        <w:t xml:space="preserve">Subject: still deciding on [Product]?</w:t>
      </w:r>
    </w:p>
    <w:p>
      <w:pPr>
        <w:pStyle w:val="ExampleBlock"/>
      </w:pPr>
      <w:r>
        <w:t xml:space="preserve">Preview: Here is the quick version before you come back.</w:t>
      </w:r>
    </w:p>
    <w:p>
      <w:pPr>
        <w:pStyle w:val="ExampleBlock"/>
      </w:pPr>
      <w:r>
        <w:t xml:space="preserve">Body: You left [Product] in your cart. The short version: [core benefit], [proof point], and [shipping/returns reassurance].</w:t>
      </w:r>
    </w:p>
    <w:p>
      <w:pPr>
        <w:pStyle w:val="ExampleBlock"/>
      </w:pPr>
      <w:r>
        <w:t xml:space="preserve">CTA: Return to cart</w:t>
      </w:r>
    </w:p>
    <w:p>
      <w:pPr>
        <w:pStyle w:val="Heading1"/>
      </w:pPr>
      <w:r>
        <w:t xml:space="preserve">03 / Email 2: 18-24 hours after abandonment</w:t>
      </w:r>
    </w:p>
    <w:p>
      <w:pPr>
        <w:pStyle w:val="EmailSubject"/>
      </w:pPr>
      <w:r>
        <w:t xml:space="preserve">Subject: a couple of details people check before ordering</w:t>
      </w:r>
    </w:p>
    <w:p>
      <w:pPr>
        <w:pStyle w:val="ExampleBlock"/>
      </w:pPr>
      <w:r>
        <w:t xml:space="preserve">Preview: Delivery, returns, and fit/use notes in one place.</w:t>
      </w:r>
    </w:p>
    <w:p>
      <w:pPr>
        <w:pStyle w:val="ExampleBlock"/>
      </w:pPr>
      <w:r>
        <w:t xml:space="preserve">Body: If you paused because of [common concern], here are the details: [delivery detail], [return policy], [review or proof point].</w:t>
      </w:r>
    </w:p>
    <w:p>
      <w:pPr>
        <w:pStyle w:val="ExampleBlock"/>
      </w:pPr>
      <w:r>
        <w:t xml:space="preserve">CTA: See your cart</w:t>
      </w:r>
    </w:p>
    <w:p>
      <w:pPr>
        <w:pStyle w:val="Heading1"/>
      </w:pPr>
      <w:r>
        <w:t xml:space="preserve">04 / Email 3: 48-72 hours after abandonment</w:t>
      </w:r>
    </w:p>
    <w:p>
      <w:pPr>
        <w:pStyle w:val="EmailSubject"/>
      </w:pPr>
      <w:r>
        <w:t xml:space="preserve">Subject: should we keep this aside?</w:t>
      </w:r>
    </w:p>
    <w:p>
      <w:pPr>
        <w:pStyle w:val="ExampleBlock"/>
      </w:pPr>
      <w:r>
        <w:t xml:space="preserve">Preview: Last reminder about your cart.</w:t>
      </w:r>
    </w:p>
    <w:p>
      <w:pPr>
        <w:pStyle w:val="ExampleBlock"/>
      </w:pPr>
      <w:r>
        <w:t xml:space="preserve">Body: If [Product] is still on your list, your cart is here. If not, no stress. The main reason customers choose it is [specific outcome/proof].</w:t>
      </w:r>
    </w:p>
    <w:p>
      <w:pPr>
        <w:pStyle w:val="ExampleBlock"/>
      </w:pPr>
      <w:r>
        <w:t xml:space="preserve">CTA: Finish checkout</w:t>
      </w:r>
    </w:p>
    <w:p>
      <w:pPr>
        <w:pStyle w:val="Heading1"/>
      </w:pPr>
      <w:r>
        <w:t xml:space="preserve">05 / Segment variants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3000"/>
        <w:gridCol w:w="6180"/>
      </w:tblGrid>
      <w:tr>
        <w:tc>
          <w:tcPr>
            <w:tcW w:w="30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Variant</w:t>
            </w:r>
          </w:p>
        </w:tc>
        <w:tc>
          <w:tcPr>
            <w:tcW w:w="6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to include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High AOV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emphasize support, guarantees, delivery confidence, and proof.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First-time buyer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explain trust signals and reduce perceived risk.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Returning customer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reference previous category interest and speed.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Discount-sensitive shopper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use value framing before discounting.</w:t>
            </w:r>
          </w:p>
        </w:tc>
      </w:tr>
    </w:tbl>
    <w:p>
      <w:pPr>
        <w:pStyle w:val="Heading1"/>
      </w:pPr>
      <w:r>
        <w:t xml:space="preserve">06 / Filled example: skincare product</w:t>
      </w:r>
    </w:p>
    <w:p>
      <w:pPr>
        <w:pStyle w:val="EmailSubject"/>
      </w:pPr>
      <w:r>
        <w:t xml:space="preserve">Subject: still deciding on the Barrier Repair Cream?</w:t>
      </w:r>
    </w:p>
    <w:p>
      <w:pPr>
        <w:pStyle w:val="ExampleBlock"/>
      </w:pPr>
      <w:r>
        <w:t xml:space="preserve">Preview: Texture, shipping, and returns in one place.</w:t>
      </w:r>
    </w:p>
    <w:p>
      <w:pPr>
        <w:pStyle w:val="ExampleBlock"/>
      </w:pPr>
      <w:r>
        <w:t xml:space="preserve">Body: You left Barrier Repair Cream in your cart. The short version: it is fragrance-free, designed for dry sensitive skin, and ships free over $60. If it is not right for your skin, returns are accepted within 30 days.</w:t>
      </w:r>
    </w:p>
    <w:p>
      <w:pPr>
        <w:pStyle w:val="ExampleBlock"/>
      </w:pPr>
      <w:r>
        <w:t xml:space="preserve">CTA: Return to cart</w:t>
      </w:r>
    </w:p>
    <w:p>
      <w:pPr>
        <w:pStyle w:val="Heading1"/>
      </w:pPr>
      <w:r>
        <w:t xml:space="preserve">07 / Compliance checklist</w:t>
      </w:r>
    </w:p>
    <w:p>
      <w:pPr>
        <w:pStyle w:val="ListParagraph"/>
        <w:numPr>
          <w:ilvl w:val="0"/>
          <w:numId w:val="1"/>
        </w:numPr>
      </w:pPr>
      <w:r>
        <w:t xml:space="preserve">Sender identity is clear.</w:t>
      </w:r>
    </w:p>
    <w:p>
      <w:pPr>
        <w:pStyle w:val="ListParagraph"/>
        <w:numPr>
          <w:ilvl w:val="0"/>
          <w:numId w:val="1"/>
        </w:numPr>
      </w:pPr>
      <w:r>
        <w:t xml:space="preserve">Unsubscribe link remains present in the platform template.</w:t>
      </w:r>
    </w:p>
    <w:p>
      <w:pPr>
        <w:pStyle w:val="ListParagraph"/>
        <w:numPr>
          <w:ilvl w:val="0"/>
          <w:numId w:val="1"/>
        </w:numPr>
      </w:pPr>
      <w:r>
        <w:t xml:space="preserve">Discounts, guarantees, delivery timing, and review claims match approved site language.</w:t>
      </w:r>
    </w:p>
    <w:p>
      <w:pPr>
        <w:pStyle w:val="ListParagraph"/>
        <w:numPr>
          <w:ilvl w:val="0"/>
          <w:numId w:val="1"/>
        </w:numPr>
      </w:pPr>
      <w:r>
        <w:t xml:space="preserve">Email frequency respects the brand's consent and suppression rules.</w:t>
      </w:r>
    </w:p>
    <w:p>
      <w:pPr>
        <w:pStyle w:val="Heading1"/>
      </w:pPr>
      <w:r>
        <w:t xml:space="preserve">08 / Audit scoring</w:t>
      </w:r>
    </w:p>
    <w:p>
      <w:pPr>
        <w:pStyle w:val="ListParagraph"/>
        <w:numPr>
          <w:ilvl w:val="0"/>
          <w:numId w:val="1"/>
        </w:numPr>
      </w:pPr>
      <w:r>
        <w:t xml:space="preserve">Timing is clear and not excessive.</w:t>
      </w:r>
    </w:p>
    <w:p>
      <w:pPr>
        <w:pStyle w:val="ListParagraph"/>
        <w:numPr>
          <w:ilvl w:val="0"/>
          <w:numId w:val="1"/>
        </w:numPr>
      </w:pPr>
      <w:r>
        <w:t xml:space="preserve">Each email answers a different objection.</w:t>
      </w:r>
    </w:p>
    <w:p>
      <w:pPr>
        <w:pStyle w:val="ListParagraph"/>
        <w:numPr>
          <w:ilvl w:val="0"/>
          <w:numId w:val="1"/>
        </w:numPr>
      </w:pPr>
      <w:r>
        <w:t xml:space="preserve">CTA language matches the buying stage.</w:t>
      </w:r>
    </w:p>
    <w:p>
      <w:pPr>
        <w:pStyle w:val="ListParagraph"/>
        <w:numPr>
          <w:ilvl w:val="0"/>
          <w:numId w:val="1"/>
        </w:numPr>
      </w:pPr>
      <w:r>
        <w:t xml:space="preserve">Claims are supported by product page, reviews, or policy language.</w:t>
      </w:r>
    </w:p>
    <w:p>
      <w:pPr>
        <w:pStyle w:val="Heading1"/>
      </w:pPr>
      <w:r>
        <w:t xml:space="preserve">09 / Brand approval pack</w:t>
      </w:r>
    </w:p>
    <w:p>
      <w:pPr>
        <w:pStyle w:val="ListParagraph"/>
        <w:numPr>
          <w:ilvl w:val="0"/>
          <w:numId w:val="1"/>
        </w:numPr>
      </w:pPr>
      <w:r>
        <w:t xml:space="preserve">Send the email copy with subject line, preview text, body, CTA, timing, and policy claims highlighted.</w:t>
      </w:r>
    </w:p>
    <w:p>
      <w:pPr>
        <w:pStyle w:val="ListParagraph"/>
        <w:numPr>
          <w:ilvl w:val="0"/>
          <w:numId w:val="1"/>
        </w:numPr>
      </w:pPr>
      <w:r>
        <w:t xml:space="preserve">Ask the brand to approve delivery timing, returns wording, discount use, testimonials, and unsubscribe/template compliance.</w:t>
      </w:r>
    </w:p>
    <w:p>
      <w:pPr>
        <w:pStyle w:val="ListParagraph"/>
        <w:numPr>
          <w:ilvl w:val="0"/>
          <w:numId w:val="1"/>
        </w:numPr>
      </w:pPr>
      <w:r>
        <w:t xml:space="preserve">Keep a changelog of approved copy so future email tests do not re-litigate claims.</w:t>
      </w:r>
    </w:p>
    <w:p>
      <w:pPr>
        <w:pStyle w:val="Heading1"/>
      </w:pPr>
      <w:r>
        <w:t xml:space="preserve">10 / Delivery standards (shared)</w:t>
      </w:r>
    </w:p>
    <w:p>
      <w:pPr>
        <w:pStyle w:val="ListParagraph"/>
        <w:numPr>
          <w:ilvl w:val="0"/>
          <w:numId w:val="1"/>
        </w:numPr>
      </w:pPr>
      <w:r>
        <w:t xml:space="preserve">This asset is for small shopify stores; replace bracketed fields with their specifics before sending.</w:t>
      </w:r>
    </w:p>
    <w:p>
      <w:pPr>
        <w:pStyle w:val="ListParagraph"/>
        <w:numPr>
          <w:ilvl w:val="0"/>
          <w:numId w:val="1"/>
        </w:numPr>
      </w:pPr>
      <w:r>
        <w:t xml:space="preserve">Full delivery standards - inputs to collect, evidence capture, pricing and scope guardrails, and the pre-send QA list - live once in this pack's AI Prompt Pack.</w:t>
      </w:r>
    </w:p>
    <w:p>
      <w:pPr>
        <w:pStyle w:val="ListParagraph"/>
        <w:numPr>
          <w:ilvl w:val="0"/>
          <w:numId w:val="1"/>
        </w:numPr>
      </w:pPr>
      <w:r>
        <w:t xml:space="preserve">Verify every fact, price, date, hour, link, and claim against a source, and keep approvals in writing.</w:t>
      </w:r>
    </w:p>
    <w:p>
      <w:pPr>
        <w:pStyle w:val="ListParagraph"/>
        <w:numPr>
          <w:ilvl w:val="0"/>
          <w:numId w:val="1"/>
        </w:numPr>
      </w:pPr>
      <w:r>
        <w:t xml:space="preserve">Never imply guaranteed revenue, rankings, bookings, retention, or ad performance.</w:t>
      </w:r>
    </w:p>
    <w:p>
      <w:pPr>
        <w:pStyle w:val="Heading1"/>
      </w:pPr>
      <w:r>
        <w:t xml:space="preserve">Commercial use note</w:t>
      </w:r>
    </w:p>
    <w:p>
      <w:r>
        <w:t xml:space="preserve">These templates are practical launch materials. They do not guarantee revenue, rankings, retention, or advertising performance. Validate claims with buyer data and keep approvals in writing.</w:t>
      </w:r>
    </w:p>
    <w:sectPr>
      <w:footerReference w:type="default" r:id="rId3"/>
      <w:pgSz w:w="12240" w:h="15840"/>
      <w:pgMar w:top="1180" w:right="1440" w:bottom="1000" w:left="1440" w:footer="432"/>
      <w:cols w:space="720"/>
    </w:sectPr>
  </w:body>
</w:document>
</file>

<file path=word/footer.xml><?xml version="1.0" encoding="utf-8"?>
<w:ftr xmlns:w="http://schemas.openxmlformats.org/wordprocessingml/2006/main">
  <w:p>
    <w:pPr>
      <w:pBdr>
        <w:top w:val="single" w:sz="4" w:space="3" w:color="E0DFDD"/>
      </w:pBdr>
      <w:jc w:val="center"/>
    </w:pPr>
    <w:r>
      <w:rPr>
        <w:rFonts w:ascii="Arial" w:hAnsi="Arial"/>
        <w:sz w:val="16"/>
        <w:color w:val="57534E"/>
      </w:rPr>
      <w:t xml:space="preserve">Side Hustle Stephen / Shopify Cart Audit Pack / Page </w:t>
    </w:r>
    <w:r>
      <w:rPr>
        <w:rFonts w:ascii="Arial" w:hAnsi="Arial"/>
        <w:sz w:val="16"/>
        <w:color w:val="57534E"/>
      </w:rP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-"/>
      <w:pPr>
        <w:ind w:left="540" w:hanging="22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1"/>
      <w:color w:val="0A0A0A"/>
    </w:rPr>
    <w:pPr>
      <w:spacing w:after="150" w:line="300" w:lineRule="auto"/>
      <w:widowControl/>
    </w:pPr>
  </w:style>
  <w:style w:type="paragraph" w:styleId="BrandBand">
    <w:name w:val="BrandBand"/>
    <w:rPr>
      <w:rFonts w:ascii="Arial" w:hAnsi="Arial"/>
      <w:b/>
      <w:caps/>
      <w:sz w:val="15"/>
      <w:color w:val="0A0A0A"/>
      <w:spacing w:val="30"/>
    </w:rPr>
    <w:pPr>
      <w:pBdr>
        <w:bottom w:val="single" w:sz="18" w:space="6" w:color="0A0A0A"/>
      </w:pBdr>
      <w:spacing w:before="0" w:after="240"/>
      <w:jc w:val="left"/>
    </w:pPr>
  </w:style>
  <w:style w:type="paragraph" w:styleId="Title">
    <w:name w:val="Title"/>
    <w:rPr>
      <w:rFonts w:ascii="Arial" w:hAnsi="Arial"/>
      <w:b/>
      <w:sz w:val="56"/>
      <w:color w:val="0A0A0A"/>
      <w:spacing w:val="-10"/>
    </w:rPr>
    <w:pPr>
      <w:spacing w:before="60" w:after="60" w:line="300" w:lineRule="auto"/>
      <w:keepNext/>
    </w:pPr>
  </w:style>
  <w:style w:type="paragraph" w:styleId="Subtitle">
    <w:name w:val="Subtitle"/>
    <w:rPr>
      <w:rFonts w:ascii="Arial" w:hAnsi="Arial"/>
      <w:b/>
      <w:caps/>
      <w:sz w:val="16"/>
      <w:color w:val="57534E"/>
    </w:rPr>
    <w:pPr>
      <w:spacing w:after="120"/>
    </w:pPr>
  </w:style>
  <w:style w:type="paragraph" w:styleId="Tagline">
    <w:name w:val="Tagline"/>
    <w:rPr>
      <w:rFonts w:ascii="Arial" w:hAnsi="Arial"/>
      <w:sz w:val="22"/>
      <w:color w:val="0A59D2"/>
    </w:rPr>
    <w:pPr>
      <w:spacing w:before="0" w:after="150" w:line="300" w:lineRule="auto"/>
    </w:pPr>
  </w:style>
  <w:style w:type="paragraph" w:styleId="Lead">
    <w:name w:val="Lead"/>
    <w:rPr>
      <w:rFonts w:ascii="Arial" w:hAnsi="Arial"/>
      <w:sz w:val="24"/>
      <w:color w:val="0A0A0A"/>
    </w:rPr>
    <w:pPr>
      <w:spacing w:before="80" w:after="60" w:line="340" w:lineRule="auto"/>
    </w:pPr>
  </w:style>
  <w:style w:type="paragraph" w:styleId="Kicker">
    <w:name w:val="Kicker"/>
    <w:rPr>
      <w:rFonts w:ascii="Arial" w:hAnsi="Arial"/>
      <w:b/>
      <w:caps/>
      <w:sz w:val="15"/>
      <w:color w:val="57534E"/>
      <w:spacing w:val="24"/>
    </w:rPr>
    <w:pPr>
      <w:spacing w:before="180" w:after="70"/>
    </w:pPr>
  </w:style>
  <w:style w:type="paragraph" w:styleId="Heading1">
    <w:name w:val="heading 1"/>
    <w:rPr>
      <w:rFonts w:ascii="Arial" w:hAnsi="Arial"/>
      <w:b/>
      <w:sz w:val="30"/>
      <w:color w:val="0A0A0A"/>
      <w:spacing w:val="-6"/>
    </w:rPr>
    <w:pPr>
      <w:keepNext/>
      <w:spacing w:before="360" w:after="140"/>
      <w:pBdr>
        <w:bottom w:val="single" w:sz="12" w:space="7" w:color="0A0A0A"/>
      </w:pBdr>
    </w:pPr>
  </w:style>
  <w:style w:type="paragraph" w:styleId="Heading2">
    <w:name w:val="heading 2"/>
    <w:rPr>
      <w:rFonts w:ascii="Arial" w:hAnsi="Arial"/>
      <w:b/>
      <w:sz w:val="24"/>
      <w:color w:val="0A0A0A"/>
    </w:rPr>
    <w:pPr>
      <w:spacing w:after="70"/>
    </w:pPr>
  </w:style>
  <w:style w:type="paragraph" w:styleId="Heading3">
    <w:name w:val="heading 3"/>
    <w:rPr>
      <w:rFonts w:ascii="Arial" w:hAnsi="Arial"/>
      <w:b/>
      <w:sz w:val="22"/>
      <w:color w:val="0A59D2"/>
    </w:rPr>
    <w:pPr>
      <w:keepNext/>
      <w:spacing w:before="190" w:after="70"/>
    </w:pPr>
  </w:style>
  <w:style w:type="paragraph" w:styleId="Meta">
    <w:name w:val="Meta"/>
    <w:rPr>
      <w:rFonts w:ascii="Arial" w:hAnsi="Arial"/>
      <w:b/>
      <w:sz w:val="18"/>
      <w:color w:val="57534E"/>
    </w:rPr>
    <w:pPr>
      <w:spacing w:after="95"/>
    </w:pPr>
  </w:style>
  <w:style w:type="paragraph" w:styleId="ListParagraph">
    <w:name w:val="List Paragraph"/>
    <w:rPr>
      <w:rFonts w:ascii="Arial" w:hAnsi="Arial"/>
      <w:sz w:val="20"/>
      <w:color w:val="0A0A0A"/>
    </w:rPr>
    <w:pPr>
      <w:spacing w:after="110" w:line="292" w:lineRule="auto"/>
      <w:ind w:left="540" w:hanging="220"/>
      <w:widowControl/>
    </w:pPr>
  </w:style>
  <w:style w:type="paragraph" w:styleId="Checklist">
    <w:name w:val="Checklist"/>
    <w:rPr>
      <w:rFonts w:ascii="Arial" w:hAnsi="Arial"/>
      <w:b/>
      <w:sz w:val="20"/>
      <w:color w:val="0A0A0A"/>
    </w:rPr>
    <w:pPr>
      <w:spacing w:after="92" w:line="280" w:lineRule="auto"/>
      <w:shd w:fill="EEF4FF"/>
      <w:pBdr>
        <w:left w:val="single" w:sz="18" w:space="8" w:color="0A59D2"/>
      </w:pBdr>
    </w:pPr>
  </w:style>
  <w:style w:type="paragraph" w:styleId="IntenseQuote">
    <w:name w:val="Intense Quote"/>
    <w:rPr>
      <w:rFonts w:ascii="Arial" w:hAnsi="Arial"/>
      <w:b/>
      <w:color w:val="0A0A0A"/>
      <w:sz w:val="21"/>
    </w:rPr>
    <w:pPr>
      <w:spacing w:before="90" w:after="170" w:line="292" w:lineRule="auto"/>
      <w:shd w:fill="F5F3F1"/>
      <w:pBdr>
        <w:left w:val="single" w:sz="24" w:space="10" w:color="0A0A0A"/>
      </w:pBdr>
    </w:pPr>
  </w:style>
  <w:style w:type="paragraph" w:styleId="ExampleBlock">
    <w:name w:val="Example Block"/>
    <w:rPr>
      <w:rFonts w:ascii="Arial" w:hAnsi="Arial"/>
      <w:sz w:val="21"/>
      <w:color w:val="0A0A0A"/>
    </w:rPr>
    <w:pPr>
      <w:spacing w:before="60" w:after="120" w:line="288" w:lineRule="auto"/>
      <w:shd w:fill="EEF4FF"/>
      <w:pBdr>
        <w:left w:val="single" w:sz="14" w:space="8" w:color="0A59D2"/>
      </w:pBdr>
    </w:pPr>
  </w:style>
  <w:style w:type="paragraph" w:styleId="EmailSubject">
    <w:name w:val="Email Subject"/>
    <w:rPr>
      <w:rFonts w:ascii="Arial" w:hAnsi="Arial"/>
      <w:b/>
      <w:sz w:val="21"/>
      <w:color w:val="0A0A0A"/>
    </w:rPr>
    <w:pPr>
      <w:keepNext/>
      <w:spacing w:before="150" w:after="0" w:line="284" w:lineRule="auto"/>
      <w:shd w:fill="EEF4FF"/>
      <w:pBdr>
        <w:top w:val="single" w:sz="14" w:space="6" w:color="0A59D2"/>
        <w:left w:val="single" w:sz="14" w:space="8" w:color="0A59D2"/>
      </w:pBdr>
    </w:pPr>
  </w:style>
  <w:style w:type="paragraph" w:styleId="TableHeader">
    <w:name w:val="Table Header"/>
    <w:rPr>
      <w:rFonts w:ascii="Arial" w:hAnsi="Arial"/>
      <w:b/>
      <w:caps/>
      <w:sz w:val="18"/>
      <w:color w:val="FFFFFF"/>
      <w:spacing w:val="14"/>
    </w:rPr>
    <w:pPr>
      <w:spacing w:before="0" w:after="0" w:line="250" w:lineRule="auto"/>
    </w:pPr>
  </w:style>
  <w:style w:type="paragraph" w:styleId="TableCell">
    <w:name w:val="Table Cell"/>
    <w:rPr>
      <w:rFonts w:ascii="Arial" w:hAnsi="Arial"/>
      <w:sz w:val="20"/>
      <w:color w:val="0A0A0A"/>
    </w:rPr>
    <w:pPr>
      <w:spacing w:before="0" w:after="0" w:line="262" w:lineRule="auto"/>
    </w:pPr>
  </w:style>
  <w:style w:type="paragraph" w:styleId="TableLabel">
    <w:name w:val="Table Label"/>
    <w:rPr>
      <w:rFonts w:ascii="Arial" w:hAnsi="Arial"/>
      <w:b/>
      <w:sz w:val="20"/>
      <w:color w:val="0A0A0A"/>
    </w:rPr>
    <w:pPr>
      <w:spacing w:before="0" w:after="0" w:line="262" w:lineRule="auto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oter" Target="footer.xml"/>
</Relationships>
</file>

<file path=docProps/app.xml><?xml version="1.0" encoding="utf-8"?>
<Properties xmlns="http://schemas.openxmlformats.org/officeDocument/2006/extended-properties">
  <Application>Side Hustle Stephen Asset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Abandoned Cart Email Swipe</dc:title>
  <dc:creator>Side Hustle Stephen</dc:creator>
  <dc:subject>Shopify Cart Audit Pack</dc:subject>
  <dc:description>Starter copy blocks for small stores.</dc:description>
</cp:coreProperties>
</file>