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Google Business Profile Rescue</w:t>
      </w:r>
    </w:p>
    <w:p>
      <w:pPr>
        <w:pStyle w:val="Lead"/>
      </w:pPr>
      <w:r>
        <w:t xml:space="preserve">Buyer-facing FAQs that explain profile rescue scope, ranking disclaimers, access, approvals, and maintenance.</w:t>
      </w:r>
    </w:p>
    <w:p>
      <w:pPr>
        <w:pStyle w:val="Tagline"/>
      </w:pPr>
      <w:r>
        <w:t xml:space="preserve">Most local businesses lose trust before people visit.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Local service businesses</w:t>
      </w:r>
    </w:p>
    <w:p>
      <w:pPr>
        <w:pStyle w:val="Meta"/>
      </w:pPr>
      <w:r>
        <w:t xml:space="preserve">Category: Local Service  /  Startup cost: $0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google business profile rescue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local service businesses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1-7 days,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local service businesses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service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Google Business Profile Rescue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Google Business Profile Rescue</dc:subject>
  <dc:description>Buyer-facing FAQs that explain profile rescue scope, ranking disclaimers, access, approvals, and maintenance.</dc:description>
</cp:coreProperties>
</file>