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oter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BrandBand"/>
      </w:pPr>
      <w:r>
        <w:t xml:space="preserve">SIDE HUSTLE STEPHEN</w:t>
      </w:r>
    </w:p>
    <w:p>
      <w:pPr>
        <w:pStyle w:val="Title"/>
      </w:pPr>
      <w:r>
        <w:t xml:space="preserve">Headlight Outreach Scripts</w:t>
      </w:r>
    </w:p>
    <w:p>
      <w:pPr>
        <w:pStyle w:val="Heading2"/>
      </w:pPr>
      <w:r>
        <w:t xml:space="preserve">Mobile Headlight Restoration</w:t>
      </w:r>
    </w:p>
    <w:p>
      <w:pPr>
        <w:pStyle w:val="Lead"/>
      </w:pPr>
      <w:r>
        <w:t xml:space="preserve">Neighbour note, marketplace, dealer, DM, email, call, and follow-up scripts built around cloudy-headlight before-and-after proof.</w:t>
      </w:r>
    </w:p>
    <w:p>
      <w:pPr>
        <w:pStyle w:val="Tagline"/>
      </w:pPr>
      <w:r>
        <w:t xml:space="preserve">Cloudy headlights are a small fix with obvious before-and-after proof.</w:t>
      </w:r>
    </w:p>
    <w:p>
      <w:pPr>
        <w:pBdr>
          <w:bottom w:val="single" w:sz="8" w:space="1" w:color="0A0A0A"/>
        </w:pBdr>
        <w:spacing w:before="70" w:after="210"/>
      </w:pP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2200"/>
        <w:gridCol w:w="6980"/>
      </w:tblGrid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Buyer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Car owners, used-car sellers, landlords with fleets, and local dealers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Category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Local Service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Startup cost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$51-$150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First sale</w:t>
            </w:r>
          </w:p>
        </w:tc>
        <w:tc>
          <w:tcPr>
            <w:tcW w:w="69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1-7 days</w:t>
            </w:r>
          </w:p>
        </w:tc>
      </w:tr>
      <w:tr>
        <w:tc>
          <w:tcPr>
            <w:tcW w:w="22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Difficulty</w:t>
            </w:r>
          </w:p>
        </w:tc>
        <w:tc>
          <w:tcPr>
            <w:tcW w:w="69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Easy</w:t>
            </w:r>
          </w:p>
        </w:tc>
      </w:tr>
    </w:tbl>
    <w:p>
      <w:pPr>
        <w:pStyle w:val="Kicker"/>
      </w:pPr>
      <w:r>
        <w:t xml:space="preserve">Operator standard</w:t>
      </w:r>
    </w:p>
    <w:p>
      <w:pPr>
        <w:pStyle w:val="IntenseQuote"/>
      </w:pPr>
      <w:r>
        <w:t xml:space="preserve">Use this as a working asset. Replace bracketed details with buyer-specific information, verify every sensitive fact, and keep approvals in writing.</w:t>
      </w:r>
    </w:p>
    <w:p>
      <w:pPr>
        <w:pStyle w:val="Kicker"/>
      </w:pPr>
      <w:r>
        <w:t xml:space="preserve">Launch action board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620"/>
        <w:gridCol w:w="3960"/>
        <w:gridCol w:w="3600"/>
      </w:tblGrid>
      <w:tr>
        <w:tc>
          <w:tcPr>
            <w:tcW w:w="1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Move</w:t>
            </w:r>
          </w:p>
        </w:tc>
        <w:tc>
          <w:tcPr>
            <w:tcW w:w="396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check</w:t>
            </w:r>
          </w:p>
        </w:tc>
        <w:tc>
          <w:tcPr>
            <w:tcW w:w="36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Output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1. Scope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Buyer, input files, sensitive claims, approval owner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Clean project brief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2. Build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Use the template, prompts, checklist, or workbook sections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Buyer-specific asset</w:t>
            </w:r>
          </w:p>
        </w:tc>
      </w:tr>
      <w:tr>
        <w:tc>
          <w:tcPr>
            <w:tcW w:w="1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3. Approve</w:t>
            </w:r>
          </w:p>
        </w:tc>
        <w:tc>
          <w:tcPr>
            <w:tcW w:w="396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Facts, prices, dates, links, policies, and public claims</w:t>
            </w:r>
          </w:p>
        </w:tc>
        <w:tc>
          <w:tcPr>
            <w:tcW w:w="36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Approved final version</w:t>
            </w:r>
          </w:p>
        </w:tc>
      </w:tr>
      <w:tr>
        <w:tc>
          <w:tcPr>
            <w:tcW w:w="1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4. Follow up</w:t>
            </w:r>
          </w:p>
        </w:tc>
        <w:tc>
          <w:tcPr>
            <w:tcW w:w="396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Next refresh, retainer, or second sprint</w:t>
            </w:r>
          </w:p>
        </w:tc>
        <w:tc>
          <w:tcPr>
            <w:tcW w:w="36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Clear paid next step</w:t>
            </w:r>
          </w:p>
        </w:tc>
      </w:tr>
    </w:tbl>
    <w:p>
      <w:pPr>
        <w:pStyle w:val="Kicker"/>
      </w:pPr>
      <w:r>
        <w:t xml:space="preserve">In this document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1500"/>
        <w:gridCol w:w="7620"/>
      </w:tblGrid>
      <w:tr>
        <w:tc>
          <w:tcPr>
            <w:tcW w:w="15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Section</w:t>
            </w:r>
          </w:p>
        </w:tc>
        <w:tc>
          <w:tcPr>
            <w:tcW w:w="762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it covers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direct audit opener - Subject: quick mobile headlight restoration idea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02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value-first version - Subject: spotted one quick fix for [business]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03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Cold email: referral version - Subject: who handles this?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04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DM opener - Hey [Name] - quick idea for [business]. I noticed [specific observation]. I help car…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05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Paid test offer - Offer one narrow outcome that can be delivered in 48-72 hours.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06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Loom script - Open with the visible business context in the first 10 seconds.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07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Follow-up sequence - Day 2: send the sample again with one new observation.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08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Objection handling - Too busy: offer a fixed input list and a single review window.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09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and handoff copy - Thanks - I will send the first draft by [date/time]. I need [input 1], [input 2], and the…</w:t>
            </w:r>
          </w:p>
        </w:tc>
      </w:tr>
      <w:tr>
        <w:tc>
          <w:tcPr>
            <w:tcW w:w="150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10</w:t>
            </w:r>
          </w:p>
        </w:tc>
        <w:tc>
          <w:tcPr>
            <w:tcW w:w="762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Approval checklist - The buyer approved the visible facts, pricing, claims, hours, dates, names, and links.</w:t>
            </w:r>
          </w:p>
        </w:tc>
      </w:tr>
      <w:tr>
        <w:tc>
          <w:tcPr>
            <w:tcW w:w="15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11</w:t>
            </w:r>
          </w:p>
        </w:tc>
        <w:tc>
          <w:tcPr>
            <w:tcW w:w="762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Delivery standards (shared) - This asset is for car owners, used-car sellers, landlords with fleets, and local dealers…</w:t>
            </w:r>
          </w:p>
        </w:tc>
      </w:tr>
    </w:tbl>
    <w:p>
      <w:pPr>
        <w:pStyle w:val="Heading3"/>
      </w:pPr>
      <w:r>
        <w:t xml:space="preserve">Before sending</w:t>
      </w:r>
    </w:p>
    <w:p>
      <w:pPr>
        <w:pStyle w:val="Checklist"/>
      </w:pPr>
      <w:r>
        <w:t xml:space="preserve">[ ]  Replace bracketed fields.</w:t>
      </w:r>
    </w:p>
    <w:p>
      <w:pPr>
        <w:pStyle w:val="Checklist"/>
      </w:pPr>
      <w:r>
        <w:t xml:space="preserve">[ ]  Verify facts and claims.</w:t>
      </w:r>
    </w:p>
    <w:p>
      <w:pPr>
        <w:pStyle w:val="Checklist"/>
      </w:pPr>
      <w:r>
        <w:t xml:space="preserve">[ ]  Send for approval before publishing.</w:t>
      </w:r>
    </w:p>
    <w:p>
      <w:pPr>
        <w:pStyle w:val="Heading1"/>
      </w:pPr>
      <w:r>
        <w:t xml:space="preserve">01 / Cold email: direct audit opener</w:t>
      </w:r>
    </w:p>
    <w:p>
      <w:pPr>
        <w:pStyle w:val="EmailSubject"/>
      </w:pPr>
      <w:r>
        <w:t xml:space="preserve">Subject: quick mobile headlight restoration idea</w:t>
      </w:r>
    </w:p>
    <w:p>
      <w:pPr>
        <w:pStyle w:val="ExampleBlock"/>
      </w:pPr>
      <w:r>
        <w:t xml:space="preserve">Hi [Name], I noticed [specific visible issue]. I put together a quick example of how I would improve it for car owners, used-car sellers, landlords with fleets, and local dealers.</w:t>
      </w:r>
    </w:p>
    <w:p>
      <w:pPr>
        <w:pStyle w:val="ExampleBlock"/>
      </w:pPr>
      <w:r>
        <w:t xml:space="preserve">The offer is simple: a mobile headlight restoration service with lens-condition checks, paint masking, sanding, polishing, UV sealant, and before/after proof. It is built to be reviewed quickly, delivered quickly, and updated without adding work for your team.</w:t>
      </w:r>
    </w:p>
    <w:p>
      <w:pPr>
        <w:pStyle w:val="ExampleBlock"/>
      </w:pPr>
      <w:r>
        <w:t xml:space="preserve">Worth me sending over the sample and a 3-point fix list?</w:t>
      </w:r>
    </w:p>
    <w:p>
      <w:pPr>
        <w:pStyle w:val="Heading1"/>
      </w:pPr>
      <w:r>
        <w:t xml:space="preserve">02 / Cold email: value-first version</w:t>
      </w:r>
    </w:p>
    <w:p>
      <w:pPr>
        <w:pStyle w:val="EmailSubject"/>
      </w:pPr>
      <w:r>
        <w:t xml:space="preserve">Subject: spotted one quick fix for [business]</w:t>
      </w:r>
    </w:p>
    <w:p>
      <w:pPr>
        <w:pStyle w:val="ExampleBlock"/>
      </w:pPr>
      <w:r>
        <w:t xml:space="preserve">Hi [Name], I was looking at [business] and noticed [specific gap]. For car owners, used-car sellers, landlords with fleets, and local dealers, this usually creates friction because customers cannot quickly decide what to do next.</w:t>
      </w:r>
    </w:p>
    <w:p>
      <w:pPr>
        <w:pStyle w:val="ExampleBlock"/>
      </w:pPr>
      <w:r>
        <w:t xml:space="preserve">I help with a mobile headlight restoration service with lens-condition checks, paint masking, sanding, polishing, UV sealant, and before/after proof. I can send a short before/after sample first so you can see the practical difference before discussing any project.</w:t>
      </w:r>
    </w:p>
    <w:p>
      <w:pPr>
        <w:pStyle w:val="ExampleBlock"/>
      </w:pPr>
      <w:r>
        <w:t xml:space="preserve">Would it be useful if I sent the sample this week?</w:t>
      </w:r>
    </w:p>
    <w:p>
      <w:pPr>
        <w:pStyle w:val="Heading1"/>
      </w:pPr>
      <w:r>
        <w:t xml:space="preserve">03 / Cold email: referral version</w:t>
      </w:r>
    </w:p>
    <w:p>
      <w:pPr>
        <w:pStyle w:val="EmailSubject"/>
      </w:pPr>
      <w:r>
        <w:t xml:space="preserve">Subject: who handles this?</w:t>
      </w:r>
    </w:p>
    <w:p>
      <w:pPr>
        <w:pStyle w:val="ExampleBlock"/>
      </w:pPr>
      <w:r>
        <w:t xml:space="preserve">Hi [Name], quick one - who looks after [specific operational/customer-facing area] for [business]?</w:t>
      </w:r>
    </w:p>
    <w:p>
      <w:pPr>
        <w:pStyle w:val="ExampleBlock"/>
      </w:pPr>
      <w:r>
        <w:t xml:space="preserve">I am putting together a small fix for car owners, used-car sellers, landlords with fleets, and local dealers around a mobile headlight restoration service with lens-condition checks, paint masking, sanding, polishing, UV sealant, and before/after proof, and I think there may be a useful quick win here.</w:t>
      </w:r>
    </w:p>
    <w:p>
      <w:pPr>
        <w:pStyle w:val="ExampleBlock"/>
      </w:pPr>
      <w:r>
        <w:t xml:space="preserve">If that is you, I can send the short version. If not, who is the best person to ask?</w:t>
      </w:r>
    </w:p>
    <w:p>
      <w:pPr>
        <w:pStyle w:val="Heading1"/>
      </w:pPr>
      <w:r>
        <w:t xml:space="preserve">04 / DM opener</w:t>
      </w:r>
    </w:p>
    <w:p>
      <w:pPr>
        <w:pStyle w:val="ExampleBlock"/>
      </w:pPr>
      <w:r>
        <w:t xml:space="preserve">Hey [Name] - quick idea for [business]. I noticed [specific observation]. I help car owners, used-car sellers, landlords with fleets, and local dealers with a mobile headlight restoration service with lens-condition checks, paint masking, sanding, polishing, UV sealant, and before/after proof.</w:t>
      </w:r>
    </w:p>
    <w:p>
      <w:pPr>
        <w:pStyle w:val="ListParagraph"/>
        <w:numPr>
          <w:ilvl w:val="0"/>
          <w:numId w:val="1"/>
        </w:numPr>
      </w:pPr>
      <w:r>
        <w:t xml:space="preserve">I can send a tiny before/after mockup or checklist first. No pitch deck, just the visible fixes.</w:t>
      </w:r>
    </w:p>
    <w:p>
      <w:pPr>
        <w:pStyle w:val="Heading1"/>
      </w:pPr>
      <w:r>
        <w:t xml:space="preserve">05 / Paid test offer</w:t>
      </w:r>
    </w:p>
    <w:p>
      <w:pPr>
        <w:pStyle w:val="ListParagraph"/>
        <w:numPr>
          <w:ilvl w:val="0"/>
          <w:numId w:val="1"/>
        </w:numPr>
      </w:pPr>
      <w:r>
        <w:t xml:space="preserve">Offer one narrow outcome that can be delivered in 48-72 hours.</w:t>
      </w:r>
    </w:p>
    <w:p>
      <w:pPr>
        <w:pStyle w:val="ListParagraph"/>
        <w:numPr>
          <w:ilvl w:val="0"/>
          <w:numId w:val="1"/>
        </w:numPr>
      </w:pPr>
      <w:r>
        <w:t xml:space="preserve">Name exactly what the buyer receives, what input you need, and what is out of scope.</w:t>
      </w:r>
    </w:p>
    <w:p>
      <w:pPr>
        <w:pStyle w:val="ListParagraph"/>
        <w:numPr>
          <w:ilvl w:val="0"/>
          <w:numId w:val="1"/>
        </w:numPr>
      </w:pPr>
      <w:r>
        <w:t xml:space="preserve">Use this line: 'If it is useful, we can turn it into the full package. If not, you still keep the asset.'</w:t>
      </w:r>
    </w:p>
    <w:p>
      <w:pPr>
        <w:pStyle w:val="ListParagraph"/>
        <w:numPr>
          <w:ilvl w:val="0"/>
          <w:numId w:val="1"/>
        </w:numPr>
      </w:pPr>
      <w:r>
        <w:t xml:space="preserve">Price the test low enough to remove risk but high enough to prove buyer intent.</w:t>
      </w:r>
    </w:p>
    <w:p>
      <w:pPr>
        <w:pStyle w:val="Heading1"/>
      </w:pPr>
      <w:r>
        <w:t xml:space="preserve">06 / Loom script</w:t>
      </w:r>
    </w:p>
    <w:p>
      <w:pPr>
        <w:pStyle w:val="ExampleBlock"/>
      </w:pPr>
      <w:r>
        <w:t xml:space="preserve">Open with the visible business context in the first 10 seconds.</w:t>
      </w:r>
    </w:p>
    <w:p>
      <w:pPr>
        <w:pStyle w:val="ExampleBlock"/>
      </w:pPr>
      <w:r>
        <w:t xml:space="preserve">Show the gap: outdated, unclear, missing, slow, or hard to act on.</w:t>
      </w:r>
    </w:p>
    <w:p>
      <w:pPr>
        <w:pStyle w:val="ExampleBlock"/>
      </w:pPr>
      <w:r>
        <w:t xml:space="preserve">Show one concrete improvement and explain why a customer or lead would notice it.</w:t>
      </w:r>
    </w:p>
    <w:p>
      <w:pPr>
        <w:pStyle w:val="ExampleBlock"/>
      </w:pPr>
      <w:r>
        <w:t xml:space="preserve">Close with one option: a paid sprint, a monthly refresh, or a sample review call.</w:t>
      </w:r>
    </w:p>
    <w:p>
      <w:pPr>
        <w:pStyle w:val="Heading1"/>
      </w:pPr>
      <w:r>
        <w:t xml:space="preserve">07 / Follow-up sequence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When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What to send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send the sample again with one new observation.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5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ask if the issue is already handled internally.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10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tiny paid test instead of the full package.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Day 21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close the loop politely and ask permission to share one useful checklist.</w:t>
            </w:r>
          </w:p>
        </w:tc>
      </w:tr>
    </w:tbl>
    <w:p>
      <w:pPr>
        <w:pStyle w:val="Heading1"/>
      </w:pPr>
      <w:r>
        <w:t xml:space="preserve">08 / Objection handling</w:t>
      </w:r>
    </w:p>
    <w:tbl>
      <w:tblPr>
        <w:tblW w:w="0" w:type="auto"/>
        <w:tblInd w:w="0" w:type="dxa"/>
        <w:tblBorders>
          <w:top w:val="single" w:sz="6" w:color="E0DFDD"/>
          <w:left w:val="single" w:sz="6" w:color="E0DFDD"/>
          <w:bottom w:val="single" w:sz="6" w:color="E0DFDD"/>
          <w:right w:val="single" w:sz="6" w:color="E0DFDD"/>
          <w:insideH w:val="single" w:sz="4" w:color="E0DFDD"/>
          <w:insideV w:val="single" w:sz="4" w:color="E0DFDD"/>
        </w:tblBorders>
        <w:tblLook w:firstRow="1" w:noHBand="0" w:noVBand="1"/>
      </w:tblPr>
      <w:tblGrid>
        <w:gridCol w:w="3000"/>
        <w:gridCol w:w="6180"/>
      </w:tblGrid>
      <w:tr>
        <w:tc>
          <w:tcPr>
            <w:tcW w:w="300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Objection</w:t>
            </w:r>
          </w:p>
        </w:tc>
        <w:tc>
          <w:tcPr>
            <w:tcW w:w="6180" w:type="dxa"/>
            <w:shd w:fill="0A0A0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Header"/>
            </w:pPr>
            <w:r>
              <w:t xml:space="preserve">How to respond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Too busy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offer a fixed input list and a single review window.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Too expensive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cut scope to the highest-impact asset first.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We already have someone</w:t>
            </w:r>
          </w:p>
        </w:tc>
        <w:tc>
          <w:tcPr>
            <w:tcW w:w="618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position this as a fast operational clean-up, not a replacement.</w:t>
            </w:r>
          </w:p>
        </w:tc>
      </w:tr>
      <w:tr>
        <w:tc>
          <w:tcPr>
            <w:tcW w:w="3000" w:type="dxa"/>
            <w:shd w:fill="F5F3F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Label"/>
            </w:pPr>
            <w:r>
              <w:t xml:space="preserve">Will this guarantee sales</w:t>
            </w:r>
          </w:p>
        </w:tc>
        <w:tc>
          <w:tcPr>
            <w:tcW w:w="6180" w:type="dxa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>
            <w:pPr>
              <w:pStyle w:val="TableCell"/>
            </w:pPr>
            <w:r>
              <w:t xml:space="preserve">say no; it improves clarity, response speed, and trust signals.</w:t>
            </w:r>
          </w:p>
        </w:tc>
      </w:tr>
    </w:tbl>
    <w:p>
      <w:pPr>
        <w:pStyle w:val="Heading1"/>
      </w:pPr>
      <w:r>
        <w:t xml:space="preserve">09 / Close and handoff copy</w:t>
      </w:r>
    </w:p>
    <w:p>
      <w:pPr>
        <w:pStyle w:val="ExampleBlock"/>
      </w:pPr>
      <w:r>
        <w:t xml:space="preserve">Thanks - I will send the first draft by [date/time]. I need [input 1], [input 2], and the best contact for approvals.</w:t>
      </w:r>
    </w:p>
    <w:p>
      <w:pPr>
        <w:pStyle w:val="ExampleBlock"/>
      </w:pPr>
      <w:r>
        <w:t xml:space="preserve">I will mark anything uncertain instead of guessing. Once you approve, I will export the final files and include a short implementation checklist.</w:t>
      </w:r>
    </w:p>
    <w:p>
      <w:pPr>
        <w:pStyle w:val="ExampleBlock"/>
      </w:pPr>
      <w:r>
        <w:t xml:space="preserve">For monthly work, I will send a refresh reminder on [day] with the exact items I need from you.</w:t>
      </w:r>
    </w:p>
    <w:p>
      <w:pPr>
        <w:pStyle w:val="Heading1"/>
      </w:pPr>
      <w:r>
        <w:t xml:space="preserve">10 / Approval checklist</w:t>
      </w:r>
    </w:p>
    <w:p>
      <w:pPr>
        <w:pStyle w:val="ListParagraph"/>
        <w:numPr>
          <w:ilvl w:val="0"/>
          <w:numId w:val="1"/>
        </w:numPr>
      </w:pPr>
      <w:r>
        <w:t xml:space="preserve">The buyer approved the visible facts, pricing, claims, hours, dates, names, and links.</w:t>
      </w:r>
    </w:p>
    <w:p>
      <w:pPr>
        <w:pStyle w:val="ListParagraph"/>
        <w:numPr>
          <w:ilvl w:val="0"/>
          <w:numId w:val="1"/>
        </w:numPr>
      </w:pPr>
      <w:r>
        <w:t xml:space="preserve">The final asset can be used without extra explanation from you.</w:t>
      </w:r>
    </w:p>
    <w:p>
      <w:pPr>
        <w:pStyle w:val="ListParagraph"/>
        <w:numPr>
          <w:ilvl w:val="0"/>
          <w:numId w:val="1"/>
        </w:numPr>
      </w:pPr>
      <w:r>
        <w:t xml:space="preserve">Any performance-sensitive claims are phrased as clarity, trust, speed, or operational improvements rather than guaranteed revenue.</w:t>
      </w:r>
    </w:p>
    <w:p>
      <w:pPr>
        <w:pStyle w:val="Heading1"/>
      </w:pPr>
      <w:r>
        <w:t xml:space="preserve">11 / Delivery standards (shared)</w:t>
      </w:r>
    </w:p>
    <w:p>
      <w:pPr>
        <w:pStyle w:val="ListParagraph"/>
        <w:numPr>
          <w:ilvl w:val="0"/>
          <w:numId w:val="1"/>
        </w:numPr>
      </w:pPr>
      <w:r>
        <w:t xml:space="preserve">This asset is for car owners, used-car sellers, landlords with fleets, and local dealers; replace bracketed fields with their specifics before sending.</w:t>
      </w:r>
    </w:p>
    <w:p>
      <w:pPr>
        <w:pStyle w:val="ListParagraph"/>
        <w:numPr>
          <w:ilvl w:val="0"/>
          <w:numId w:val="1"/>
        </w:numPr>
      </w:pPr>
      <w:r>
        <w:t xml:space="preserve">Full delivery standards - inputs to collect, evidence capture, pricing and scope guardrails, and the pre-send QA list - live once in this pack's AI Prompt Pack.</w:t>
      </w:r>
    </w:p>
    <w:p>
      <w:pPr>
        <w:pStyle w:val="ListParagraph"/>
        <w:numPr>
          <w:ilvl w:val="0"/>
          <w:numId w:val="1"/>
        </w:numPr>
      </w:pPr>
      <w:r>
        <w:t xml:space="preserve">Verify every fact, price, date, hour, link, and claim against a source, and keep approvals in writing.</w:t>
      </w:r>
    </w:p>
    <w:p>
      <w:pPr>
        <w:pStyle w:val="ListParagraph"/>
        <w:numPr>
          <w:ilvl w:val="0"/>
          <w:numId w:val="1"/>
        </w:numPr>
      </w:pPr>
      <w:r>
        <w:t xml:space="preserve">Never imply guaranteed revenue, rankings, bookings, retention, or ad performance.</w:t>
      </w:r>
    </w:p>
    <w:p>
      <w:pPr>
        <w:pStyle w:val="Heading1"/>
      </w:pPr>
      <w:r>
        <w:t xml:space="preserve">Commercial use note</w:t>
      </w:r>
    </w:p>
    <w:p>
      <w:r>
        <w:t xml:space="preserve">These templates are practical launch materials. They do not guarantee revenue, rankings, retention, or advertising performance. Validate claims with buyer data and keep approvals in writing.</w:t>
      </w:r>
    </w:p>
    <w:sectPr>
      <w:footerReference w:type="default" r:id="rId3"/>
      <w:pgSz w:w="12240" w:h="15840"/>
      <w:pgMar w:top="1180" w:right="1440" w:bottom="1000" w:left="1440" w:footer="432"/>
      <w:cols w:space="720"/>
    </w:sectPr>
  </w:body>
</w:document>
</file>

<file path=word/footer.xml><?xml version="1.0" encoding="utf-8"?>
<w:ftr xmlns:w="http://schemas.openxmlformats.org/wordprocessingml/2006/main">
  <w:p>
    <w:pPr>
      <w:pBdr>
        <w:top w:val="single" w:sz="4" w:space="3" w:color="E0DFDD"/>
      </w:pBdr>
      <w:jc w:val="center"/>
    </w:pPr>
    <w:r>
      <w:rPr>
        <w:rFonts w:ascii="Arial" w:hAnsi="Arial"/>
        <w:sz w:val="16"/>
        <w:color w:val="57534E"/>
      </w:rPr>
      <w:t xml:space="preserve">Side Hustle Stephen / Mobile Headlight Restoration / Page </w:t>
    </w:r>
    <w:r>
      <w:rPr>
        <w:rFonts w:ascii="Arial" w:hAnsi="Arial"/>
        <w:sz w:val="16"/>
        <w:color w:val="57534E"/>
      </w:rPr>
      <w:fldChar w:fldCharType="begin"/>
    </w:r>
    <w:r>
      <w:instrText xml:space="preserve"> PAGE </w:instrText>
    </w:r>
    <w:r>
      <w:fldChar w:fldCharType="end"/>
    </w:r>
  </w:p>
</w:ft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-"/>
      <w:pPr>
        <w:ind w:left="540" w:hanging="220"/>
      </w:pPr>
    </w:lvl>
  </w:abstractNum>
  <w:num w:numId="1">
    <w:abstractNumId w:val="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" w:hAnsi="Arial"/>
      <w:sz w:val="21"/>
      <w:color w:val="0A0A0A"/>
    </w:rPr>
    <w:pPr>
      <w:spacing w:after="150" w:line="300" w:lineRule="auto"/>
      <w:widowControl/>
    </w:pPr>
  </w:style>
  <w:style w:type="paragraph" w:styleId="BrandBand">
    <w:name w:val="BrandBand"/>
    <w:rPr>
      <w:rFonts w:ascii="Arial" w:hAnsi="Arial"/>
      <w:b/>
      <w:caps/>
      <w:sz w:val="15"/>
      <w:color w:val="0A0A0A"/>
      <w:spacing w:val="30"/>
    </w:rPr>
    <w:pPr>
      <w:pBdr>
        <w:bottom w:val="single" w:sz="18" w:space="6" w:color="0A0A0A"/>
      </w:pBdr>
      <w:spacing w:before="0" w:after="240"/>
      <w:jc w:val="left"/>
    </w:pPr>
  </w:style>
  <w:style w:type="paragraph" w:styleId="Title">
    <w:name w:val="Title"/>
    <w:rPr>
      <w:rFonts w:ascii="Arial" w:hAnsi="Arial"/>
      <w:b/>
      <w:sz w:val="56"/>
      <w:color w:val="0A0A0A"/>
      <w:spacing w:val="-10"/>
    </w:rPr>
    <w:pPr>
      <w:spacing w:before="60" w:after="60" w:line="300" w:lineRule="auto"/>
      <w:keepNext/>
    </w:pPr>
  </w:style>
  <w:style w:type="paragraph" w:styleId="Subtitle">
    <w:name w:val="Subtitle"/>
    <w:rPr>
      <w:rFonts w:ascii="Arial" w:hAnsi="Arial"/>
      <w:b/>
      <w:caps/>
      <w:sz w:val="16"/>
      <w:color w:val="57534E"/>
    </w:rPr>
    <w:pPr>
      <w:spacing w:after="120"/>
    </w:pPr>
  </w:style>
  <w:style w:type="paragraph" w:styleId="Tagline">
    <w:name w:val="Tagline"/>
    <w:rPr>
      <w:rFonts w:ascii="Arial" w:hAnsi="Arial"/>
      <w:sz w:val="22"/>
      <w:color w:val="0A59D2"/>
    </w:rPr>
    <w:pPr>
      <w:spacing w:before="0" w:after="150" w:line="300" w:lineRule="auto"/>
    </w:pPr>
  </w:style>
  <w:style w:type="paragraph" w:styleId="Lead">
    <w:name w:val="Lead"/>
    <w:rPr>
      <w:rFonts w:ascii="Arial" w:hAnsi="Arial"/>
      <w:sz w:val="24"/>
      <w:color w:val="0A0A0A"/>
    </w:rPr>
    <w:pPr>
      <w:spacing w:before="80" w:after="60" w:line="340" w:lineRule="auto"/>
    </w:pPr>
  </w:style>
  <w:style w:type="paragraph" w:styleId="Kicker">
    <w:name w:val="Kicker"/>
    <w:rPr>
      <w:rFonts w:ascii="Arial" w:hAnsi="Arial"/>
      <w:b/>
      <w:caps/>
      <w:sz w:val="15"/>
      <w:color w:val="57534E"/>
      <w:spacing w:val="24"/>
    </w:rPr>
    <w:pPr>
      <w:spacing w:before="180" w:after="70"/>
    </w:pPr>
  </w:style>
  <w:style w:type="paragraph" w:styleId="Heading1">
    <w:name w:val="heading 1"/>
    <w:rPr>
      <w:rFonts w:ascii="Arial" w:hAnsi="Arial"/>
      <w:b/>
      <w:sz w:val="30"/>
      <w:color w:val="0A0A0A"/>
      <w:spacing w:val="-6"/>
    </w:rPr>
    <w:pPr>
      <w:keepNext/>
      <w:spacing w:before="360" w:after="140"/>
      <w:pBdr>
        <w:bottom w:val="single" w:sz="12" w:space="7" w:color="0A0A0A"/>
      </w:pBdr>
    </w:pPr>
  </w:style>
  <w:style w:type="paragraph" w:styleId="Heading2">
    <w:name w:val="heading 2"/>
    <w:rPr>
      <w:rFonts w:ascii="Arial" w:hAnsi="Arial"/>
      <w:b/>
      <w:sz w:val="24"/>
      <w:color w:val="0A0A0A"/>
    </w:rPr>
    <w:pPr>
      <w:spacing w:after="70"/>
    </w:pPr>
  </w:style>
  <w:style w:type="paragraph" w:styleId="Heading3">
    <w:name w:val="heading 3"/>
    <w:rPr>
      <w:rFonts w:ascii="Arial" w:hAnsi="Arial"/>
      <w:b/>
      <w:sz w:val="22"/>
      <w:color w:val="0A59D2"/>
    </w:rPr>
    <w:pPr>
      <w:keepNext/>
      <w:spacing w:before="190" w:after="70"/>
    </w:pPr>
  </w:style>
  <w:style w:type="paragraph" w:styleId="Meta">
    <w:name w:val="Meta"/>
    <w:rPr>
      <w:rFonts w:ascii="Arial" w:hAnsi="Arial"/>
      <w:b/>
      <w:sz w:val="18"/>
      <w:color w:val="57534E"/>
    </w:rPr>
    <w:pPr>
      <w:spacing w:after="95"/>
    </w:pPr>
  </w:style>
  <w:style w:type="paragraph" w:styleId="ListParagraph">
    <w:name w:val="List Paragraph"/>
    <w:rPr>
      <w:rFonts w:ascii="Arial" w:hAnsi="Arial"/>
      <w:sz w:val="20"/>
      <w:color w:val="0A0A0A"/>
    </w:rPr>
    <w:pPr>
      <w:spacing w:after="110" w:line="292" w:lineRule="auto"/>
      <w:ind w:left="540" w:hanging="220"/>
      <w:widowControl/>
    </w:pPr>
  </w:style>
  <w:style w:type="paragraph" w:styleId="Checklist">
    <w:name w:val="Checklist"/>
    <w:rPr>
      <w:rFonts w:ascii="Arial" w:hAnsi="Arial"/>
      <w:b/>
      <w:sz w:val="20"/>
      <w:color w:val="0A0A0A"/>
    </w:rPr>
    <w:pPr>
      <w:spacing w:after="92" w:line="280" w:lineRule="auto"/>
      <w:shd w:fill="EEF4FF"/>
      <w:pBdr>
        <w:left w:val="single" w:sz="18" w:space="8" w:color="0A59D2"/>
      </w:pBdr>
    </w:pPr>
  </w:style>
  <w:style w:type="paragraph" w:styleId="IntenseQuote">
    <w:name w:val="Intense Quote"/>
    <w:rPr>
      <w:rFonts w:ascii="Arial" w:hAnsi="Arial"/>
      <w:b/>
      <w:color w:val="0A0A0A"/>
      <w:sz w:val="21"/>
    </w:rPr>
    <w:pPr>
      <w:spacing w:before="90" w:after="170" w:line="292" w:lineRule="auto"/>
      <w:shd w:fill="F5F3F1"/>
      <w:pBdr>
        <w:left w:val="single" w:sz="24" w:space="10" w:color="0A0A0A"/>
      </w:pBdr>
    </w:pPr>
  </w:style>
  <w:style w:type="paragraph" w:styleId="ExampleBlock">
    <w:name w:val="Example Block"/>
    <w:rPr>
      <w:rFonts w:ascii="Arial" w:hAnsi="Arial"/>
      <w:sz w:val="21"/>
      <w:color w:val="0A0A0A"/>
    </w:rPr>
    <w:pPr>
      <w:spacing w:before="60" w:after="120" w:line="288" w:lineRule="auto"/>
      <w:shd w:fill="EEF4FF"/>
      <w:pBdr>
        <w:left w:val="single" w:sz="14" w:space="8" w:color="0A59D2"/>
      </w:pBdr>
    </w:pPr>
  </w:style>
  <w:style w:type="paragraph" w:styleId="EmailSubject">
    <w:name w:val="Email Subject"/>
    <w:rPr>
      <w:rFonts w:ascii="Arial" w:hAnsi="Arial"/>
      <w:b/>
      <w:sz w:val="21"/>
      <w:color w:val="0A0A0A"/>
    </w:rPr>
    <w:pPr>
      <w:keepNext/>
      <w:spacing w:before="150" w:after="0" w:line="284" w:lineRule="auto"/>
      <w:shd w:fill="EEF4FF"/>
      <w:pBdr>
        <w:top w:val="single" w:sz="14" w:space="6" w:color="0A59D2"/>
        <w:left w:val="single" w:sz="14" w:space="8" w:color="0A59D2"/>
      </w:pBdr>
    </w:pPr>
  </w:style>
  <w:style w:type="paragraph" w:styleId="TableHeader">
    <w:name w:val="Table Header"/>
    <w:rPr>
      <w:rFonts w:ascii="Arial" w:hAnsi="Arial"/>
      <w:b/>
      <w:caps/>
      <w:sz w:val="18"/>
      <w:color w:val="FFFFFF"/>
      <w:spacing w:val="14"/>
    </w:rPr>
    <w:pPr>
      <w:spacing w:before="0" w:after="0" w:line="250" w:lineRule="auto"/>
    </w:pPr>
  </w:style>
  <w:style w:type="paragraph" w:styleId="TableCell">
    <w:name w:val="Table Cell"/>
    <w:rPr>
      <w:rFonts w:ascii="Arial" w:hAnsi="Arial"/>
      <w:sz w:val="20"/>
      <w:color w:val="0A0A0A"/>
    </w:rPr>
    <w:pPr>
      <w:spacing w:before="0" w:after="0" w:line="262" w:lineRule="auto"/>
    </w:pPr>
  </w:style>
  <w:style w:type="paragraph" w:styleId="TableLabel">
    <w:name w:val="Table Label"/>
    <w:rPr>
      <w:rFonts w:ascii="Arial" w:hAnsi="Arial"/>
      <w:b/>
      <w:sz w:val="20"/>
      <w:color w:val="0A0A0A"/>
    </w:rPr>
    <w:pPr>
      <w:spacing w:before="0" w:after="0" w:line="262" w:lineRule="auto"/>
    </w:p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  <Relationship Id="rId3" Type="http://schemas.openxmlformats.org/officeDocument/2006/relationships/footer" Target="footer.xml"/>
</Relationships>
</file>

<file path=docProps/app.xml><?xml version="1.0" encoding="utf-8"?>
<Properties xmlns="http://schemas.openxmlformats.org/officeDocument/2006/extended-properties">
  <Application>Side Hustle Stephen Asset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>
  <dc:title>Headlight Outreach Scripts</dc:title>
  <dc:creator>Side Hustle Stephen</dc:creator>
  <dc:subject>Mobile Headlight Restoration</dc:subject>
  <dc:description>Neighbour note, marketplace, dealer, DM, email, call, and follow-up scripts built around cloudy-headlight before-and-after proof.</dc:description>
</cp:coreProperties>
</file>