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Editable intake questions for cancellation exports, member privacy, churn tags, membership types, and owner goals.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Boutique gyms and studios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Gyms know members cancel, but not why.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Retention is directly tied to gym revenue, and small studios rarely have clean insight into churn reasons.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You need clean enough data and owner buy-in.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boutique gym churn report so the client provides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boutique gyms and studios.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boutique gym churn report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cancellation exports, member privacy rules, churn tags, membership types, and retention goals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Boutique Gym Churn Report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Boutique Gym Churn Report</dc:subject>
  <dc:description>Editable intake questions for cancellation exports, member privacy, churn tags, membership types, and owner goals.</dc:description>
</cp:coreProperties>
</file>