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Editable intake questions for target suburbs, data sources, agency tone, compliance approval, and posting cadence.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Real estate agents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Real estate agents need local content every week.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Agents already pay for local positioning and lead generation; suburb-specific reports are repeatable.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Use public data carefully and cite sources.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realtor suburb snapshot reports so the client provides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real estate agents.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realtor suburb snapshot reports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target suburbs, source preferences, agency tone, compliance process, and publishing cadence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Realtor Suburb Snapshot Reports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Realtor Suburb Snapshot Reports</dc:subject>
  <dc:description>Editable intake questions for target suburbs, data sources, agency tone, compliance approval, and posting cadence.</dc:description>
</cp:coreProperties>
</file>