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29 maart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dataset sharing: back end is af, front end bijna (Jonathan)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joinen op kolommen: bijna af (Dawid)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time/date : front/back end normaal gezien af, wachten op type conversies om te testen (Cedric)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Url safety bug is af (Cedric)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type conversie bijna af (Sergio)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overige issues deze week afwerken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Dataset sharing (❗)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Restructure code / Split in modules (✔️)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Unique schemanames (✔️)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Data-view Service: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Server side table fetching(✔️)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Data-transform Service: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Deleting / adding columns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Changing column types 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Adding / deleting rows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Time/date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