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David Gbogi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March 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Period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Mr. Costanzo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Chapter 3 Key Terms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braces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characters used to mark the beginning and end of blocks of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class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a set of instructions that create an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comments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non executable statements in a program that can be used to document the purpose of the program or to track changes to the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debugging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a step-by-step method of testing a program and correcting programming errors.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lowercase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the non-capital letters of the alphabet.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main method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the primary method, or routine, in a Java application program.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method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one or more statements in a class performing a specific task within an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object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an instance of a class-containing data and the functions that manipulate the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object-oriented programming (OOP)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building programs by creating, controlling, and modifying one or more objects.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procedural programming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creating a program by using a step-by-step process to perform specific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statements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instructions or commands within a method that makes a program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roxima Nova" w:cs="Proxima Nova" w:eastAsia="Proxima Nova" w:hAnsi="Proxima Nova"/>
          <w:u w:val="single"/>
          <w:rtl w:val="0"/>
        </w:rPr>
        <w:t xml:space="preserve">uppercase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- the capital letters of the alphabet.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