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36"/>
          <w:szCs w:val="36"/>
        </w:rPr>
        <w:t xml:space="preserve">An Interpretable Assistant for Rare Disease Diagnosis</w:t>
      </w:r>
    </w:p>
    <w:p>
      <w:pPr>
        <w:spacing w:after="600"/>
        <w:jc w:val="center"/>
      </w:pPr>
      <w:r>
        <w:rPr>
          <w:sz w:val="28"/>
          <w:szCs w:val="28"/>
        </w:rPr>
        <w:t xml:space="preserve">Structural Variant Breakpoint Evidence at Read Level</w:t>
      </w:r>
    </w:p>
    <w:p>
      <w:pPr>
        <w:spacing w:after="80"/>
        <w:jc w:val="center"/>
      </w:pPr>
      <w:r>
        <w:rPr>
          <w:sz w:val="24"/>
          <w:szCs w:val="24"/>
        </w:rPr>
        <w:t xml:space="preserve">Vytautas Rimas</w:t>
      </w:r>
    </w:p>
    <w:p>
      <w:pPr>
        <w:spacing w:after="80"/>
        <w:jc w:val="center"/>
      </w:pPr>
      <w:r>
        <w:rPr>
          <w:sz w:val="22"/>
          <w:szCs w:val="22"/>
        </w:rPr>
        <w:t xml:space="preserve">MSc Systems Biology · Vilnius University</w:t>
      </w:r>
    </w:p>
    <w:p>
      <w:pPr>
        <w:spacing w:after="600"/>
        <w:jc w:val="center"/>
      </w:pPr>
      <w:r>
        <w:rPr>
          <w:sz w:val="22"/>
          <w:szCs w:val="22"/>
        </w:rPr>
        <w:t xml:space="preserve">Supervisor: Erinija Pranckevičienė</w:t>
      </w:r>
    </w:p>
    <w:p>
      <w:pPr>
        <w:jc w:val="center"/>
      </w:pPr>
      <w:r>
        <w:rPr>
          <w:i/>
          <w:iCs/>
          <w:sz w:val="20"/>
          <w:szCs w:val="20"/>
        </w:rPr>
        <w:t xml:space="preserve">Working draft · 30 September 2026</w:t>
      </w:r>
    </w:p>
    <w:p>
      <w:pPr>
        <w:pageBreakBefore/>
        <w:spacing w:after="240"/>
      </w:pPr>
      <w:r>
        <w:rPr>
          <w:b/>
          <w:bCs/>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40" w:before="360"/>
      </w:pPr>
      <w:r>
        <w:t xml:space="preserve">LIST OF ABBREVIATIONS</w:t>
      </w:r>
    </w:p>
    <w:p>
      <w:pPr>
        <w:pStyle w:val="ListParagraph"/>
        <w:numPr>
          <w:ilvl w:val="0"/>
          <w:numId w:val="2"/>
        </w:numPr>
        <w:spacing w:after="80"/>
      </w:pPr>
      <w:r>
        <w:rPr>
          <w:b/>
          <w:bCs/>
        </w:rPr>
        <w:t xml:space="preserve">ACMG/AMP</w:t>
      </w:r>
      <w:r>
        <w:t xml:space="preserve"> — American College of Medical Genetics and Genomics / Association for Molecular Pathology</w:t>
      </w:r>
    </w:p>
    <w:p>
      <w:pPr>
        <w:pStyle w:val="ListParagraph"/>
        <w:numPr>
          <w:ilvl w:val="0"/>
          <w:numId w:val="2"/>
        </w:numPr>
        <w:spacing w:after="80"/>
      </w:pPr>
      <w:r>
        <w:rPr>
          <w:b/>
          <w:bCs/>
        </w:rPr>
        <w:t xml:space="preserve">ALT</w:t>
      </w:r>
      <w:r>
        <w:t xml:space="preserve"> — alternate haplotype contig of the reference assembly</w:t>
      </w:r>
    </w:p>
    <w:p>
      <w:pPr>
        <w:pStyle w:val="ListParagraph"/>
        <w:numPr>
          <w:ilvl w:val="0"/>
          <w:numId w:val="2"/>
        </w:numPr>
        <w:spacing w:after="80"/>
      </w:pPr>
      <w:r>
        <w:rPr>
          <w:b/>
          <w:bCs/>
        </w:rPr>
        <w:t xml:space="preserve">BAM</w:t>
      </w:r>
      <w:r>
        <w:t xml:space="preserve"> — Binary Alignment Map</w:t>
      </w:r>
    </w:p>
    <w:p>
      <w:pPr>
        <w:pStyle w:val="ListParagraph"/>
        <w:numPr>
          <w:ilvl w:val="0"/>
          <w:numId w:val="2"/>
        </w:numPr>
        <w:spacing w:after="80"/>
      </w:pPr>
      <w:r>
        <w:rPr>
          <w:b/>
          <w:bCs/>
        </w:rPr>
        <w:t xml:space="preserve">BND</w:t>
      </w:r>
      <w:r>
        <w:t xml:space="preserve"> — breakend; a variant record describing an inter-chromosomal junction</w:t>
      </w:r>
    </w:p>
    <w:p>
      <w:pPr>
        <w:pStyle w:val="ListParagraph"/>
        <w:numPr>
          <w:ilvl w:val="0"/>
          <w:numId w:val="2"/>
        </w:numPr>
        <w:spacing w:after="80"/>
      </w:pPr>
      <w:r>
        <w:rPr>
          <w:b/>
          <w:bCs/>
        </w:rPr>
        <w:t xml:space="preserve">CNV</w:t>
      </w:r>
      <w:r>
        <w:t xml:space="preserve"> — copy number variant</w:t>
      </w:r>
    </w:p>
    <w:p>
      <w:pPr>
        <w:pStyle w:val="ListParagraph"/>
        <w:numPr>
          <w:ilvl w:val="0"/>
          <w:numId w:val="2"/>
        </w:numPr>
        <w:spacing w:after="80"/>
      </w:pPr>
      <w:r>
        <w:rPr>
          <w:b/>
          <w:bCs/>
        </w:rPr>
        <w:t xml:space="preserve">HPO</w:t>
      </w:r>
      <w:r>
        <w:t xml:space="preserve"> — Human Phenotype Ontology</w:t>
      </w:r>
    </w:p>
    <w:p>
      <w:pPr>
        <w:pStyle w:val="ListParagraph"/>
        <w:numPr>
          <w:ilvl w:val="0"/>
          <w:numId w:val="2"/>
        </w:numPr>
        <w:spacing w:after="80"/>
      </w:pPr>
      <w:r>
        <w:rPr>
          <w:b/>
          <w:bCs/>
        </w:rPr>
        <w:t xml:space="preserve">IGV</w:t>
      </w:r>
      <w:r>
        <w:t xml:space="preserve"> — Integrative Genomics Viewer</w:t>
      </w:r>
    </w:p>
    <w:p>
      <w:pPr>
        <w:pStyle w:val="ListParagraph"/>
        <w:numPr>
          <w:ilvl w:val="0"/>
          <w:numId w:val="2"/>
        </w:numPr>
        <w:spacing w:after="80"/>
      </w:pPr>
      <w:r>
        <w:rPr>
          <w:b/>
          <w:bCs/>
        </w:rPr>
        <w:t xml:space="preserve">LLM</w:t>
      </w:r>
      <w:r>
        <w:t xml:space="preserve"> — large language model</w:t>
      </w:r>
    </w:p>
    <w:p>
      <w:pPr>
        <w:pStyle w:val="ListParagraph"/>
        <w:numPr>
          <w:ilvl w:val="0"/>
          <w:numId w:val="2"/>
        </w:numPr>
        <w:spacing w:after="80"/>
      </w:pPr>
      <w:r>
        <w:rPr>
          <w:b/>
          <w:bCs/>
        </w:rPr>
        <w:t xml:space="preserve">MAPQ</w:t>
      </w:r>
      <w:r>
        <w:t xml:space="preserve"> — mapping quality</w:t>
      </w:r>
    </w:p>
    <w:p>
      <w:pPr>
        <w:pStyle w:val="ListParagraph"/>
        <w:numPr>
          <w:ilvl w:val="0"/>
          <w:numId w:val="2"/>
        </w:numPr>
        <w:spacing w:after="80"/>
      </w:pPr>
      <w:r>
        <w:rPr>
          <w:b/>
          <w:bCs/>
        </w:rPr>
        <w:t xml:space="preserve">MCP</w:t>
      </w:r>
      <w:r>
        <w:t xml:space="preserve"> — Model Context Protocol</w:t>
      </w:r>
    </w:p>
    <w:p>
      <w:pPr>
        <w:pStyle w:val="ListParagraph"/>
        <w:numPr>
          <w:ilvl w:val="0"/>
          <w:numId w:val="2"/>
        </w:numPr>
        <w:spacing w:after="80"/>
      </w:pPr>
      <w:r>
        <w:rPr>
          <w:b/>
          <w:bCs/>
        </w:rPr>
        <w:t xml:space="preserve">PE</w:t>
      </w:r>
      <w:r>
        <w:t xml:space="preserve"> — paired-end; here, the count of discordant read pairs supporting a junction</w:t>
      </w:r>
    </w:p>
    <w:p>
      <w:pPr>
        <w:pStyle w:val="ListParagraph"/>
        <w:numPr>
          <w:ilvl w:val="0"/>
          <w:numId w:val="2"/>
        </w:numPr>
        <w:spacing w:after="80"/>
      </w:pPr>
      <w:r>
        <w:rPr>
          <w:b/>
          <w:bCs/>
        </w:rPr>
        <w:t xml:space="preserve">SA</w:t>
      </w:r>
      <w:r>
        <w:t xml:space="preserve"> — supplementary alignment tag, recording where the remainder of a split read aligns</w:t>
      </w:r>
    </w:p>
    <w:p>
      <w:pPr>
        <w:pStyle w:val="ListParagraph"/>
        <w:numPr>
          <w:ilvl w:val="0"/>
          <w:numId w:val="2"/>
        </w:numPr>
        <w:spacing w:after="80"/>
      </w:pPr>
      <w:r>
        <w:rPr>
          <w:b/>
          <w:bCs/>
        </w:rPr>
        <w:t xml:space="preserve">SNV</w:t>
      </w:r>
      <w:r>
        <w:t xml:space="preserve"> — single nucleotide variant</w:t>
      </w:r>
    </w:p>
    <w:p>
      <w:pPr>
        <w:pStyle w:val="ListParagraph"/>
        <w:numPr>
          <w:ilvl w:val="0"/>
          <w:numId w:val="2"/>
        </w:numPr>
        <w:spacing w:after="80"/>
      </w:pPr>
      <w:r>
        <w:rPr>
          <w:b/>
          <w:bCs/>
        </w:rPr>
        <w:t xml:space="preserve">SR</w:t>
      </w:r>
      <w:r>
        <w:t xml:space="preserve"> — split read</w:t>
      </w:r>
    </w:p>
    <w:p>
      <w:pPr>
        <w:pStyle w:val="ListParagraph"/>
        <w:numPr>
          <w:ilvl w:val="0"/>
          <w:numId w:val="2"/>
        </w:numPr>
        <w:spacing w:after="80"/>
      </w:pPr>
      <w:r>
        <w:rPr>
          <w:b/>
          <w:bCs/>
        </w:rPr>
        <w:t xml:space="preserve">SV</w:t>
      </w:r>
      <w:r>
        <w:t xml:space="preserve"> — structural variant</w:t>
      </w:r>
    </w:p>
    <w:p>
      <w:pPr>
        <w:pStyle w:val="ListParagraph"/>
        <w:numPr>
          <w:ilvl w:val="0"/>
          <w:numId w:val="2"/>
        </w:numPr>
        <w:spacing w:after="80"/>
      </w:pPr>
      <w:r>
        <w:rPr>
          <w:b/>
          <w:bCs/>
        </w:rPr>
        <w:t xml:space="preserve">VCF</w:t>
      </w:r>
      <w:r>
        <w:t xml:space="preserve"> — Variant Call Format</w:t>
      </w:r>
    </w:p>
    <w:p>
      <w:pPr>
        <w:pStyle w:val="ListParagraph"/>
        <w:numPr>
          <w:ilvl w:val="0"/>
          <w:numId w:val="2"/>
        </w:numPr>
        <w:spacing w:after="80"/>
      </w:pPr>
      <w:r>
        <w:rPr>
          <w:b/>
          <w:bCs/>
        </w:rPr>
        <w:t xml:space="preserve">WGS</w:t>
      </w:r>
      <w:r>
        <w:t xml:space="preserve"> — whole genome sequencing</w:t>
      </w:r>
    </w:p>
    <w:p>
      <w:pPr>
        <w:pStyle w:val="Heading1"/>
        <w:pageBreakBefore/>
        <w:spacing w:after="240" w:before="360"/>
      </w:pPr>
      <w:r>
        <w:t xml:space="preserve">INTRODUCTION</w:t>
      </w:r>
    </w:p>
    <w:p>
      <w:pPr>
        <w:keepNext w:val="false"/>
        <w:spacing w:after="140" w:line="276"/>
        <w:jc w:val="both"/>
      </w:pPr>
      <w:r>
        <w:t xml:space="preserve">Rare disease diagnosis rests on identifying which one or two variants, among the millions present in any individual genome, explain a patient's clinical presentation. Automated interpretation has matured substantially for single nucleotide variants and small insertions and deletions, where allele frequency, predicted pathogenicity and phenotype similarity can be combined into a ranked candidate list. Structural variants remain markedly less well served. They are the most difficult class of variation to detect, their phenotypic impact is disproportionately large relative to their frequency, and the strongest published machine-learning classifiers for Mendelian disease state explicitly that they do not analyse them.</w:t>
      </w:r>
    </w:p>
    <w:p>
      <w:pPr>
        <w:keepNext w:val="false"/>
        <w:spacing w:after="140" w:line="276"/>
        <w:jc w:val="both"/>
      </w:pPr>
      <w:r>
        <w:t xml:space="preserve">Within structural variation, balanced rearrangements are the hardest case. A balanced translocation exchanges chromosomal segments without net gain or loss of material, so it leaves no copy-number footprint and cannot be identified from coverage alone. Its pathogenicity depends on exactly where the junctions fall — which gene is interrupted, which regulatory element is displaced, whether a fusion transcript becomes plausible — and establishing that requires reading the alignment at base-pair resolution rather than consulting a variant record. This is precisely the kind of judgement that automated pipelines compress away and that clinical reviewers presently perform by eye in a genome browser.</w:t>
      </w:r>
    </w:p>
    <w:p>
      <w:pPr>
        <w:keepNext w:val="false"/>
        <w:spacing w:after="140" w:line="276"/>
        <w:jc w:val="both"/>
      </w:pPr>
      <w:r>
        <w:t xml:space="preserve">Large language models are an attractive substrate for such a task because they can compose multi-step analytical workflows over structured tools without hard-coded pipeline logic, and recent work has shown that comparatively small models equipped with well-designed genomic tools match much larger models without them. They are also unreliable in a specific and dangerous way: a model that states a genomic fact no tool produced is worse than no assistant at all, because the output is fluent, plausible and wrong. The design question this thesis addresses is therefore not how to make a model more accurate, but how to construct a tool environment in which a model's errors cannot pass unnoticed by the person reading its output.</w:t>
      </w:r>
    </w:p>
    <w:p>
      <w:pPr>
        <w:pStyle w:val="Heading1"/>
        <w:pageBreakBefore/>
        <w:spacing w:after="240" w:before="360"/>
      </w:pPr>
      <w:r>
        <w:t xml:space="preserve">AIM AND TASKS</w:t>
      </w:r>
    </w:p>
    <w:p>
      <w:pPr>
        <w:keepNext w:val="false"/>
        <w:spacing w:after="140" w:line="276"/>
        <w:jc w:val="both"/>
      </w:pPr>
      <w:r>
        <w:rPr>
          <w:b/>
          <w:bCs/>
        </w:rPr>
        <w:t xml:space="preserve">Aim.</w:t>
      </w:r>
      <w:r>
        <w:t xml:space="preserve"> To develop and validate an interpretable, evidence-layered assistant for rare disease diagnosis that assesses structural variant breakpoints at read level and integrates them with transcriptomic and phenotypic evidence, and to determine what its tool interface must expose for a language model to reason correctly from it.</w:t>
      </w:r>
    </w:p>
    <w:p>
      <w:pPr>
        <w:keepNext w:val="false"/>
        <w:spacing w:after="140" w:line="276"/>
        <w:jc w:val="both"/>
      </w:pPr>
      <w:r>
        <w:rPr>
          <w:b/>
          <w:bCs/>
        </w:rPr>
        <w:t xml:space="preserve">Tasks.</w:t>
      </w:r>
    </w:p>
    <w:p>
      <w:pPr>
        <w:tabs>
          <w:tab w:val="left" w:pos="480"/>
        </w:tabs>
        <w:spacing w:after="100" w:line="276"/>
        <w:ind w:left="480" w:hanging="480"/>
        <w:jc w:val="both"/>
      </w:pPr>
      <w:r>
        <w:t xml:space="preserve">1.</w:t>
      </w:r>
      <w:r>
        <w:tab/>
      </w:r>
      <w:r>
        <w:t xml:space="preserve">Implement tools that measure read-level evidence for a candidate structural variant breakpoint across independent signal layers, and expose them to a language model under an architecture in which the model reaches genomic data only through the tools, so that every figure it reports can be checked against a tool return.</w:t>
      </w:r>
    </w:p>
    <w:p>
      <w:pPr>
        <w:tabs>
          <w:tab w:val="left" w:pos="480"/>
        </w:tabs>
        <w:spacing w:after="100" w:line="276"/>
        <w:ind w:left="480" w:hanging="480"/>
        <w:jc w:val="both"/>
      </w:pPr>
      <w:r>
        <w:t xml:space="preserve">2.</w:t>
      </w:r>
      <w:r>
        <w:tab/>
      </w:r>
      <w:r>
        <w:t xml:space="preserve">Integrate an upstream structural variant caller so that discovery and evaluation are performed by separate processes, and define a filter chain reducing a genome-wide candidate list to a reviewable shortlist with the provenance of every threshold recorded.</w:t>
      </w:r>
    </w:p>
    <w:p>
      <w:pPr>
        <w:tabs>
          <w:tab w:val="left" w:pos="480"/>
        </w:tabs>
        <w:spacing w:after="100" w:line="276"/>
        <w:ind w:left="480" w:hanging="480"/>
        <w:jc w:val="both"/>
      </w:pPr>
      <w:r>
        <w:t xml:space="preserve">3.</w:t>
      </w:r>
      <w:r>
        <w:tab/>
      </w:r>
      <w:r>
        <w:t xml:space="preserve">Measure the sensitivity of the complete chain by implanting balanced translocations at known coordinates into real sequencing data across defined sequence contexts, and establish where in the chain true positives are lost.</w:t>
      </w:r>
    </w:p>
    <w:p>
      <w:pPr>
        <w:tabs>
          <w:tab w:val="left" w:pos="480"/>
        </w:tabs>
        <w:spacing w:after="100" w:line="276"/>
        <w:ind w:left="480" w:hanging="480"/>
        <w:jc w:val="both"/>
      </w:pPr>
      <w:r>
        <w:t xml:space="preserve">4.</w:t>
      </w:r>
      <w:r>
        <w:tab/>
      </w:r>
      <w:r>
        <w:t xml:space="preserve">Evaluate whether locally hosted and frontier language models can use the tool interface reliably, and determine experimentally whether tool-return content rather than model capability limits the conclusions a model can reach.</w:t>
      </w:r>
    </w:p>
    <w:p>
      <w:pPr>
        <w:tabs>
          <w:tab w:val="left" w:pos="480"/>
        </w:tabs>
        <w:spacing w:after="100" w:line="276"/>
        <w:ind w:left="480" w:hanging="480"/>
        <w:jc w:val="both"/>
      </w:pPr>
      <w:r>
        <w:t xml:space="preserve">5.</w:t>
      </w:r>
      <w:r>
        <w:tab/>
      </w:r>
      <w:r>
        <w:t xml:space="preserve">Validate the chain against a clinically confirmed rearrangement, by unblinding the candidate shortlist produced for two patient genomes against an independently established result.</w:t>
      </w:r>
    </w:p>
    <w:p>
      <w:pPr>
        <w:tabs>
          <w:tab w:val="left" w:pos="480"/>
        </w:tabs>
        <w:spacing w:after="100" w:line="276"/>
        <w:ind w:left="480" w:hanging="480"/>
        <w:jc w:val="both"/>
      </w:pPr>
      <w:r>
        <w:t xml:space="preserve">6.</w:t>
      </w:r>
      <w:r>
        <w:tab/>
      </w:r>
      <w:r>
        <w:t xml:space="preserve">Extend the assistant beyond genomic evidence by adding breakpoint-to-gene linking, transcriptome integration, and phenotype-driven prioritization, so that a candidate breakpoint can be assessed against expression and clinical evidence within one case object.</w:t>
      </w:r>
    </w:p>
    <w:p>
      <w:pPr>
        <w:keepNext w:val="false"/>
        <w:spacing w:after="140" w:line="276"/>
        <w:jc w:val="both"/>
      </w:pPr>
      <w:r>
        <w:rPr>
          <w:b/>
          <w:bCs/>
        </w:rPr>
        <w:t xml:space="preserve">Project status at the time of writing.</w:t>
      </w:r>
      <w:r>
        <w:t xml:space="preserve"> Tasks 1 to 4 are complete and are reported in Results below. Task 5 is in progress: the candidate shortlist has been produced blind and the unblinding has not yet taken place. Task 6 has been specified in design but not implemented. Sections reporting incomplete tasks are marked accordingly and will be extended as the work proceeds; the conclusions given below correspond to completed tasks only.</w:t>
      </w:r>
    </w:p>
    <w:p>
      <w:pPr>
        <w:pStyle w:val="Heading1"/>
        <w:pageBreakBefore/>
        <w:spacing w:after="240" w:before="360"/>
      </w:pPr>
      <w:r>
        <w:t xml:space="preserve">LITERATURE REVIEW</w:t>
      </w:r>
    </w:p>
    <w:p>
      <w:pPr>
        <w:pStyle w:val="Heading2"/>
        <w:keepNext/>
        <w:spacing w:after="160" w:before="320"/>
      </w:pPr>
      <w:r>
        <w:t xml:space="preserve">Related Work</w:t>
      </w:r>
    </w:p>
    <w:p>
      <w:pPr>
        <w:keepNext w:val="false"/>
        <w:spacing w:after="140" w:line="276"/>
        <w:jc w:val="both"/>
      </w:pPr>
      <w:r>
        <w:t xml:space="preserve">The conceptual foundation for this thesis is the problem of variant prioritization in Mendelian disease: given a patient's variant list and phenotype, identifying which one or two variants are causative from among the thousands present in any individual genome. A landmark review by Eilbeck, Quinlan, and Yandell establishes a distinction that runs through all subsequent work — the difference between </w:t>
      </w:r>
      <w:r>
        <w:rPr>
          <w:i/>
          <w:iCs/>
        </w:rPr>
        <w:t xml:space="preserve">variant prioritization</w:t>
      </w:r>
      <w:r>
        <w:t xml:space="preserve"> (ranking individual variants by predicted pathogenicity) and </w:t>
      </w:r>
      <w:r>
        <w:rPr>
          <w:i/>
          <w:iCs/>
        </w:rPr>
        <w:t xml:space="preserve">gene prioritization</w:t>
      </w:r>
      <w:r>
        <w:t xml:space="preserve"> (aggregating evidence across variants, phenotype, network context, and inheritance to rank entire genes) [1]. The review also notes that structural variants, encompassing copy-number changes and balanced rearrangements, are "the most difficult form of variation to detect" and that their phenotypic impact is disproportionately large relative to their frequency, motivating whole-genome sequencing over exome-based approaches [1]. Despite substantial progress since 2017, these observations remain accurate: the present thesis addresses the gene-prioritization problem and places structural variant interpretation — and chromothripsis in particular — at its center.</w:t>
      </w:r>
    </w:p>
    <w:p>
      <w:pPr>
        <w:keepNext w:val="false"/>
        <w:spacing w:after="140" w:line="276"/>
        <w:jc w:val="both"/>
      </w:pPr>
      <w:r>
        <w:t xml:space="preserve">Current tools for rare-disease variant interpretation can be divided into three broad groups: end-to-end interpretation platforms that prioritize variants and, in some cases, match them to phenotypes; evidence resources that support interpretation without producing a patient-level ranking themselves; and AI-augmented systems that combine machine learning or large language models with structured genomic databases. Across all groups, SNV/indel interpretation is comparatively mature, while structural-variant support — and especially support for complex or balanced rearrangements — remains partial and unevenly documented.</w:t>
      </w:r>
    </w:p>
    <w:p>
      <w:pPr>
        <w:keepNext w:val="false"/>
        <w:spacing w:after="140" w:line="276"/>
        <w:jc w:val="both"/>
      </w:pPr>
      <w:r>
        <w:t xml:space="preserve">Among commercial interpretation platforms, VarSome combines variant search and annotation with a structural-variant browser and HPO-based phenotype matching [2][3][4][5]. Franklin pairs an AI-based prioritization engine with genotype-to-phenotype matching across SNVs/indels, CNVs and other structural variants, making it the closest commercial analogue to the system proposed here [6][7]. Alamut Visual Plus occupies a different niche: a full-genome annotation and visualization browser aggregating more than fifty external databases, supporting structural-variant resources such as dbVar and DGV, and implementing the ACMG/AMP guidelines [8][9]. It permits HPO tagging for record-keeping, but this is annotation rather than phenotype-similarity ranking, so it is best read as a visualization browser rather than a prioritization system [8][9].</w:t>
      </w:r>
    </w:p>
    <w:p>
      <w:pPr>
        <w:keepNext w:val="false"/>
        <w:spacing w:after="140" w:line="276"/>
        <w:jc w:val="both"/>
      </w:pPr>
      <w:r>
        <w:t xml:space="preserve">A second group of tools functions as an evidence resource rather than as an end-to-end prioritizer. Mastermind is a genomic literature search engine that indexes full-text articles and supports gene- and variant-level evidence retrieval, but it does not rank candidates for a given patient [10]. DisGeNET is a curated database of gene–disease and variant–disease associations that is useful as an upstream knowledge source rather than as an interpretation workflow [11][12]. Both are treated in this thesis as evidence sources that the proposed assistant's modules could draw on, rather than as direct competitors.</w:t>
      </w:r>
    </w:p>
    <w:p>
      <w:pPr>
        <w:keepNext w:val="false"/>
        <w:spacing w:after="140" w:line="276"/>
        <w:jc w:val="both"/>
      </w:pPr>
      <w:r>
        <w:t xml:space="preserve">Among academic prioritization tools, Exomiser is the most directly comparable system, since it combines variant frequency, predicted pathogenicity, and HPO-based phenotype similarity to rank candidate genes and diagnoses. Since version 13.0.0, Exomiser has been able to jointly prioritize structural and sequence variants supplied in a combined VCF file [13], which makes it a strong baseline for the present project [14]. At the same time, its own documentation notes continuing limitations for unspecified breakend-type structural variants and for some structural variants affecting noncoding regions [14][15], which is precisely the gap that balanced translocations and chromothripsis-like events tend to fall into. On the commercial SV side, Lucid Genomics markets a long-read-oriented platform that claims to detect SNVs, indels, repeat expansions, and structural variants [16][17], but its public-facing material does not clearly establish phenotype-driven ranking or transcriptome integration, so it is treated here cautiously as an SV-focused comparator whose phenotype-matching capabilities are not independently documented.</w:t>
      </w:r>
    </w:p>
    <w:p>
      <w:pPr>
        <w:keepNext w:val="false"/>
        <w:spacing w:after="140" w:line="276"/>
        <w:jc w:val="both"/>
      </w:pPr>
      <w:r>
        <w:t xml:space="preserve">Two recent AI-augmented systems are directly relevant to this thesis and deserve detailed treatment.</w:t>
      </w:r>
    </w:p>
    <w:p>
      <w:pPr>
        <w:keepNext w:val="false"/>
        <w:spacing w:after="140" w:line="276"/>
        <w:jc w:val="both"/>
      </w:pPr>
      <w:r>
        <w:t xml:space="preserve">AI-MARRVEL (AIM), published in 2024, is a random-forest machine-learning classifier trained on over 3.5 million variants from thousands of clinically diagnosed cases [18]. Its design is built around six expert-engineered feature modules that together capture disease database evidence, evolutionary conservation and population frequency, variant type, functional impact prediction, biological network proximity to known disease genes, and inheritance pattern — a structure that closely parallels the evidence layers described in this thesis. AIM substantially outperformed existing tools including Exomiser, LIRICAL, PhenIX, and Xrare on three independent cohorts, and its confidence scoring mechanism — which stratifies unsolved cases into high, medium, and low confidence for prioritized manual review — is an idea the present prototype could profitably adapt. Critically, however, the AIM paper explicitly states that the system "is not equipped to analyze structural variations or copy-number variations" and that its training data consisted predominantly of exome rather than whole-genome sequencing [18]. This directly stated limitation confirms the gap the present thesis addresses: even the strongest published ML classifier for Mendelian disease diagnosis does not handle the structural variant events that motivate this project.</w:t>
      </w:r>
    </w:p>
    <w:p>
      <w:pPr>
        <w:keepNext w:val="false"/>
        <w:spacing w:after="140" w:line="276"/>
        <w:jc w:val="both"/>
      </w:pPr>
      <w:r>
        <w:t xml:space="preserve">MARRVEL-MCP, published in 2026, is architecturally the closest published precedent to this thesis's design concept [19]. It provides large language models with access to 44 structured genomic tools — spanning variant conversion utilities, pathogenicity databases (ClinVar, gnomAD, dbNSFP, DECIPHER), phenotype resources (HPO, OMIM, Geno2MP), expression data (GTEx), ortholog resources (DIOPT), and literature APIs (PubMed) — through the Model Context Protocol [20], a standardized interface that allows LLMs to invoke external functions and compose multi-step analytical workflows autonomously without hard-coded pipeline rules [19]. The central finding is that smaller models (3–20 billion parameters) equipped with MARRVEL-MCP matched or outperformed much larger models without tool access on a benchmark of 100 expert-curated variant interpretation questions, demonstrating that structured tool environments and domain-specific context can compensate for limited model capacity. The authors describe this principle as </w:t>
      </w:r>
      <w:r>
        <w:rPr>
          <w:i/>
          <w:iCs/>
        </w:rPr>
        <w:t xml:space="preserve">context engineering</w:t>
      </w:r>
      <w:r>
        <w:t xml:space="preserve">: the deliberate design of reasoning environments through explicit tool interfaces, constrained inputs and outputs, and provenance-aware evidence handling. This framing is directly applicable to the present thesis, where the Phenopackets-inspired [21][22] case object serves an analogous structuring role. However, MARRVEL-MCP was designed exclusively for SNV/indel interpretation — none of its 44 tools address structural variant calling, breakpoint annotation, or chromothripsis characterization — and its benchmark of 100 questions explicitly excludes structural variants [19]. The present thesis can therefore be understood as extending the MARRVEL-MCP concept into the structural variant domain, adding breakpoint-to-gene linking, transcriptome integration, and a case-level schema that preserves all evidence layers for auditability.</w:t>
      </w:r>
    </w:p>
    <w:p>
      <w:pPr>
        <w:keepNext w:val="false"/>
        <w:spacing w:after="140" w:line="276"/>
        <w:jc w:val="both"/>
      </w:pPr>
      <w:r>
        <w:t xml:space="preserve">Table 1 summarizes the landscape across all relevant tools along the dimensions most important to this thesis.</w:t>
      </w:r>
    </w:p>
    <w:p>
      <w:pPr>
        <w:keepNext/>
        <w:spacing w:after="140" w:line="276"/>
        <w:jc w:val="both"/>
      </w:pPr>
      <w:r>
        <w:rPr>
          <w:b/>
          <w:bCs/>
        </w:rPr>
        <w:t xml:space="preserve">Table 1. Existing tools for rare-disease variant interpretation, relative to the present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shd w:fill="E8E8E8" w:color="auto" w:val="clear"/>
            <w:tcMar>
              <w:top w:type="dxa" w:w="60"/>
              <w:left w:type="dxa" w:w="90"/>
              <w:bottom w:type="dxa" w:w="60"/>
              <w:right w:type="dxa" w:w="90"/>
            </w:tcMar>
          </w:tcPr>
          <w:p>
            <w:pPr>
              <w:spacing w:after="0" w:line="240"/>
            </w:pPr>
            <w:r>
              <w:rPr>
                <w:b/>
                <w:bCs/>
                <w:sz w:val="18"/>
                <w:szCs w:val="18"/>
              </w:rPr>
              <w:t xml:space="preserve">Tool</w:t>
            </w:r>
          </w:p>
        </w:tc>
        <w:tc>
          <w:tcPr>
            <w:tcW w:type="dxa" w:w="1560"/>
            <w:shd w:fill="E8E8E8" w:color="auto" w:val="clear"/>
            <w:tcMar>
              <w:top w:type="dxa" w:w="60"/>
              <w:left w:type="dxa" w:w="90"/>
              <w:bottom w:type="dxa" w:w="60"/>
              <w:right w:type="dxa" w:w="90"/>
            </w:tcMar>
          </w:tcPr>
          <w:p>
            <w:pPr>
              <w:spacing w:after="0" w:line="240"/>
            </w:pPr>
            <w:r>
              <w:rPr>
                <w:b/>
                <w:bCs/>
                <w:sz w:val="18"/>
                <w:szCs w:val="18"/>
              </w:rPr>
              <w:t xml:space="preserve">Main role</w:t>
            </w:r>
          </w:p>
        </w:tc>
        <w:tc>
          <w:tcPr>
            <w:tcW w:type="dxa" w:w="1560"/>
            <w:shd w:fill="E8E8E8" w:color="auto" w:val="clear"/>
            <w:tcMar>
              <w:top w:type="dxa" w:w="60"/>
              <w:left w:type="dxa" w:w="90"/>
              <w:bottom w:type="dxa" w:w="60"/>
              <w:right w:type="dxa" w:w="90"/>
            </w:tcMar>
          </w:tcPr>
          <w:p>
            <w:pPr>
              <w:spacing w:after="0" w:line="240"/>
            </w:pPr>
            <w:r>
              <w:rPr>
                <w:b/>
                <w:bCs/>
                <w:sz w:val="18"/>
                <w:szCs w:val="18"/>
              </w:rPr>
              <w:t xml:space="preserve">Variant types</w:t>
            </w:r>
          </w:p>
        </w:tc>
        <w:tc>
          <w:tcPr>
            <w:tcW w:type="dxa" w:w="1560"/>
            <w:shd w:fill="E8E8E8" w:color="auto" w:val="clear"/>
            <w:tcMar>
              <w:top w:type="dxa" w:w="60"/>
              <w:left w:type="dxa" w:w="90"/>
              <w:bottom w:type="dxa" w:w="60"/>
              <w:right w:type="dxa" w:w="90"/>
            </w:tcMar>
          </w:tcPr>
          <w:p>
            <w:pPr>
              <w:spacing w:after="0" w:line="240"/>
            </w:pPr>
            <w:r>
              <w:rPr>
                <w:b/>
                <w:bCs/>
                <w:sz w:val="18"/>
                <w:szCs w:val="18"/>
              </w:rPr>
              <w:t xml:space="preserve">Phenotype-driven ranking</w:t>
            </w:r>
          </w:p>
        </w:tc>
        <w:tc>
          <w:tcPr>
            <w:tcW w:type="dxa" w:w="1560"/>
            <w:shd w:fill="E8E8E8" w:color="auto" w:val="clear"/>
            <w:tcMar>
              <w:top w:type="dxa" w:w="60"/>
              <w:left w:type="dxa" w:w="90"/>
              <w:bottom w:type="dxa" w:w="60"/>
              <w:right w:type="dxa" w:w="90"/>
            </w:tcMar>
          </w:tcPr>
          <w:p>
            <w:pPr>
              <w:spacing w:after="0" w:line="240"/>
            </w:pPr>
            <w:r>
              <w:rPr>
                <w:b/>
                <w:bCs/>
                <w:sz w:val="18"/>
                <w:szCs w:val="18"/>
              </w:rPr>
              <w:t xml:space="preserve">Complex/balanced SV support</w:t>
            </w:r>
          </w:p>
        </w:tc>
        <w:tc>
          <w:tcPr>
            <w:tcW w:type="dxa" w:w="1560"/>
            <w:shd w:fill="E8E8E8" w:color="auto" w:val="clear"/>
            <w:tcMar>
              <w:top w:type="dxa" w:w="60"/>
              <w:left w:type="dxa" w:w="90"/>
              <w:bottom w:type="dxa" w:w="60"/>
              <w:right w:type="dxa" w:w="90"/>
            </w:tcMar>
          </w:tcPr>
          <w:p>
            <w:pPr>
              <w:spacing w:after="0" w:line="240"/>
            </w:pPr>
            <w:r>
              <w:rPr>
                <w:b/>
                <w:bCs/>
                <w:sz w:val="18"/>
                <w:szCs w:val="18"/>
              </w:rPr>
              <w:t xml:space="preserve">Relevance to this thesis</w:t>
            </w:r>
          </w:p>
        </w:tc>
      </w:tr>
      <w:tr>
        <w:trPr>
          <w:cantSplit/>
          <w:tblHeader w:val="false"/>
        </w:trPr>
        <w:tc>
          <w:tcPr>
            <w:tcW w:type="dxa" w:w="1560"/>
            <w:tcMar>
              <w:top w:type="dxa" w:w="60"/>
              <w:left w:type="dxa" w:w="90"/>
              <w:bottom w:type="dxa" w:w="60"/>
              <w:right w:type="dxa" w:w="90"/>
            </w:tcMar>
          </w:tcPr>
          <w:p>
            <w:pPr>
              <w:spacing w:after="0" w:line="240"/>
            </w:pPr>
            <w:r>
              <w:rPr>
                <w:sz w:val="18"/>
                <w:szCs w:val="18"/>
              </w:rPr>
              <w:t xml:space="preserve">VarSome</w:t>
            </w:r>
          </w:p>
        </w:tc>
        <w:tc>
          <w:tcPr>
            <w:tcW w:type="dxa" w:w="1560"/>
            <w:tcMar>
              <w:top w:type="dxa" w:w="60"/>
              <w:left w:type="dxa" w:w="90"/>
              <w:bottom w:type="dxa" w:w="60"/>
              <w:right w:type="dxa" w:w="90"/>
            </w:tcMar>
          </w:tcPr>
          <w:p>
            <w:pPr>
              <w:spacing w:after="0" w:line="240"/>
            </w:pPr>
            <w:r>
              <w:rPr>
                <w:sz w:val="18"/>
                <w:szCs w:val="18"/>
              </w:rPr>
              <w:t xml:space="preserve">Clinical variant search and interpretation [2]</w:t>
            </w:r>
          </w:p>
        </w:tc>
        <w:tc>
          <w:tcPr>
            <w:tcW w:type="dxa" w:w="1560"/>
            <w:tcMar>
              <w:top w:type="dxa" w:w="60"/>
              <w:left w:type="dxa" w:w="90"/>
              <w:bottom w:type="dxa" w:w="60"/>
              <w:right w:type="dxa" w:w="90"/>
            </w:tcMar>
          </w:tcPr>
          <w:p>
            <w:pPr>
              <w:spacing w:after="0" w:line="240"/>
            </w:pPr>
            <w:r>
              <w:rPr>
                <w:sz w:val="18"/>
                <w:szCs w:val="18"/>
              </w:rPr>
              <w:t xml:space="preserve">SNV/indel + SV [4]</w:t>
            </w:r>
          </w:p>
        </w:tc>
        <w:tc>
          <w:tcPr>
            <w:tcW w:type="dxa" w:w="1560"/>
            <w:tcMar>
              <w:top w:type="dxa" w:w="60"/>
              <w:left w:type="dxa" w:w="90"/>
              <w:bottom w:type="dxa" w:w="60"/>
              <w:right w:type="dxa" w:w="90"/>
            </w:tcMar>
          </w:tcPr>
          <w:p>
            <w:pPr>
              <w:spacing w:after="0" w:line="240"/>
            </w:pPr>
            <w:r>
              <w:rPr>
                <w:sz w:val="18"/>
                <w:szCs w:val="18"/>
              </w:rPr>
              <w:t xml:space="preserve">Yes, HPO-based matching [3]</w:t>
            </w:r>
          </w:p>
        </w:tc>
        <w:tc>
          <w:tcPr>
            <w:tcW w:type="dxa" w:w="1560"/>
            <w:tcMar>
              <w:top w:type="dxa" w:w="60"/>
              <w:left w:type="dxa" w:w="90"/>
              <w:bottom w:type="dxa" w:w="60"/>
              <w:right w:type="dxa" w:w="90"/>
            </w:tcMar>
          </w:tcPr>
          <w:p>
            <w:pPr>
              <w:spacing w:after="0" w:line="240"/>
            </w:pPr>
            <w:r>
              <w:rPr>
                <w:sz w:val="18"/>
                <w:szCs w:val="18"/>
              </w:rPr>
              <w:t xml:space="preserve">SV browsing supported; multi-breakpoint/chromothripsis handling not documented [4][3]</w:t>
            </w:r>
          </w:p>
        </w:tc>
        <w:tc>
          <w:tcPr>
            <w:tcW w:type="dxa" w:w="1560"/>
            <w:tcMar>
              <w:top w:type="dxa" w:w="60"/>
              <w:left w:type="dxa" w:w="90"/>
              <w:bottom w:type="dxa" w:w="60"/>
              <w:right w:type="dxa" w:w="90"/>
            </w:tcMar>
          </w:tcPr>
          <w:p>
            <w:pPr>
              <w:spacing w:after="0" w:line="240"/>
            </w:pPr>
            <w:r>
              <w:rPr>
                <w:sz w:val="18"/>
                <w:szCs w:val="18"/>
              </w:rPr>
              <w:t xml:space="preserve">Benchmark for integrated annotation and evidence presentation</w:t>
            </w:r>
          </w:p>
        </w:tc>
      </w:tr>
      <w:tr>
        <w:trPr>
          <w:cantSplit/>
          <w:tblHeader w:val="false"/>
        </w:trPr>
        <w:tc>
          <w:tcPr>
            <w:tcW w:type="dxa" w:w="1560"/>
            <w:tcMar>
              <w:top w:type="dxa" w:w="60"/>
              <w:left w:type="dxa" w:w="90"/>
              <w:bottom w:type="dxa" w:w="60"/>
              <w:right w:type="dxa" w:w="90"/>
            </w:tcMar>
          </w:tcPr>
          <w:p>
            <w:pPr>
              <w:spacing w:after="0" w:line="240"/>
            </w:pPr>
            <w:r>
              <w:rPr>
                <w:sz w:val="18"/>
                <w:szCs w:val="18"/>
              </w:rPr>
              <w:t xml:space="preserve">Franklin</w:t>
            </w:r>
          </w:p>
        </w:tc>
        <w:tc>
          <w:tcPr>
            <w:tcW w:type="dxa" w:w="1560"/>
            <w:tcMar>
              <w:top w:type="dxa" w:w="60"/>
              <w:left w:type="dxa" w:w="90"/>
              <w:bottom w:type="dxa" w:w="60"/>
              <w:right w:type="dxa" w:w="90"/>
            </w:tcMar>
          </w:tcPr>
          <w:p>
            <w:pPr>
              <w:spacing w:after="0" w:line="240"/>
            </w:pPr>
            <w:r>
              <w:rPr>
                <w:sz w:val="18"/>
                <w:szCs w:val="18"/>
              </w:rPr>
              <w:t xml:space="preserve">AI-based prioritization and phenotype matching [6]</w:t>
            </w:r>
          </w:p>
        </w:tc>
        <w:tc>
          <w:tcPr>
            <w:tcW w:type="dxa" w:w="1560"/>
            <w:tcMar>
              <w:top w:type="dxa" w:w="60"/>
              <w:left w:type="dxa" w:w="90"/>
              <w:bottom w:type="dxa" w:w="60"/>
              <w:right w:type="dxa" w:w="90"/>
            </w:tcMar>
          </w:tcPr>
          <w:p>
            <w:pPr>
              <w:spacing w:after="0" w:line="240"/>
            </w:pPr>
            <w:r>
              <w:rPr>
                <w:sz w:val="18"/>
                <w:szCs w:val="18"/>
              </w:rPr>
              <w:t xml:space="preserve">SNV/indel + CNV + SV [7]</w:t>
            </w:r>
          </w:p>
        </w:tc>
        <w:tc>
          <w:tcPr>
            <w:tcW w:type="dxa" w:w="1560"/>
            <w:tcMar>
              <w:top w:type="dxa" w:w="60"/>
              <w:left w:type="dxa" w:w="90"/>
              <w:bottom w:type="dxa" w:w="60"/>
              <w:right w:type="dxa" w:w="90"/>
            </w:tcMar>
          </w:tcPr>
          <w:p>
            <w:pPr>
              <w:spacing w:after="0" w:line="240"/>
            </w:pPr>
            <w:r>
              <w:rPr>
                <w:sz w:val="18"/>
                <w:szCs w:val="18"/>
              </w:rPr>
              <w:t xml:space="preserve">Yes [6]</w:t>
            </w:r>
          </w:p>
        </w:tc>
        <w:tc>
          <w:tcPr>
            <w:tcW w:type="dxa" w:w="1560"/>
            <w:tcMar>
              <w:top w:type="dxa" w:w="60"/>
              <w:left w:type="dxa" w:w="90"/>
              <w:bottom w:type="dxa" w:w="60"/>
              <w:right w:type="dxa" w:w="90"/>
            </w:tcMar>
          </w:tcPr>
          <w:p>
            <w:pPr>
              <w:spacing w:after="0" w:line="240"/>
            </w:pPr>
            <w:r>
              <w:rPr>
                <w:sz w:val="18"/>
                <w:szCs w:val="18"/>
              </w:rPr>
              <w:t xml:space="preserve">CNV/SV interpretation supported [6][7]</w:t>
            </w:r>
          </w:p>
        </w:tc>
        <w:tc>
          <w:tcPr>
            <w:tcW w:type="dxa" w:w="1560"/>
            <w:tcMar>
              <w:top w:type="dxa" w:w="60"/>
              <w:left w:type="dxa" w:w="90"/>
              <w:bottom w:type="dxa" w:w="60"/>
              <w:right w:type="dxa" w:w="90"/>
            </w:tcMar>
          </w:tcPr>
          <w:p>
            <w:pPr>
              <w:spacing w:after="0" w:line="240"/>
            </w:pPr>
            <w:r>
              <w:rPr>
                <w:sz w:val="18"/>
                <w:szCs w:val="18"/>
              </w:rPr>
              <w:t xml:space="preserve">Closest commercial analogue to the proposed assistant</w:t>
            </w:r>
          </w:p>
        </w:tc>
      </w:tr>
      <w:tr>
        <w:trPr>
          <w:cantSplit/>
          <w:tblHeader w:val="false"/>
        </w:trPr>
        <w:tc>
          <w:tcPr>
            <w:tcW w:type="dxa" w:w="1560"/>
            <w:tcMar>
              <w:top w:type="dxa" w:w="60"/>
              <w:left w:type="dxa" w:w="90"/>
              <w:bottom w:type="dxa" w:w="60"/>
              <w:right w:type="dxa" w:w="90"/>
            </w:tcMar>
          </w:tcPr>
          <w:p>
            <w:pPr>
              <w:spacing w:after="0" w:line="240"/>
            </w:pPr>
            <w:r>
              <w:rPr>
                <w:sz w:val="18"/>
                <w:szCs w:val="18"/>
              </w:rPr>
              <w:t xml:space="preserve">Alamut Visual Plus</w:t>
            </w:r>
          </w:p>
        </w:tc>
        <w:tc>
          <w:tcPr>
            <w:tcW w:type="dxa" w:w="1560"/>
            <w:tcMar>
              <w:top w:type="dxa" w:w="60"/>
              <w:left w:type="dxa" w:w="90"/>
              <w:bottom w:type="dxa" w:w="60"/>
              <w:right w:type="dxa" w:w="90"/>
            </w:tcMar>
          </w:tcPr>
          <w:p>
            <w:pPr>
              <w:spacing w:after="0" w:line="240"/>
            </w:pPr>
            <w:r>
              <w:rPr>
                <w:sz w:val="18"/>
                <w:szCs w:val="18"/>
              </w:rPr>
              <w:t xml:space="preserve">Visualization and annotation browser [8]</w:t>
            </w:r>
          </w:p>
        </w:tc>
        <w:tc>
          <w:tcPr>
            <w:tcW w:type="dxa" w:w="1560"/>
            <w:tcMar>
              <w:top w:type="dxa" w:w="60"/>
              <w:left w:type="dxa" w:w="90"/>
              <w:bottom w:type="dxa" w:w="60"/>
              <w:right w:type="dxa" w:w="90"/>
            </w:tcMar>
          </w:tcPr>
          <w:p>
            <w:pPr>
              <w:spacing w:after="0" w:line="240"/>
            </w:pPr>
            <w:r>
              <w:rPr>
                <w:sz w:val="18"/>
                <w:szCs w:val="18"/>
              </w:rPr>
              <w:t xml:space="preserve">SNV/indel + SV-relevant tracks (dbVar, DGV) [8]</w:t>
            </w:r>
          </w:p>
        </w:tc>
        <w:tc>
          <w:tcPr>
            <w:tcW w:type="dxa" w:w="1560"/>
            <w:tcMar>
              <w:top w:type="dxa" w:w="60"/>
              <w:left w:type="dxa" w:w="90"/>
              <w:bottom w:type="dxa" w:w="60"/>
              <w:right w:type="dxa" w:w="90"/>
            </w:tcMar>
          </w:tcPr>
          <w:p>
            <w:pPr>
              <w:spacing w:after="0" w:line="240"/>
            </w:pPr>
            <w:r>
              <w:rPr>
                <w:sz w:val="18"/>
                <w:szCs w:val="18"/>
              </w:rPr>
              <w:t xml:space="preserve">HPO tagging for record-keeping, not similarity ranking [8][9]</w:t>
            </w:r>
          </w:p>
        </w:tc>
        <w:tc>
          <w:tcPr>
            <w:tcW w:type="dxa" w:w="1560"/>
            <w:tcMar>
              <w:top w:type="dxa" w:w="60"/>
              <w:left w:type="dxa" w:w="90"/>
              <w:bottom w:type="dxa" w:w="60"/>
              <w:right w:type="dxa" w:w="90"/>
            </w:tcMar>
          </w:tcPr>
          <w:p>
            <w:pPr>
              <w:spacing w:after="0" w:line="240"/>
            </w:pPr>
            <w:r>
              <w:rPr>
                <w:sz w:val="18"/>
                <w:szCs w:val="18"/>
              </w:rPr>
              <w:t xml:space="preserve">Displays SV/CNV-relevant tracks; no prioritization logic [8]</w:t>
            </w:r>
          </w:p>
        </w:tc>
        <w:tc>
          <w:tcPr>
            <w:tcW w:type="dxa" w:w="1560"/>
            <w:tcMar>
              <w:top w:type="dxa" w:w="60"/>
              <w:left w:type="dxa" w:w="90"/>
              <w:bottom w:type="dxa" w:w="60"/>
              <w:right w:type="dxa" w:w="90"/>
            </w:tcMar>
          </w:tcPr>
          <w:p>
            <w:pPr>
              <w:spacing w:after="0" w:line="240"/>
            </w:pPr>
            <w:r>
              <w:rPr>
                <w:sz w:val="18"/>
                <w:szCs w:val="18"/>
              </w:rPr>
              <w:t xml:space="preserve">Example of annotation and ACMG support without prioritization</w:t>
            </w:r>
          </w:p>
        </w:tc>
      </w:tr>
      <w:tr>
        <w:trPr>
          <w:cantSplit/>
          <w:tblHeader w:val="false"/>
        </w:trPr>
        <w:tc>
          <w:tcPr>
            <w:tcW w:type="dxa" w:w="1560"/>
            <w:tcMar>
              <w:top w:type="dxa" w:w="60"/>
              <w:left w:type="dxa" w:w="90"/>
              <w:bottom w:type="dxa" w:w="60"/>
              <w:right w:type="dxa" w:w="90"/>
            </w:tcMar>
          </w:tcPr>
          <w:p>
            <w:pPr>
              <w:spacing w:after="0" w:line="240"/>
            </w:pPr>
            <w:r>
              <w:rPr>
                <w:sz w:val="18"/>
                <w:szCs w:val="18"/>
              </w:rPr>
              <w:t xml:space="preserve">Mastermind</w:t>
            </w:r>
          </w:p>
        </w:tc>
        <w:tc>
          <w:tcPr>
            <w:tcW w:type="dxa" w:w="1560"/>
            <w:tcMar>
              <w:top w:type="dxa" w:w="60"/>
              <w:left w:type="dxa" w:w="90"/>
              <w:bottom w:type="dxa" w:w="60"/>
              <w:right w:type="dxa" w:w="90"/>
            </w:tcMar>
          </w:tcPr>
          <w:p>
            <w:pPr>
              <w:spacing w:after="0" w:line="240"/>
            </w:pPr>
            <w:r>
              <w:rPr>
                <w:sz w:val="18"/>
                <w:szCs w:val="18"/>
              </w:rPr>
              <w:t xml:space="preserve">Genomic literature search [10]</w:t>
            </w:r>
          </w:p>
        </w:tc>
        <w:tc>
          <w:tcPr>
            <w:tcW w:type="dxa" w:w="1560"/>
            <w:tcMar>
              <w:top w:type="dxa" w:w="60"/>
              <w:left w:type="dxa" w:w="90"/>
              <w:bottom w:type="dxa" w:w="60"/>
              <w:right w:type="dxa" w:w="90"/>
            </w:tcMar>
          </w:tcPr>
          <w:p>
            <w:pPr>
              <w:spacing w:after="0" w:line="240"/>
            </w:pPr>
            <w:r>
              <w:rPr>
                <w:sz w:val="18"/>
                <w:szCs w:val="18"/>
              </w:rPr>
              <w:t xml:space="preserve">Literature evidence [10]</w:t>
            </w:r>
          </w:p>
        </w:tc>
        <w:tc>
          <w:tcPr>
            <w:tcW w:type="dxa" w:w="1560"/>
            <w:tcMar>
              <w:top w:type="dxa" w:w="60"/>
              <w:left w:type="dxa" w:w="90"/>
              <w:bottom w:type="dxa" w:w="60"/>
              <w:right w:type="dxa" w:w="90"/>
            </w:tcMar>
          </w:tcPr>
          <w:p>
            <w:pPr>
              <w:spacing w:after="0" w:line="240"/>
            </w:pPr>
            <w:r>
              <w:rPr>
                <w:sz w:val="18"/>
                <w:szCs w:val="18"/>
              </w:rPr>
              <w:t xml:space="preserve">No</w:t>
            </w:r>
          </w:p>
        </w:tc>
        <w:tc>
          <w:tcPr>
            <w:tcW w:type="dxa" w:w="1560"/>
            <w:tcMar>
              <w:top w:type="dxa" w:w="60"/>
              <w:left w:type="dxa" w:w="90"/>
              <w:bottom w:type="dxa" w:w="60"/>
              <w:right w:type="dxa" w:w="90"/>
            </w:tcMar>
          </w:tcPr>
          <w:p>
            <w:pPr>
              <w:spacing w:after="0" w:line="240"/>
            </w:pPr>
            <w:r>
              <w:rPr>
                <w:sz w:val="18"/>
                <w:szCs w:val="18"/>
              </w:rPr>
              <w:t xml:space="preserve">Can surface SV-related literature; does not interpret a patient's SVs</w:t>
            </w:r>
          </w:p>
        </w:tc>
        <w:tc>
          <w:tcPr>
            <w:tcW w:type="dxa" w:w="1560"/>
            <w:tcMar>
              <w:top w:type="dxa" w:w="60"/>
              <w:left w:type="dxa" w:w="90"/>
              <w:bottom w:type="dxa" w:w="60"/>
              <w:right w:type="dxa" w:w="90"/>
            </w:tcMar>
          </w:tcPr>
          <w:p>
            <w:pPr>
              <w:spacing w:after="0" w:line="240"/>
            </w:pPr>
            <w:r>
              <w:rPr>
                <w:sz w:val="18"/>
                <w:szCs w:val="18"/>
              </w:rPr>
              <w:t xml:space="preserve">Evidence source, not a competitor</w:t>
            </w:r>
          </w:p>
        </w:tc>
      </w:tr>
      <w:tr>
        <w:trPr>
          <w:cantSplit/>
          <w:tblHeader w:val="false"/>
        </w:trPr>
        <w:tc>
          <w:tcPr>
            <w:tcW w:type="dxa" w:w="1560"/>
            <w:tcMar>
              <w:top w:type="dxa" w:w="60"/>
              <w:left w:type="dxa" w:w="90"/>
              <w:bottom w:type="dxa" w:w="60"/>
              <w:right w:type="dxa" w:w="90"/>
            </w:tcMar>
          </w:tcPr>
          <w:p>
            <w:pPr>
              <w:spacing w:after="0" w:line="240"/>
            </w:pPr>
            <w:r>
              <w:rPr>
                <w:sz w:val="18"/>
                <w:szCs w:val="18"/>
              </w:rPr>
              <w:t xml:space="preserve">DisGeNET</w:t>
            </w:r>
          </w:p>
        </w:tc>
        <w:tc>
          <w:tcPr>
            <w:tcW w:type="dxa" w:w="1560"/>
            <w:tcMar>
              <w:top w:type="dxa" w:w="60"/>
              <w:left w:type="dxa" w:w="90"/>
              <w:bottom w:type="dxa" w:w="60"/>
              <w:right w:type="dxa" w:w="90"/>
            </w:tcMar>
          </w:tcPr>
          <w:p>
            <w:pPr>
              <w:spacing w:after="0" w:line="240"/>
            </w:pPr>
            <w:r>
              <w:rPr>
                <w:sz w:val="18"/>
                <w:szCs w:val="18"/>
              </w:rPr>
              <w:t xml:space="preserve">Disease-genomics database [11][12]</w:t>
            </w:r>
          </w:p>
        </w:tc>
        <w:tc>
          <w:tcPr>
            <w:tcW w:type="dxa" w:w="1560"/>
            <w:tcMar>
              <w:top w:type="dxa" w:w="60"/>
              <w:left w:type="dxa" w:w="90"/>
              <w:bottom w:type="dxa" w:w="60"/>
              <w:right w:type="dxa" w:w="90"/>
            </w:tcMar>
          </w:tcPr>
          <w:p>
            <w:pPr>
              <w:spacing w:after="0" w:line="240"/>
            </w:pPr>
            <w:r>
              <w:rPr>
                <w:sz w:val="18"/>
                <w:szCs w:val="18"/>
              </w:rPr>
              <w:t xml:space="preserve">Gene–disease / variant–disease associations [11][12]</w:t>
            </w:r>
          </w:p>
        </w:tc>
        <w:tc>
          <w:tcPr>
            <w:tcW w:type="dxa" w:w="1560"/>
            <w:tcMar>
              <w:top w:type="dxa" w:w="60"/>
              <w:left w:type="dxa" w:w="90"/>
              <w:bottom w:type="dxa" w:w="60"/>
              <w:right w:type="dxa" w:w="90"/>
            </w:tcMar>
          </w:tcPr>
          <w:p>
            <w:pPr>
              <w:spacing w:after="0" w:line="240"/>
            </w:pPr>
            <w:r>
              <w:rPr>
                <w:sz w:val="18"/>
                <w:szCs w:val="18"/>
              </w:rPr>
              <w:t xml:space="preserve">No</w:t>
            </w:r>
          </w:p>
        </w:tc>
        <w:tc>
          <w:tcPr>
            <w:tcW w:type="dxa" w:w="1560"/>
            <w:tcMar>
              <w:top w:type="dxa" w:w="60"/>
              <w:left w:type="dxa" w:w="90"/>
              <w:bottom w:type="dxa" w:w="60"/>
              <w:right w:type="dxa" w:w="90"/>
            </w:tcMar>
          </w:tcPr>
          <w:p>
            <w:pPr>
              <w:spacing w:after="0" w:line="240"/>
            </w:pPr>
            <w:r>
              <w:rPr>
                <w:sz w:val="18"/>
                <w:szCs w:val="18"/>
              </w:rPr>
              <w:t xml:space="preserve">Not a variant interpretation tool</w:t>
            </w:r>
          </w:p>
        </w:tc>
        <w:tc>
          <w:tcPr>
            <w:tcW w:type="dxa" w:w="1560"/>
            <w:tcMar>
              <w:top w:type="dxa" w:w="60"/>
              <w:left w:type="dxa" w:w="90"/>
              <w:bottom w:type="dxa" w:w="60"/>
              <w:right w:type="dxa" w:w="90"/>
            </w:tcMar>
          </w:tcPr>
          <w:p>
            <w:pPr>
              <w:spacing w:after="0" w:line="240"/>
            </w:pPr>
            <w:r>
              <w:rPr>
                <w:sz w:val="18"/>
                <w:szCs w:val="18"/>
              </w:rPr>
              <w:t xml:space="preserve">Upstream knowledge base</w:t>
            </w:r>
          </w:p>
        </w:tc>
      </w:tr>
      <w:tr>
        <w:trPr>
          <w:cantSplit/>
          <w:tblHeader w:val="false"/>
        </w:trPr>
        <w:tc>
          <w:tcPr>
            <w:tcW w:type="dxa" w:w="1560"/>
            <w:tcMar>
              <w:top w:type="dxa" w:w="60"/>
              <w:left w:type="dxa" w:w="90"/>
              <w:bottom w:type="dxa" w:w="60"/>
              <w:right w:type="dxa" w:w="90"/>
            </w:tcMar>
          </w:tcPr>
          <w:p>
            <w:pPr>
              <w:spacing w:after="0" w:line="240"/>
            </w:pPr>
            <w:r>
              <w:rPr>
                <w:sz w:val="18"/>
                <w:szCs w:val="18"/>
              </w:rPr>
              <w:t xml:space="preserve">Exomiser</w:t>
            </w:r>
          </w:p>
        </w:tc>
        <w:tc>
          <w:tcPr>
            <w:tcW w:type="dxa" w:w="1560"/>
            <w:tcMar>
              <w:top w:type="dxa" w:w="60"/>
              <w:left w:type="dxa" w:w="90"/>
              <w:bottom w:type="dxa" w:w="60"/>
              <w:right w:type="dxa" w:w="90"/>
            </w:tcMar>
          </w:tcPr>
          <w:p>
            <w:pPr>
              <w:spacing w:after="0" w:line="240"/>
            </w:pPr>
            <w:r>
              <w:rPr>
                <w:sz w:val="18"/>
                <w:szCs w:val="18"/>
              </w:rPr>
              <w:t xml:space="preserve">Phenotype-driven prioritization [14]</w:t>
            </w:r>
          </w:p>
        </w:tc>
        <w:tc>
          <w:tcPr>
            <w:tcW w:type="dxa" w:w="1560"/>
            <w:tcMar>
              <w:top w:type="dxa" w:w="60"/>
              <w:left w:type="dxa" w:w="90"/>
              <w:bottom w:type="dxa" w:w="60"/>
              <w:right w:type="dxa" w:w="90"/>
            </w:tcMar>
          </w:tcPr>
          <w:p>
            <w:pPr>
              <w:spacing w:after="0" w:line="240"/>
            </w:pPr>
            <w:r>
              <w:rPr>
                <w:sz w:val="18"/>
                <w:szCs w:val="18"/>
              </w:rPr>
              <w:t xml:space="preserve">SNV/indel + SV [14]</w:t>
            </w:r>
          </w:p>
        </w:tc>
        <w:tc>
          <w:tcPr>
            <w:tcW w:type="dxa" w:w="1560"/>
            <w:tcMar>
              <w:top w:type="dxa" w:w="60"/>
              <w:left w:type="dxa" w:w="90"/>
              <w:bottom w:type="dxa" w:w="60"/>
              <w:right w:type="dxa" w:w="90"/>
            </w:tcMar>
          </w:tcPr>
          <w:p>
            <w:pPr>
              <w:spacing w:after="0" w:line="240"/>
            </w:pPr>
            <w:r>
              <w:rPr>
                <w:sz w:val="18"/>
                <w:szCs w:val="18"/>
              </w:rPr>
              <w:t xml:space="preserve">Yes, HPO similarity [14]</w:t>
            </w:r>
          </w:p>
        </w:tc>
        <w:tc>
          <w:tcPr>
            <w:tcW w:type="dxa" w:w="1560"/>
            <w:tcMar>
              <w:top w:type="dxa" w:w="60"/>
              <w:left w:type="dxa" w:w="90"/>
              <w:bottom w:type="dxa" w:w="60"/>
              <w:right w:type="dxa" w:w="90"/>
            </w:tcMar>
          </w:tcPr>
          <w:p>
            <w:pPr>
              <w:spacing w:after="0" w:line="240"/>
            </w:pPr>
            <w:r>
              <w:rPr>
                <w:sz w:val="18"/>
                <w:szCs w:val="18"/>
              </w:rPr>
              <w:t xml:space="preserve">SV prioritization since v13.0.0; documented gaps for BND-type and some noncoding SVs [14][15]</w:t>
            </w:r>
          </w:p>
        </w:tc>
        <w:tc>
          <w:tcPr>
            <w:tcW w:type="dxa" w:w="1560"/>
            <w:tcMar>
              <w:top w:type="dxa" w:w="60"/>
              <w:left w:type="dxa" w:w="90"/>
              <w:bottom w:type="dxa" w:w="60"/>
              <w:right w:type="dxa" w:w="90"/>
            </w:tcMar>
          </w:tcPr>
          <w:p>
            <w:pPr>
              <w:spacing w:after="0" w:line="240"/>
            </w:pPr>
            <w:r>
              <w:rPr>
                <w:sz w:val="18"/>
                <w:szCs w:val="18"/>
              </w:rPr>
              <w:t xml:space="preserve">Most important academic baseline</w:t>
            </w:r>
          </w:p>
        </w:tc>
      </w:tr>
      <w:tr>
        <w:trPr>
          <w:cantSplit/>
          <w:tblHeader w:val="false"/>
        </w:trPr>
        <w:tc>
          <w:tcPr>
            <w:tcW w:type="dxa" w:w="1560"/>
            <w:tcMar>
              <w:top w:type="dxa" w:w="60"/>
              <w:left w:type="dxa" w:w="90"/>
              <w:bottom w:type="dxa" w:w="60"/>
              <w:right w:type="dxa" w:w="90"/>
            </w:tcMar>
          </w:tcPr>
          <w:p>
            <w:pPr>
              <w:spacing w:after="0" w:line="240"/>
            </w:pPr>
            <w:r>
              <w:rPr>
                <w:sz w:val="18"/>
                <w:szCs w:val="18"/>
              </w:rPr>
              <w:t xml:space="preserve">Lucid Genomics</w:t>
            </w:r>
          </w:p>
        </w:tc>
        <w:tc>
          <w:tcPr>
            <w:tcW w:type="dxa" w:w="1560"/>
            <w:tcMar>
              <w:top w:type="dxa" w:w="60"/>
              <w:left w:type="dxa" w:w="90"/>
              <w:bottom w:type="dxa" w:w="60"/>
              <w:right w:type="dxa" w:w="90"/>
            </w:tcMar>
          </w:tcPr>
          <w:p>
            <w:pPr>
              <w:spacing w:after="0" w:line="240"/>
            </w:pPr>
            <w:r>
              <w:rPr>
                <w:sz w:val="18"/>
                <w:szCs w:val="18"/>
              </w:rPr>
              <w:t xml:space="preserve">Long-read SV analysis platform [16][17]</w:t>
            </w:r>
          </w:p>
        </w:tc>
        <w:tc>
          <w:tcPr>
            <w:tcW w:type="dxa" w:w="1560"/>
            <w:tcMar>
              <w:top w:type="dxa" w:w="60"/>
              <w:left w:type="dxa" w:w="90"/>
              <w:bottom w:type="dxa" w:w="60"/>
              <w:right w:type="dxa" w:w="90"/>
            </w:tcMar>
          </w:tcPr>
          <w:p>
            <w:pPr>
              <w:spacing w:after="0" w:line="240"/>
            </w:pPr>
            <w:r>
              <w:rPr>
                <w:sz w:val="18"/>
                <w:szCs w:val="18"/>
              </w:rPr>
              <w:t xml:space="preserve">SV-focused, long-read oriented [16][17]</w:t>
            </w:r>
          </w:p>
        </w:tc>
        <w:tc>
          <w:tcPr>
            <w:tcW w:type="dxa" w:w="1560"/>
            <w:tcMar>
              <w:top w:type="dxa" w:w="60"/>
              <w:left w:type="dxa" w:w="90"/>
              <w:bottom w:type="dxa" w:w="60"/>
              <w:right w:type="dxa" w:w="90"/>
            </w:tcMar>
          </w:tcPr>
          <w:p>
            <w:pPr>
              <w:spacing w:after="0" w:line="240"/>
            </w:pPr>
            <w:r>
              <w:rPr>
                <w:sz w:val="18"/>
                <w:szCs w:val="18"/>
              </w:rPr>
              <w:t xml:space="preserve">Not independently documented</w:t>
            </w:r>
          </w:p>
        </w:tc>
        <w:tc>
          <w:tcPr>
            <w:tcW w:type="dxa" w:w="1560"/>
            <w:tcMar>
              <w:top w:type="dxa" w:w="60"/>
              <w:left w:type="dxa" w:w="90"/>
              <w:bottom w:type="dxa" w:w="60"/>
              <w:right w:type="dxa" w:w="90"/>
            </w:tcMar>
          </w:tcPr>
          <w:p>
            <w:pPr>
              <w:spacing w:after="0" w:line="240"/>
            </w:pPr>
            <w:r>
              <w:rPr>
                <w:sz w:val="18"/>
                <w:szCs w:val="18"/>
              </w:rPr>
              <w:t xml:space="preserve">SV detection claimed publicly; phenotype layer unclear [16][17]</w:t>
            </w:r>
          </w:p>
        </w:tc>
        <w:tc>
          <w:tcPr>
            <w:tcW w:type="dxa" w:w="1560"/>
            <w:tcMar>
              <w:top w:type="dxa" w:w="60"/>
              <w:left w:type="dxa" w:w="90"/>
              <w:bottom w:type="dxa" w:w="60"/>
              <w:right w:type="dxa" w:w="90"/>
            </w:tcMar>
          </w:tcPr>
          <w:p>
            <w:pPr>
              <w:spacing w:after="0" w:line="240"/>
            </w:pPr>
            <w:r>
              <w:rPr>
                <w:sz w:val="18"/>
                <w:szCs w:val="18"/>
              </w:rPr>
              <w:t xml:space="preserve">SV-focused commercial comparator with an unclear phenotype layer</w:t>
            </w:r>
          </w:p>
        </w:tc>
      </w:tr>
      <w:tr>
        <w:trPr>
          <w:cantSplit/>
          <w:tblHeader w:val="false"/>
        </w:trPr>
        <w:tc>
          <w:tcPr>
            <w:tcW w:type="dxa" w:w="1560"/>
            <w:tcMar>
              <w:top w:type="dxa" w:w="60"/>
              <w:left w:type="dxa" w:w="90"/>
              <w:bottom w:type="dxa" w:w="60"/>
              <w:right w:type="dxa" w:w="90"/>
            </w:tcMar>
          </w:tcPr>
          <w:p>
            <w:pPr>
              <w:spacing w:after="0" w:line="240"/>
            </w:pPr>
            <w:r>
              <w:rPr>
                <w:sz w:val="18"/>
                <w:szCs w:val="18"/>
              </w:rPr>
              <w:t xml:space="preserve">AI-MARRVEL (AIM)</w:t>
            </w:r>
          </w:p>
        </w:tc>
        <w:tc>
          <w:tcPr>
            <w:tcW w:type="dxa" w:w="1560"/>
            <w:tcMar>
              <w:top w:type="dxa" w:w="60"/>
              <w:left w:type="dxa" w:w="90"/>
              <w:bottom w:type="dxa" w:w="60"/>
              <w:right w:type="dxa" w:w="90"/>
            </w:tcMar>
          </w:tcPr>
          <w:p>
            <w:pPr>
              <w:spacing w:after="0" w:line="240"/>
            </w:pPr>
            <w:r>
              <w:rPr>
                <w:sz w:val="18"/>
                <w:szCs w:val="18"/>
              </w:rPr>
              <w:t xml:space="preserve">ML-based variant prioritization [18]</w:t>
            </w:r>
          </w:p>
        </w:tc>
        <w:tc>
          <w:tcPr>
            <w:tcW w:type="dxa" w:w="1560"/>
            <w:tcMar>
              <w:top w:type="dxa" w:w="60"/>
              <w:left w:type="dxa" w:w="90"/>
              <w:bottom w:type="dxa" w:w="60"/>
              <w:right w:type="dxa" w:w="90"/>
            </w:tcMar>
          </w:tcPr>
          <w:p>
            <w:pPr>
              <w:spacing w:after="0" w:line="240"/>
            </w:pPr>
            <w:r>
              <w:rPr>
                <w:sz w:val="18"/>
                <w:szCs w:val="18"/>
              </w:rPr>
              <w:t xml:space="preserve">SNV/indel only [18]</w:t>
            </w:r>
          </w:p>
        </w:tc>
        <w:tc>
          <w:tcPr>
            <w:tcW w:type="dxa" w:w="1560"/>
            <w:tcMar>
              <w:top w:type="dxa" w:w="60"/>
              <w:left w:type="dxa" w:w="90"/>
              <w:bottom w:type="dxa" w:w="60"/>
              <w:right w:type="dxa" w:w="90"/>
            </w:tcMar>
          </w:tcPr>
          <w:p>
            <w:pPr>
              <w:spacing w:after="0" w:line="240"/>
            </w:pPr>
            <w:r>
              <w:rPr>
                <w:sz w:val="18"/>
                <w:szCs w:val="18"/>
              </w:rPr>
              <w:t xml:space="preserve">Yes, via HPO-matched feature module [18]</w:t>
            </w:r>
          </w:p>
        </w:tc>
        <w:tc>
          <w:tcPr>
            <w:tcW w:type="dxa" w:w="1560"/>
            <w:tcMar>
              <w:top w:type="dxa" w:w="60"/>
              <w:left w:type="dxa" w:w="90"/>
              <w:bottom w:type="dxa" w:w="60"/>
              <w:right w:type="dxa" w:w="90"/>
            </w:tcMar>
          </w:tcPr>
          <w:p>
            <w:pPr>
              <w:spacing w:after="0" w:line="240"/>
            </w:pPr>
            <w:r>
              <w:rPr>
                <w:sz w:val="18"/>
                <w:szCs w:val="18"/>
              </w:rPr>
              <w:t xml:space="preserve">Not supported; explicitly stated limitation [18]</w:t>
            </w:r>
          </w:p>
        </w:tc>
        <w:tc>
          <w:tcPr>
            <w:tcW w:type="dxa" w:w="1560"/>
            <w:tcMar>
              <w:top w:type="dxa" w:w="60"/>
              <w:left w:type="dxa" w:w="90"/>
              <w:bottom w:type="dxa" w:w="60"/>
              <w:right w:type="dxa" w:w="90"/>
            </w:tcMar>
          </w:tcPr>
          <w:p>
            <w:pPr>
              <w:spacing w:after="0" w:line="240"/>
            </w:pPr>
            <w:r>
              <w:rPr>
                <w:sz w:val="18"/>
                <w:szCs w:val="18"/>
              </w:rPr>
              <w:t xml:space="preserve">Strongest published ML baseline; confirms SV gap; confidence scoring concept adaptable</w:t>
            </w:r>
          </w:p>
        </w:tc>
      </w:tr>
      <w:tr>
        <w:trPr>
          <w:cantSplit/>
          <w:tblHeader w:val="false"/>
        </w:trPr>
        <w:tc>
          <w:tcPr>
            <w:tcW w:type="dxa" w:w="1560"/>
            <w:tcMar>
              <w:top w:type="dxa" w:w="60"/>
              <w:left w:type="dxa" w:w="90"/>
              <w:bottom w:type="dxa" w:w="60"/>
              <w:right w:type="dxa" w:w="90"/>
            </w:tcMar>
          </w:tcPr>
          <w:p>
            <w:pPr>
              <w:spacing w:after="0" w:line="240"/>
            </w:pPr>
            <w:r>
              <w:rPr>
                <w:sz w:val="18"/>
                <w:szCs w:val="18"/>
              </w:rPr>
              <w:t xml:space="preserve">MARRVEL-MCP</w:t>
            </w:r>
          </w:p>
        </w:tc>
        <w:tc>
          <w:tcPr>
            <w:tcW w:type="dxa" w:w="1560"/>
            <w:tcMar>
              <w:top w:type="dxa" w:w="60"/>
              <w:left w:type="dxa" w:w="90"/>
              <w:bottom w:type="dxa" w:w="60"/>
              <w:right w:type="dxa" w:w="90"/>
            </w:tcMar>
          </w:tcPr>
          <w:p>
            <w:pPr>
              <w:spacing w:after="0" w:line="240"/>
            </w:pPr>
            <w:r>
              <w:rPr>
                <w:sz w:val="18"/>
                <w:szCs w:val="18"/>
              </w:rPr>
              <w:t xml:space="preserve">Tool-augmented LLM interface [19]</w:t>
            </w:r>
          </w:p>
        </w:tc>
        <w:tc>
          <w:tcPr>
            <w:tcW w:type="dxa" w:w="1560"/>
            <w:tcMar>
              <w:top w:type="dxa" w:w="60"/>
              <w:left w:type="dxa" w:w="90"/>
              <w:bottom w:type="dxa" w:w="60"/>
              <w:right w:type="dxa" w:w="90"/>
            </w:tcMar>
          </w:tcPr>
          <w:p>
            <w:pPr>
              <w:spacing w:after="0" w:line="240"/>
            </w:pPr>
            <w:r>
              <w:rPr>
                <w:sz w:val="18"/>
                <w:szCs w:val="18"/>
              </w:rPr>
              <w:t xml:space="preserve">SNV/indel only; 44 tools cover no SV callers [19]</w:t>
            </w:r>
          </w:p>
        </w:tc>
        <w:tc>
          <w:tcPr>
            <w:tcW w:type="dxa" w:w="1560"/>
            <w:tcMar>
              <w:top w:type="dxa" w:w="60"/>
              <w:left w:type="dxa" w:w="90"/>
              <w:bottom w:type="dxa" w:w="60"/>
              <w:right w:type="dxa" w:w="90"/>
            </w:tcMar>
          </w:tcPr>
          <w:p>
            <w:pPr>
              <w:spacing w:after="0" w:line="240"/>
            </w:pPr>
            <w:r>
              <w:rPr>
                <w:sz w:val="18"/>
                <w:szCs w:val="18"/>
              </w:rPr>
              <w:t xml:space="preserve">Yes, via HPO and OMIM tool calls [19]</w:t>
            </w:r>
          </w:p>
        </w:tc>
        <w:tc>
          <w:tcPr>
            <w:tcW w:type="dxa" w:w="1560"/>
            <w:tcMar>
              <w:top w:type="dxa" w:w="60"/>
              <w:left w:type="dxa" w:w="90"/>
              <w:bottom w:type="dxa" w:w="60"/>
              <w:right w:type="dxa" w:w="90"/>
            </w:tcMar>
          </w:tcPr>
          <w:p>
            <w:pPr>
              <w:spacing w:after="0" w:line="240"/>
            </w:pPr>
            <w:r>
              <w:rPr>
                <w:sz w:val="18"/>
                <w:szCs w:val="18"/>
              </w:rPr>
              <w:t xml:space="preserve">Not supported; benchmark excludes SVs [19]</w:t>
            </w:r>
          </w:p>
        </w:tc>
        <w:tc>
          <w:tcPr>
            <w:tcW w:type="dxa" w:w="1560"/>
            <w:tcMar>
              <w:top w:type="dxa" w:w="60"/>
              <w:left w:type="dxa" w:w="90"/>
              <w:bottom w:type="dxa" w:w="60"/>
              <w:right w:type="dxa" w:w="90"/>
            </w:tcMar>
          </w:tcPr>
          <w:p>
            <w:pPr>
              <w:spacing w:after="0" w:line="240"/>
            </w:pPr>
            <w:r>
              <w:rPr>
                <w:sz w:val="18"/>
                <w:szCs w:val="18"/>
              </w:rPr>
              <w:t xml:space="preserve">Closest architectural precedent; context engineering concept directly applicable</w:t>
            </w:r>
          </w:p>
        </w:tc>
      </w:tr>
    </w:tbl>
    <w:p>
      <w:pPr>
        <w:keepNext w:val="false"/>
        <w:spacing w:after="140" w:line="276"/>
        <w:jc w:val="both"/>
      </w:pPr>
      <w:r>
        <w:t xml:space="preserve">Taken together, these systems show that the field is well-served by SNV/indel interpretation and phenotype matching, and that AI-augmented approaches are rapidly maturing in that space. The gap that remains — and that both AI-MARRVEL and MARRVEL-MCP explicitly acknowledge — is structural variant interpretation, particularly for complex or balanced events that leave no copy-number footprint. What none of the surveyed systems offers is a single transparent workflow that combines patient phenotype, structural-variant breakpoint evidence, transcriptomic signal, and SNV/indel annotation in one auditable case record. This is the methodological contribution the present thesis targets: not a claim of clinical superiority over existing tools, but a structured, evidence-layered prototype that makes each component of the ranking visible and checkable.</w:t>
      </w:r>
    </w:p>
    <w:p>
      <w:pPr>
        <w:pStyle w:val="Heading2"/>
        <w:keepNext/>
        <w:spacing w:after="160" w:before="320"/>
      </w:pPr>
      <w:r>
        <w:t xml:space="preserve">Structural Variants and Chromothripsis</w:t>
      </w:r>
    </w:p>
    <w:p>
      <w:pPr>
        <w:keepNext w:val="false"/>
        <w:spacing w:after="140" w:line="276"/>
        <w:jc w:val="both"/>
      </w:pPr>
      <w:r>
        <w:t xml:space="preserve">Having situated the project relative to existing tools, this section turns to the two structural-variant phenomena that motivate the structural-variant module: chromothripsis and balanced translocations. Both are difficult to interpret for a shared reason — their clinical significance depends not on the mere presence of a rearrangement but on its exact breakpoint coordinates, the genes or regulatory elements it disrupts, and its downstream functional consequences — but they differ substantially in scale and mechanism.</w:t>
      </w:r>
    </w:p>
    <w:p>
      <w:pPr>
        <w:keepNext w:val="false"/>
        <w:spacing w:after="140" w:line="276"/>
        <w:jc w:val="both"/>
      </w:pPr>
      <w:r>
        <w:t xml:space="preserve">Chromothripsis refers to a catastrophic, one-off mutational process in which one chromosome, or a small number of chromosomal regions, undergoes massive, clustered rearrangement, rather than accumulating structural changes gradually over time [23][24]. Its hallmark features include tight breakpoint clustering, oscillating copy-number states, and an apparently random rejoining of chromosomal fragments, from which a derivative chromosome can sometimes be reconstructed by chaining together individual breakpoint connections [23][25][26]. A balanced translocation, in contrast, exchanges chromosomal segments without an obvious net gain or loss of genetic material, and can therefore still be pathogenic despite appearing copy-number neutral [27][28]. Balanced reciprocal translocations typically involve a small number of junctions, whereas chromothripsis can involve tens to hundreds of breakpoints across one or more chromosomal regions [23][29]; in both cases, however, the diagnostic question is the same — which genes, regulatory elements, or chromosomal domains are disrupted, repositioned, or fused by the event.</w:t>
      </w:r>
    </w:p>
    <w:p>
      <w:pPr>
        <w:keepNext w:val="false"/>
        <w:spacing w:after="140" w:line="276"/>
        <w:jc w:val="both"/>
      </w:pPr>
      <w:r>
        <w:t xml:space="preserve">Precise breakpoint detection sits at the center of this question, because a rearrangement can only be interpreted mechanistically once its sequence-level junctions are known. Breakpoint coordinates determine whether a gene is directly interrupted, whether a regulatory element is displaced, whether a fusion transcript is plausible, and whether local chromatin architecture might be altered [27][28][23]. This is also why cytogenetic detection alone, and array-based methods such as aCGH or SNP arrays more generally, are not sufficient for this kind of mechanistic interpretation: balanced rearrangements frequently produce no detectable copy-number change at all, and even when arrays do detect an associated imbalance, their resolution is constrained by probe density and does not reach the nucleotide-level precision needed to identify which exons or regulatory regions are actually disrupted [30]. Arrays therefore remain useful as a screening step, but not as the primary basis for breakpoint-level interpretation in a sequencing-centered workflow.</w:t>
      </w:r>
    </w:p>
    <w:p>
      <w:pPr>
        <w:keepNext w:val="false"/>
        <w:spacing w:after="140" w:line="276"/>
        <w:jc w:val="both"/>
      </w:pPr>
      <w:r>
        <w:t xml:space="preserve">Sequencing-based breakpoint detection has progressed along two complementary tracks. Short-read whole-genome sequencing identifies candidate breakpoints mainly through split reads, discordant paired-end reads, and local copy-number changes, and was instrumental in the original genome-wide discovery and cataloguing of chromothripsis [29][23]. Short reads, however, often cannot fully resolve breakpoint junctions in repetitive or highly complex regions, particularly when several rearrangements occur in close proximity [23][31]. Long-read sequencing, especially with Oxford Nanopore or PacBio platforms, addresses this limitation by producing reads that can span rearrangement junctions and repetitive sequence directly; published studies have resolved balanced reciprocal translocation breakpoints at high resolution even at modest sequencing coverage, and have used long reads to reconstruct chromothriptic architecture more completely than standard cytogenetic methods allow [27][28][32][31]. Assembly-based and hybrid approaches — for example, combining long reads with Hi-C data to capture abnormal long-range chromosomal contacts — can further improve reconstruction of complex derivative structures, although within the scope of an MSc thesis these are most realistically treated as referenced background rather than as a fully implemented reconstruction pipeline [31].</w:t>
      </w:r>
    </w:p>
    <w:p>
      <w:pPr>
        <w:keepNext w:val="false"/>
        <w:spacing w:after="140" w:line="276"/>
        <w:jc w:val="both"/>
      </w:pPr>
      <w:r>
        <w:t xml:space="preserve">It is useful to separate the available tooling into detection/characterization tools and interpretation/prioritization tools, since conflating the two risks overclaiming what either category actually does. ShatterSeek is a well-established R package for identifying chromothripsis-like patterns from genome-wide structural-variant and copy-number data, evaluating criteria such as breakpoint clustering and copy-number oscillation [33][23]; it is a characterization tool, not a phenotype-aware interpreter, and is relevant here mainly as background and a possible methodological point of comparison. Long-read structural-variant callers have similarly been used in published balanced-translocation studies to nominate candidate breakpoints that are subsequently validated visually and experimentally [27]; these tools belong to the upstream detection layer and do not themselves prioritize genes or diagnoses. On the interpretation side, PhenoSV is the clearest existing example of a phenotype-aware structural-variant prioritization model: it is described as an interpretable system for ranking genes affected by structural variants while incorporating HPO-linked phenotype information across major SV classes [34]. PhenoSV is a useful comparator for the phenotype-aware component of the present assistant, but it is not designed to integrate breakpoint evidence, transcriptome data, and case-level reasoning into a single framework, which is the specific combination this thesis pursues.</w:t>
      </w:r>
    </w:p>
    <w:p>
      <w:pPr>
        <w:keepNext w:val="false"/>
        <w:spacing w:after="140" w:line="276"/>
        <w:jc w:val="both"/>
      </w:pPr>
      <w:r>
        <w:t xml:space="preserve">Transcriptome data adds a further, largely orthogonal evidence layer. RNA-seq can reveal whether a gene at or near a breakpoint shows altered expression, abnormal splicing, or a fusion transcript consistent with the rearrangement hypothesis, even when the DNA-level event itself is copy-number neutral [35]. This is particularly relevant for balanced rearrangements, where genomic structure alone does not establish whether the event has any measurable downstream effect: a breakpoint located near a candidate gene becomes considerably more convincing as a diagnostic explanation if RNA-seq independently shows reduced or outlier expression of that same gene. Large cancer cohorts illustrate how informative this evidence is at scale: the Pan-Cancer Analysis of Whole Genomes study of 2,658 tumors found chromothripsis pervasive, exceeding 50% frequency in several cancer types [23]. Somatic genomes are not biologically equivalent to germline rare-disease cases, but the breakpoint-detection problem is similar enough that cancer-derived tools and benchmarks remain useful reference points, provided the difference in context is stated [23].</w:t>
      </w:r>
    </w:p>
    <w:p>
      <w:pPr>
        <w:keepNext w:val="false"/>
        <w:spacing w:after="140" w:line="276"/>
        <w:jc w:val="both"/>
      </w:pPr>
      <w:r>
        <w:t xml:space="preserve">Despite this progress, no single widely used framework currently combines sequence-level breakpoint evidence, nearby-gene annotation, transcriptomic support, and patient phenotype information within one transparent, case-linked workflow. Detection tools identify rearrangements; tools such as PhenoSV support phenotype-aware prioritization; but these components remain largely separate, and none of them provides a fully auditable chain from breakpoint to gene effect to phenotype match [34][23]. This interpretability gap matters most in rare inherited disease, where cohorts are small, evidence is heterogeneous, and the ability to explain each prioritization step can matter as much as raw predictive performance. Because automated callers cannot always be trusted at face value — particularly for balanced events that leave no copy-number footprint — the next section considers a necessary complementary layer: manual, read-level inspection of candidate breakpoints.</w:t>
      </w:r>
    </w:p>
    <w:p>
      <w:pPr>
        <w:pStyle w:val="Heading2"/>
        <w:keepNext/>
        <w:spacing w:after="160" w:before="320"/>
      </w:pPr>
      <w:r>
        <w:t xml:space="preserve">IGV and Breakpoint Inspection</w:t>
      </w:r>
    </w:p>
    <w:p>
      <w:pPr>
        <w:keepNext w:val="false"/>
        <w:spacing w:after="140" w:line="276"/>
        <w:jc w:val="both"/>
      </w:pPr>
      <w:r>
        <w:t xml:space="preserve">The Integrative Genomics Viewer (IGV) is an open-source genome browser developed for the visual exploration of aligned sequencing reads, variant calls, coverage tracks, and genomic annotations [36][37]. In both research and clinical genomics, IGV is widely used as a review layer that allows an analyst to inspect the read-level evidence underlying a candidate variant, including structural-variant breakpoints [37][38]. For the purposes of this thesis, IGV should be understood not as a discovery engine for balanced translocations or chromothripsis, but as a transparent visualization and validation tool that supports manual review of breakpoints already nominated by an SV caller, a cytogenetic result, or an orthogonal line of evidence.</w:t>
      </w:r>
    </w:p>
    <w:p>
      <w:pPr>
        <w:keepNext w:val="false"/>
        <w:spacing w:after="140" w:line="276"/>
        <w:jc w:val="both"/>
      </w:pPr>
      <w:r>
        <w:t xml:space="preserve">This distinction between visualization and detection is important. Dedicated SV callers such as Manta, DELLY [39], pbsv, or Sniffles search genome-wide for statistical patterns in split reads, discordant read pairs, and coverage changes, and emit formal variant calls. IGV does not perform that genome-wide inference step; instead, it displays the underlying alignments so that a human analyst can judge whether the read-level evidence is consistent with a genuine rearrangement or is more compatible with alignment noise or technical artifact [37][38]. This matters especially for balanced translocations, which usually produce no clear copy-number signal and are therefore hard to identify from coverage alone; IGV is most useful once a candidate breakpoint has already been nominated and the analyst wants to check whether the local read pattern supports that hypothesis.</w:t>
      </w:r>
    </w:p>
    <w:p>
      <w:pPr>
        <w:keepNext w:val="false"/>
        <w:spacing w:after="140" w:line="276"/>
        <w:jc w:val="both"/>
      </w:pPr>
      <w:r>
        <w:t xml:space="preserve">Four classes of read-level evidence are informative when reviewing a candidate breakpoint, and they are the same four the assistant later computes numerically. A cluster of discordant read pairs — mates on different chromosomes, or at unexpected distances and orientations — is among the clearest signatures of a translocation in paired-end data [37][38]. Reads spanning a junction may align only partially, with the remainder soft-clipped or emitted as a supplementary alignment; displaying these narrows a candidate breakpoint to near-nucleotide precision, and is especially informative in long-read data [37][38][40]. A balanced translocation is expected to preserve local read depth, so a clear local gain or loss instead indicates an unbalanced event [38][37]. Not every discordant or clipped read is genuine evidence: repetitive sequence, segmental duplication and ambiguous mapping all generate false-positive visual patterns, so review must also weigh mapping quality, strand balance, and whether support recurs across fragments rather than appearing in a single low-quality cluster [37].</w:t>
      </w:r>
    </w:p>
    <w:p>
      <w:pPr>
        <w:keepNext w:val="false"/>
        <w:spacing w:after="140" w:line="276"/>
        <w:jc w:val="both"/>
      </w:pPr>
      <w:r>
        <w:t xml:space="preserve">In practice, a small number of IGV settings account for most of this review capability:</w:t>
      </w:r>
    </w:p>
    <w:p>
      <w:pPr>
        <w:pStyle w:val="ListParagraph"/>
        <w:numPr>
          <w:ilvl w:val="0"/>
          <w:numId w:val="2"/>
        </w:numPr>
        <w:spacing w:after="80"/>
      </w:pPr>
      <w:r>
        <w:rPr>
          <w:b/>
          <w:bCs/>
        </w:rPr>
        <w:t xml:space="preserve">Color alignments by chromosome of mate</w:t>
      </w:r>
      <w:r>
        <w:t xml:space="preserve"> — reveals inter-chromosomal discordant pairs relevant to translocation review [38][41].</w:t>
      </w:r>
    </w:p>
    <w:p>
      <w:pPr>
        <w:pStyle w:val="ListParagraph"/>
        <w:numPr>
          <w:ilvl w:val="0"/>
          <w:numId w:val="2"/>
        </w:numPr>
        <w:spacing w:after="80"/>
      </w:pPr>
      <w:r>
        <w:rPr>
          <w:b/>
          <w:bCs/>
        </w:rPr>
        <w:t xml:space="preserve">Color alignments by pair orientation</w:t>
      </w:r>
      <w:r>
        <w:t xml:space="preserve"> — highlights abnormal pairing patterns, useful for inversions and nearby rearrangements [38][41].</w:t>
      </w:r>
    </w:p>
    <w:p>
      <w:pPr>
        <w:pStyle w:val="ListParagraph"/>
        <w:numPr>
          <w:ilvl w:val="0"/>
          <w:numId w:val="2"/>
        </w:numPr>
        <w:spacing w:after="80"/>
      </w:pPr>
      <w:r>
        <w:rPr>
          <w:b/>
          <w:bCs/>
        </w:rPr>
        <w:t xml:space="preserve">Show soft-clipped bases</w:t>
      </w:r>
      <w:r>
        <w:t xml:space="preserve"> — exposes clipped, breakpoint-supporting reads that are otherwise hidden by default [38][41].</w:t>
      </w:r>
    </w:p>
    <w:p>
      <w:pPr>
        <w:pStyle w:val="ListParagraph"/>
        <w:numPr>
          <w:ilvl w:val="0"/>
          <w:numId w:val="2"/>
        </w:numPr>
        <w:spacing w:after="80"/>
      </w:pPr>
      <w:r>
        <w:rPr>
          <w:b/>
          <w:bCs/>
        </w:rPr>
        <w:t xml:space="preserve">View as pairs / mate-linking options</w:t>
      </w:r>
      <w:r>
        <w:t xml:space="preserve"> — clarifies the relationship between paired-end mates [37][41].</w:t>
      </w:r>
    </w:p>
    <w:p>
      <w:pPr>
        <w:pStyle w:val="ListParagraph"/>
        <w:numPr>
          <w:ilvl w:val="0"/>
          <w:numId w:val="2"/>
        </w:numPr>
        <w:spacing w:after="80"/>
      </w:pPr>
      <w:r>
        <w:rPr>
          <w:b/>
          <w:bCs/>
        </w:rPr>
        <w:t xml:space="preserve">Split-screen or mate-region views</w:t>
      </w:r>
      <w:r>
        <w:t xml:space="preserve"> — allows both sides of a suspected rearrangement to be compared directly once the breakends are at least roughly known [38][41].</w:t>
      </w:r>
    </w:p>
    <w:p>
      <w:pPr>
        <w:keepNext w:val="false"/>
        <w:spacing w:after="140" w:line="276"/>
        <w:jc w:val="both"/>
      </w:pPr>
      <w:r>
        <w:t xml:space="preserve">These settings do not create new evidence; they make existing alignment evidence easier to interpret and explain, which matters for an interpretable assistant whose goal is not only to produce a breakpoint hypothesis but to present a visible rationale for it.</w:t>
      </w:r>
    </w:p>
    <w:p>
      <w:pPr>
        <w:keepNext w:val="false"/>
        <w:spacing w:after="140" w:line="276"/>
        <w:jc w:val="both"/>
      </w:pPr>
      <w:r>
        <w:t xml:space="preserve">The usefulness of IGV-based review depends heavily on the underlying sequencing data. In short-read paired-end BAM or CRAM files, the main available evidence consists of discordant pairs, local soft-clipping, and sometimes limited split-read support at junctions, which is often sufficient for reviewing candidate breakpoints but can struggle in repetitive sequence or highly complex rearrangements where short reads cannot span the full junction [37]. Long-read data is generally more informative for balanced translocations and complex rearrangements, since individual reads can span larger breakpoint intervals and produce more direct split-alignment evidence; recent IGV development has specifically targeted long-read inspection, for example by reducing visual noise from small indels in noisy long-read alignments [40][42]. For the most difficult rearrangements, including chromothripsis-like patterns, long-read inspection in IGV is therefore typically more interpretable than short-read inspection alone, although it remains a review layer rather than a discovery algorithm [42][37].</w:t>
      </w:r>
    </w:p>
    <w:p>
      <w:pPr>
        <w:keepNext w:val="false"/>
        <w:spacing w:after="140" w:line="276"/>
        <w:jc w:val="both"/>
      </w:pPr>
      <w:r>
        <w:t xml:space="preserve">Compared with dedicated callers, IGV's strength is interpretability: an analyst inspects read-level evidence rather than a summarized record, with alignments, variant calls, gene models and coverage in one genomic context [37][36]. Its limitations are equally clear: it is not systematic, does not scale to genome-wide discovery, and depends on a candidate locus having been nominated by some other method [37][40]. Genomics England's interpretation documentation reflects this division of labour explicitly, treating IGV as a structured review environment for already-nominated regions rather than as a detection tool [38][43][41].</w:t>
      </w:r>
    </w:p>
    <w:p>
      <w:pPr>
        <w:keepNext w:val="false"/>
        <w:spacing w:after="140" w:line="276"/>
        <w:jc w:val="both"/>
      </w:pPr>
      <w:r>
        <w:t xml:space="preserve">Within the proposed assistant, this suggests a specific and modest role for IGV-style evidence: not as a detection module, but as a human-readable evidence layer attached to candidate breakpoints that have already been nominated upstream. The assistant could expose concise, structured summaries of supporting read evidence — discordant-pair count, split-read count, mapping-quality profile, and reciprocal support at both breakends — alongside, rather than instead of, the genomic, transcriptomic, and phenotypic evidence described elsewhere in this chapter. This is particularly valuable for balanced rearrangements, where the absence of a copy-number footprint makes automated interpretation harder and a clinician's ability to see why a breakpoint is plausible becomes correspondingly more important.</w:t>
      </w:r>
    </w:p>
    <w:p>
      <w:pPr>
        <w:keepNext w:val="false"/>
        <w:spacing w:after="140" w:line="276"/>
        <w:jc w:val="both"/>
      </w:pPr>
      <w:r>
        <w:t xml:space="preserve">Manual inspection of this kind is only as useful as the cases available to evaluate it on. The present project relies principally on the synthetic and benchmark data described in the next section, supplemented by two clinical alignments obtained through collaboration and analysed blind, as reported in the following chapter.</w:t>
      </w:r>
    </w:p>
    <w:p>
      <w:pPr>
        <w:pStyle w:val="Heading1"/>
        <w:pageBreakBefore/>
        <w:spacing w:after="240" w:before="360"/>
      </w:pPr>
      <w:r>
        <w:t xml:space="preserve">METHODS</w:t>
      </w:r>
    </w:p>
    <w:p>
      <w:pPr>
        <w:pStyle w:val="Heading2"/>
        <w:keepNext/>
        <w:spacing w:after="160" w:before="320"/>
      </w:pPr>
      <w:r>
        <w:t xml:space="preserve">Data</w:t>
      </w:r>
    </w:p>
    <w:p>
      <w:pPr>
        <w:keepNext w:val="false"/>
        <w:spacing w:after="140" w:line="276"/>
        <w:jc w:val="both"/>
      </w:pPr>
      <w:r>
        <w:t xml:space="preserve">Five data sources were used, each addressing a different part of the evaluation problem.</w:t>
      </w:r>
    </w:p>
    <w:p>
      <w:pPr>
        <w:keepNext w:val="false"/>
        <w:spacing w:after="140" w:line="276"/>
        <w:jc w:val="both"/>
      </w:pPr>
      <w:r>
        <w:rPr>
          <w:b/>
          <w:bCs/>
        </w:rPr>
        <w:t xml:space="preserve">GeneBreaker</w:t>
      </w:r>
      <w:r>
        <w:t xml:space="preserve"> generates synthetic rare-disease whole-genome cases with a defined causal gene and variant, and was used to test phenotype-driven prioritization against known ground truth [44][45].</w:t>
      </w:r>
    </w:p>
    <w:p>
      <w:pPr>
        <w:keepNext w:val="false"/>
        <w:spacing w:after="140" w:line="276"/>
        <w:jc w:val="both"/>
      </w:pPr>
      <w:r>
        <w:rPr>
          <w:b/>
          <w:bCs/>
        </w:rPr>
        <w:t xml:space="preserve">simuG</w:t>
      </w:r>
      <w:r>
        <w:t xml:space="preserve"> was used to construct a controlled single-locus testbed around </w:t>
      </w:r>
      <w:r>
        <w:rPr>
          <w:i/>
          <w:iCs/>
        </w:rPr>
        <w:t xml:space="preserve">KAT6B</w:t>
      </w:r>
      <w:r>
        <w:t xml:space="preserve"> on chromosome 10, introducing structural variants directly into the reference sequence and emitting both a modified genome and a truth file, so that breakpoint coordinates are exact rather than inferred [46][47][48].</w:t>
      </w:r>
    </w:p>
    <w:p>
      <w:pPr>
        <w:keepNext w:val="false"/>
        <w:spacing w:after="140" w:line="276"/>
        <w:jc w:val="both"/>
      </w:pPr>
      <w:r>
        <w:rPr>
          <w:b/>
          <w:bCs/>
        </w:rPr>
        <w:t xml:space="preserve">GIAB NA12878/HG001</w:t>
      </w:r>
      <w:r>
        <w:t xml:space="preserve">, maintained by NIST, provided a high-confidence benchmark call set for validating preprocessing [49][50]. A chromosome 20 and 21 slice of a public whole-genome alignment of the same individual — the 1000 Genomes Project high-coverage alignment of NA12878, run ERR3239334 [51], produced with BWA-MEM 0.7.15 (mem -Y) [52] against the GRCh38 analysis set in alternate-haplotype-aware mode — was additionally used as the background for the implantation experiment described below; it was selected after inspection established that the other public alignments available to the project were unsuitable, one having been produced by an aligner that emits no supplementary alignment tags and another aligned to a previous reference build.</w:t>
      </w:r>
    </w:p>
    <w:p>
      <w:pPr>
        <w:keepNext w:val="false"/>
        <w:spacing w:after="140" w:line="276"/>
        <w:jc w:val="both"/>
      </w:pPr>
      <w:r>
        <w:rPr>
          <w:b/>
          <w:bCs/>
        </w:rPr>
        <w:t xml:space="preserve">HCC1143</w:t>
      </w:r>
      <w:r>
        <w:t xml:space="preserve"> and </w:t>
      </w:r>
      <w:r>
        <w:rPr>
          <w:b/>
          <w:bCs/>
        </w:rPr>
        <w:t xml:space="preserve">GIAB HG002</w:t>
      </w:r>
      <w:r>
        <w:t xml:space="preserve"> alignments were used during tool development: the HCC1143 normal (germline) alignment as an early negative control at a locus labelled as a translocation, and GIAB HG002 short-read and long-read alignments for deletion-level validation.</w:t>
      </w:r>
    </w:p>
    <w:p>
      <w:pPr>
        <w:keepNext w:val="false"/>
        <w:spacing w:after="140" w:line="276"/>
        <w:jc w:val="both"/>
      </w:pPr>
      <w:r>
        <w:rPr>
          <w:b/>
          <w:bCs/>
        </w:rPr>
        <w:t xml:space="preserve">Two clinical whole-genome alignments</w:t>
      </w:r>
      <w:r>
        <w:t xml:space="preserve">, referred to throughout as SAMPLE_A and SAMPLE_B, were obtained through the supervisor's collaboration: 36.3 and 38.8 gibibytes, coordinate-sorted, aligned per sequencing lane with BWA-MEM 0.7.17-r1188 [52] — the version appears in the command line of every aligner record, which carries no version field of its own — against the 1000 Genomes GRCh38 analysis set with decoy and HLA contigs, then merged and duplicate-marked (bamcat, bamsormadup). Every aligner record carries -M and not -Y, and both files were processed in alternate-haplotype-aware mode: the header marks exactly the reference's 3,171 alternate contigs, and the pa tag of that step appears on 2.66 and 2.26 per cent of primary reads on chromosomes 20 and 21. Reads are 150 bases long — every one of some 400,000 examined per sample. Nominal depths are 30.7 and 32.9-fold (index-mapped records on the autosomes and sex chromosomes, times read length, over their total length), and 12.96 and 12.97 per cent of primary records are marked as duplicates, so the depth available to a caller that discards duplicates is nearer 27 and 29-fold. Median insert sizes are 314 and 312 bases. Supplementary alignment tags are present in both, and although -M marks split alignments as secondary, the files carry 3,694,802 and 3,726,497 records flagged as supplementary: every one lies on an alternate contig — about 2.9 million on decoys, 0.76 and 0.82 million on alternate haplotypes and about 3,000 on HLA sequences — and none on the primary chromosomes. Patient identifiers appear in no repository file, figure or tool return; an automated identifier gate, validated against planted identifiers, scans the changes of every commit before each push.</w:t>
      </w:r>
    </w:p>
    <w:p>
      <w:pPr>
        <w:keepNext w:val="false"/>
        <w:spacing w:after="140" w:line="276"/>
        <w:jc w:val="both"/>
      </w:pPr>
      <w:r>
        <w:t xml:space="preserve">Reference identity was verified rather than assumed. All 3,366 contigs match the alignment headers by name, length and order, and sequence concordance was measured by sampling 1,000 random primary-contig positions per sample, with a recorded seed, and comparing the pileup consensus against the reference base wherever depth reached ten reads of mapping and base quality twenty or more.</w:t>
      </w:r>
    </w:p>
    <w:p>
      <w:pPr>
        <w:pStyle w:val="Heading2"/>
        <w:keepNext/>
        <w:spacing w:after="160" w:before="320"/>
      </w:pPr>
      <w:r>
        <w:t xml:space="preserve">Assistant Architecture</w:t>
      </w:r>
    </w:p>
    <w:p>
      <w:pPr>
        <w:keepNext w:val="false"/>
        <w:spacing w:after="140" w:line="276"/>
        <w:jc w:val="both"/>
      </w:pPr>
      <w:r>
        <w:t xml:space="preserve">The assistant is implemented as a set of tools exposed to a language model over the Model Context Protocol [20], following the architecture of MARRVEL-MCP [19] but directed at structural rather than sequence variants. The governing constraint is that the model reaches genomic data only through the tools, enforced by restricting what it can reach rather than by instructing it, so that every figure it reports can be checked against a tool return from the same session.</w:t>
      </w:r>
    </w:p>
    <w:p>
      <w:pPr>
        <w:keepNext w:val="false"/>
        <w:spacing w:after="140" w:line="276"/>
        <w:jc w:val="both"/>
      </w:pPr>
      <w:r>
        <w:t xml:space="preserve">Eleven tools form the evidence layer. Four compute independent signals at a supplied coordinate: discordant read pairs, soft-clipped reads, split reads, and read depth. The remaining seven provide a locus quality check, an assessment of which layers the data can inform, an integrator producing a composite score, a reciprocal-breakend check, a gene lookup against an external annotation service, and two image-generation tools. A startup assertion verifies that exactly these eleven are registered and refuses to run otherwise.</w:t>
      </w:r>
    </w:p>
    <w:p>
      <w:pPr>
        <w:keepNext w:val="false"/>
        <w:spacing w:after="140" w:line="276"/>
        <w:jc w:val="both"/>
      </w:pPr>
      <w:r>
        <w:t xml:space="preserve">Each of the four evidence layers contributes between zero and twenty-five points on a tiered scale, and the total is normalised over the layers the data can inform rather than over all four, so that a layer silenced by data quality does not depress the score of a finding it was never able to assess. Strength bands are assigned at seventy and forty. Where the fraction of poorly mapping reads at a locus exceeds a defined gate, the score is withheld rather than reported as low.</w:t>
      </w:r>
    </w:p>
    <w:p>
      <w:pPr>
        <w:keepNext w:val="false"/>
        <w:spacing w:after="140" w:line="276"/>
        <w:jc w:val="both"/>
      </w:pPr>
      <w:r>
        <w:t xml:space="preserve">Case state is held in a Phenopackets-inspired [21][22] object that records phenotype terms, candidate variants, evidence layers and provenance, so that every reported figure remains attributable to the call that produced it.</w:t>
      </w:r>
    </w:p>
    <w:p>
      <w:pPr>
        <w:pStyle w:val="Heading2"/>
        <w:keepNext/>
        <w:spacing w:after="160" w:before="320"/>
      </w:pPr>
      <w:r>
        <w:t xml:space="preserve">Discovery and Evaluation as Separate Processes</w:t>
      </w:r>
    </w:p>
    <w:p>
      <w:pPr>
        <w:keepNext w:val="false"/>
        <w:spacing w:after="140" w:line="276"/>
        <w:jc w:val="both"/>
      </w:pPr>
      <w:r>
        <w:t xml:space="preserve">The evidence tools assess a coordinate supplied to them; they do not search. Candidate discovery is therefore performed by a separate upstream process. DELLY v2.6.0 [39] was run offline over each alignment with the exclude template shipped for the reference build, on a single thread, writing a candidate list to a variant call file [13]. Manta was considered and not implemented; its value would lie in caller independence rather than in call quality, since different callers share some artifact modes and not others.</w:t>
      </w:r>
    </w:p>
    <w:p>
      <w:pPr>
        <w:keepNext w:val="false"/>
        <w:spacing w:after="140" w:line="276"/>
        <w:jc w:val="both"/>
      </w:pPr>
      <w:r>
        <w:t xml:space="preserve">A bridge layer of four tools loads that file and carries individual positions into the evidence layer. It parses both representation conventions in use — a single record carrying its partner locus in dedicated information fields, and paired records linked by a mate identifier — detecting which applies from the file itself, and normalises both to a common junction representation under a canonical ordering. Registration returns counts without coordinates; listing returns candidates together with the thresholds applied and a provenance label for each; retrieval returns a junction pre-shaped as arguments the evidence tools consume, so the assistant passes a coordinate through rather than composing one; comparison performs junction-level matching between two sets within a coordinate tolerance.</w:t>
      </w:r>
    </w:p>
    <w:p>
      <w:pPr>
        <w:pStyle w:val="Heading2"/>
        <w:keepNext/>
        <w:spacing w:after="160" w:before="320"/>
      </w:pPr>
      <w:r>
        <w:t xml:space="preserve">Filter Chain</w:t>
      </w:r>
    </w:p>
    <w:p>
      <w:pPr>
        <w:keepNext w:val="false"/>
        <w:spacing w:after="140" w:line="276"/>
        <w:jc w:val="both"/>
      </w:pPr>
      <w:r>
        <w:t xml:space="preserve">Six filters are applied in sequence: variant type, the caller's own filter status, a minimum count of supporting discordant pairs, a minimum count of supporting split reads, both breakends on primary contigs, and neither breakend inside a masked region. A seventh step, performed by the comparison tool rather than within the chain, removes junctions present at the same coordinates in a second sample within a five-hundred-base tolerance. The synthetic-control analysis applies the same chain without the variant-type step, as the analysis of its first construction did.</w:t>
      </w:r>
    </w:p>
    <w:p>
      <w:pPr>
        <w:keepNext w:val="false"/>
        <w:spacing w:after="140" w:line="276"/>
        <w:jc w:val="both"/>
      </w:pPr>
      <w:r>
        <w:t xml:space="preserve">Each threshold carries a provenance label: tool-defined, reference-defined, or author judgement. Per-step counts are reported both cumulatively and independently against the unfiltered set, because a step's cumulative effect depends on its position in the chain.</w:t>
      </w:r>
    </w:p>
    <w:p>
      <w:pPr>
        <w:pStyle w:val="Heading2"/>
        <w:keepNext/>
        <w:spacing w:after="160" w:before="320"/>
      </w:pPr>
      <w:r>
        <w:t xml:space="preserve">Construction of the Synthetic Positive Control</w:t>
      </w:r>
    </w:p>
    <w:p>
      <w:pPr>
        <w:keepNext w:val="false"/>
        <w:spacing w:after="140" w:line="276"/>
        <w:jc w:val="both"/>
      </w:pPr>
      <w:r>
        <w:t xml:space="preserve">Twelve heterozygous balanced reciprocal translocations between chromosomes 20 and 21 were implanted into the NA12878 background, one per alignment, yielding twenty-four novel junctions across three sequence contexts. The experiment reported here is a rebuild, carried out on 25 September 2026 after the generator and records of the first construction were lost in a system reinstall; the generator had never been committed. The rebuild follows the approved design of the first construction but is a new experiment — new random draws, partly new breakpoints, and an alternate-haplotype-aware alignment index — and each of its scripts was committed before it ran. Three coordinates of the first construction were reused deliberately, so that the two can be compared where they overlap.</w:t>
      </w:r>
    </w:p>
    <w:p>
      <w:pPr>
        <w:keepNext w:val="false"/>
        <w:spacing w:after="140" w:line="276"/>
        <w:jc w:val="both"/>
      </w:pPr>
      <w:r>
        <w:t xml:space="preserve">Derivative chromosome sequences were constructed from the reference, and paired-end reads of 150 bases were simulated from them with ART [53]. Its HiSeq 2500 profile was chosen because, of five candidate profiles, its isolated-mismatch error rate came closest to the rate measured in the background (0.001905 against 0.002104); the fragment-length distribution was likewise measured from the background (mean 442.6, standard deviation 104.6 bases). Base qualities were requantized to the eight-value set the background carries. All simulated reads were aligned in a single call with the aligner version and flags of the background (BWA 0.7.15, mem -Y), against the whole-genome index including its alternate-haplotype file, as the background had been aligned. Because the index covered the whole genome rather than only the chromosomes involved, simulated reads retained the opportunity to mismap genome-wide; restricting the index would have made the low-mappability class artificially tractable.</w:t>
      </w:r>
    </w:p>
    <w:p>
      <w:pPr>
        <w:keepNext w:val="false"/>
        <w:spacing w:after="140" w:line="276"/>
        <w:jc w:val="both"/>
      </w:pPr>
      <w:r>
        <w:t xml:space="preserve">Local depth was compensated so that the implant conserves copy number as a balanced event must: half of the background read pairs whose fragments span each breakpoint were removed and replaced by simulated junction-spanning fragments equal in number to the non-duplicate pairs removed, leaving non-spanning pairs untouched. Sequence context was classified by measurement — the same low-mapping-quality statistic the evidence tools compute, sequence entropy, homopolymer and dinucleotide runs, and an empirical mappability estimate obtained by tiling each window with simulated reads and recording the fraction returning to origin — over 978 scanned candidate breakends, with class boundaries fixed after inspecting the distribution and recorded with the run. A stricter rule, counting a dinucleotide run of eight bases as repeat, was applied afterwards to test whether the per-class figures depend on where the boundary falls.</w:t>
      </w:r>
    </w:p>
    <w:p>
      <w:pPr>
        <w:keepNext w:val="false"/>
        <w:spacing w:after="140" w:line="276"/>
        <w:jc w:val="both"/>
      </w:pPr>
      <w:r>
        <w:t xml:space="preserve">A gate was registered before the implants were built, to be checked on the first of them: at least 70 per cent of reads genuinely spanning a junction should carry a supplementary alignment tag naming the partner chromosome, none should name a wrong partner, and local depth should change by less than ten per cent. The first criterion failed: 18 of 33 spanning reads, 54.5 per cent, carried such a tag. The 70 per cent threshold had been set from the first construction's result of 82 per cent†, and that record's definition of a spanning read was lost with its generator, so the threshold had never been tied to the definition it was now being applied under. The criterion was therefore revised after the result, and the revision recorded as post hoc: every spanning read without a partner tag must be explained by the aligner's documented limits — a minimum output score of 30 and a minimum exact seed of 19 bases — which all fifteen were, and the observed fraction is reported against the fraction expected from read geometry alone, 61.1 per cent (probability of 18 or fewer by chance 0.27). The other two criteria passed at that implant: no tag named a wrong partner, and depth changed by −7.3 and +1.6 per cent at its two breakpoints. The wrong-partner criterion was checked at that implant only, and across all twelve it does not hold (Results).</w:t>
      </w:r>
    </w:p>
    <w:p>
      <w:pPr>
        <w:pStyle w:val="Heading2"/>
        <w:keepNext/>
        <w:spacing w:after="160" w:before="320"/>
      </w:pPr>
      <w:r>
        <w:t xml:space="preserve">Model Evaluation</w:t>
      </w:r>
    </w:p>
    <w:p>
      <w:pPr>
        <w:keepNext w:val="false"/>
        <w:spacing w:after="140" w:line="276"/>
        <w:jc w:val="both"/>
      </w:pPr>
      <w:r>
        <w:t xml:space="preserve">Models were compared in successive rounds against an identical harness: the same tool schemas generated from the registered tools, the same recorder, the same adversarial cases, and the same iteration limit. A first comparison used three cases; a second used six, after defects in the harness itself had been identified and corrected; and a controlled ablation of one tool return tested whether a model uses a quantity only that return supplies.</w:t>
      </w:r>
    </w:p>
    <w:p>
      <w:pPr>
        <w:keepNext w:val="false"/>
        <w:spacing w:after="140" w:line="276"/>
        <w:jc w:val="both"/>
      </w:pPr>
      <w:r>
        <w:t xml:space="preserve">Six adversarial cases were used, each constructed around a failure mode observed in earlier work: a prompt asserting a rearrangement the evidence does not support; a locus at which the score is withheld for quality reasons; fidelity to the queried coordinate; claims of checks never performed; the scoring ceiling; and a request for an image at a locus where generation must fail. Each was run five times per local model and per claude-sonnet-5 [54]; claude-opus-5 [55] was run fifteen times across the six cases.</w:t>
      </w:r>
    </w:p>
    <w:p>
      <w:pPr>
        <w:keepNext w:val="false"/>
        <w:spacing w:after="140" w:line="276"/>
        <w:jc w:val="both"/>
      </w:pPr>
      <w:r>
        <w:t xml:space="preserve">Outputs were scored by reading them. An automated rubric was constructed and abandoned: of five criteria, one penalised correct behaviour, one required three corrections, one manufactured violations by reading the hyphen of a numeric range as a minus sign, and one was never examined. A supporting automated pass extracts every number from a model's prose and checks it against the recorded tool calls, flagging unmatched values; its results are reported alongside a manual classification, because the pass answers whether a tool returned a number rather than whether a claim is supported.</w:t>
      </w:r>
    </w:p>
    <w:p>
      <w:pPr>
        <w:keepNext w:val="false"/>
        <w:spacing w:after="140" w:line="276"/>
        <w:jc w:val="both"/>
      </w:pPr>
      <w:r>
        <w:t xml:space="preserve">In the ablation rerun every run was scored blind. The prompt and each run's final answer, stripped of model and condition and shuffled under random identifiers, were scored against four written criteria by a fresh model instance that had not seen the runs; a salted hash of the identifiers' key was committed before scoring and the key after it. The sentence deciding each judgement was quoted verbatim and machine-checked against the run's trace. Twenty-three local runs had earlier been scored without blinding, and the blind scores agreed with that scoring on every judgement of the two ceiling criteria and on twenty-two of twenty-three for each of the others.</w:t>
      </w:r>
    </w:p>
    <w:p>
      <w:pPr>
        <w:keepNext w:val="false"/>
        <w:spacing w:after="140" w:line="276"/>
        <w:jc w:val="both"/>
      </w:pPr>
      <w:r>
        <w:t xml:space="preserve">Local models were served through Ollama [56] on an eight-gigabyte laptop accelerator; frontier models were accessed through a commercial interface with prompt caching enabled and server-side model fallbacks disabled, so that a refusal would be recorded as its own outcome rather than silently answered by a different model.</w:t>
      </w:r>
    </w:p>
    <w:p>
      <w:pPr>
        <w:pStyle w:val="Heading2"/>
        <w:keepNext/>
        <w:spacing w:after="160" w:before="320"/>
      </w:pPr>
      <w:r>
        <w:t xml:space="preserve">Software Used</w:t>
      </w:r>
    </w:p>
    <w:p>
      <w:pPr>
        <w:keepNext w:val="false"/>
        <w:spacing w:after="140" w:line="276"/>
        <w:jc w:val="both"/>
      </w:pPr>
      <w:r>
        <w:t xml:space="preserve">Python, developed on 3.11 and verified on 3.14 in a clean installation, with pysam 0.24.0 [57] for alignment and variant file access, FastMCP 3.4.6 [58] for the tool protocol layer, and the Python standard library for the interface. DELLY v2.6.0 [39] for structural variant calling; samtools and bcftools 1.21 [59] for file handling (the samtools build used for the synthetic control reports htslib 1.24); BWA 0.7.15 [52] and ART 2.5.8 [53] for the synthetic control; IGV 2.17.4 [36] for image generation; Ollama 0.32.9 [56] for local model serving. The clinical alignments were produced by the data provider. Development was performed under WSL2 on Windows with version control on GitHub; the installation procedure and the user manual are given in Appendices 1 and 2 and the repository in Appendix 3.</w:t>
      </w:r>
    </w:p>
    <w:p>
      <w:pPr>
        <w:pStyle w:val="Heading2"/>
        <w:keepNext/>
        <w:spacing w:after="160" w:before="320"/>
      </w:pPr>
      <w:r>
        <w:t xml:space="preserve">Records and Figure Provenance</w:t>
      </w:r>
    </w:p>
    <w:p>
      <w:pPr>
        <w:keepNext w:val="false"/>
        <w:spacing w:after="140" w:line="276"/>
        <w:jc w:val="both"/>
      </w:pPr>
      <w:r>
        <w:t xml:space="preserve">Every figure in this thesis is meant to be traceable to a record committed to the project repository (Appendix 3), and a figure map kept there lists, for each numeric claim, the record and key it comes from (Appendix 6). On 23 September 2026 a full reinstall of the development system destroyed the run records that had been kept outside version control: the generator and records of the first synthetic positive control, the records of the frontier-model sweep and of the first ceiling experiment, and the memory-model pilot runs. The clinical variant calling was then repeated from re-downloaded alignments, verified byte for byte against the original record, and reproduced every count exactly; the synthetic positive control was rebuilt as a new experiment; the ceiling experiment and the frontier-model sweep were rerun; and the properties of the clinical alignments, the behaviour of the candidate bridge before its corrections, and the test suites' assertion counts were measured again, each with its definition recorded beside it. Where a new figure differs from the one first reported, the new one is used and the difference stated. Figures that could not be regenerated — those of the first synthetic construction and the demonstration bundle first built from it, the first ceiling comparison, the first frontier-model sweep, the memory-model pilot runs, and the individual judgements of the second model comparison, whose surviving record holds counts but not verdicts — are quoted from text written at the time and marked †: no committed record supports them, and they should be read accordingly.</w:t>
      </w:r>
    </w:p>
    <w:p>
      <w:pPr>
        <w:pStyle w:val="Heading1"/>
        <w:pageBreakBefore/>
        <w:spacing w:after="240" w:before="360"/>
      </w:pPr>
      <w:r>
        <w:t xml:space="preserve">RESULTS</w:t>
      </w:r>
    </w:p>
    <w:p>
      <w:pPr>
        <w:pStyle w:val="Heading2"/>
        <w:keepNext/>
        <w:spacing w:after="160" w:before="320"/>
      </w:pPr>
      <w:r>
        <w:t xml:space="preserve">Validation on three datasets</w:t>
      </w:r>
    </w:p>
    <w:p>
      <w:pPr>
        <w:keepNext w:val="false"/>
        <w:spacing w:after="140" w:line="276"/>
        <w:jc w:val="both"/>
      </w:pPr>
      <w:r>
        <w:t xml:space="preserve">The tools were validated on three progressively more demanding datasets.</w:t>
      </w:r>
    </w:p>
    <w:p>
      <w:pPr>
        <w:keepNext w:val="false"/>
        <w:spacing w:after="140" w:line="276"/>
        <w:jc w:val="both"/>
      </w:pPr>
      <w:r>
        <w:t xml:space="preserve">The first was a synthetic balanced translocation (chr1↔chr8) generated in code with exactly known properties: 15 discordant read pairs, 5 soft-clipped reads, and 8 split reads with SA tags, all pointing to the same partner chromosome, with reciprocal reads at the partner locus confirming the second breakend. The summarize_breakpoint_evidence function returned a score of 100/100, "STRONG", 4/4 layers, and check_reciprocal_breakpoint confirmed the reciprocal verdict. This result required later correction, described below: two of the four contributing layers were in fact scoring on artifacts rather than on planted signal, and the fixture genuinely demonstrated only the discordant-pair and split-read layers. The counts those two layers reported did match ground truth exactly, and the reciprocal verdict was sound.</w:t>
      </w:r>
    </w:p>
    <w:p>
      <w:pPr>
        <w:keepNext w:val="false"/>
        <w:spacing w:after="140" w:line="276"/>
        <w:jc w:val="both"/>
      </w:pPr>
      <w:r>
        <w:t xml:space="preserve">The second dataset was the HCC1143 normal (germline) alignment (chromosome 21, 19–20 Mb) from a 2018 Illumina alignment pipeline, at a locus its source tutorial labels as a translocation. The tools produced consistent and reproducible output at the documented coordinate chr21:19,089,694, but the signal was weak: the discordant-pair fraction was flat at 0.7–0.8% across the entire region with mates scattered across many different partner chromosomes, and zero SA-tagged reads were found anywhere in the 572,731-read file. The 2018 alignment pipeline did not emit chimeric-alignment records at all, making the split-read evidence layer structurally unable to contribute regardless of what is actually present in the sample. This is a documented limitation of the dataset, not a defect in the tools, and it directly motivates why modern alignment is required.</w:t>
      </w:r>
    </w:p>
    <w:p>
      <w:pPr>
        <w:keepNext w:val="false"/>
        <w:spacing w:after="140" w:line="276"/>
        <w:jc w:val="both"/>
      </w:pPr>
      <w:r>
        <w:t xml:space="preserve">The third and most informative dataset was the GIAB HG002 PacBio HiFi BAM aligned to GRCh38 (streamed remotely, no full download), validated against a confirmed heterozygous deletion of 3,357 bases from the NIST CMRG SV v1.00 benchmark (VCF position chr1:115,686,862). The same deletion was subsequently validated using the GIAB HG002 Illumina 300x Novoalign-aligned BAM, providing cross-technology replication. Real-data testing surfaced two production bugs. In count_discordant_pairs, single-molecule PacBio HiFi reads are unpaired, so the tool's check of mate_is_unmapped — which defaults to "mapped" on reads that have no mate — caused every read to appear discordant, producing a spurious 100% signal. The fix requires checking is_paired first. In an early version of get_read_depth_profile, window overlap was judged using reference_start and reference_end, which spans internally across CIGAR deletion operations; a read carrying the deletion appeared to cover the deleted region it does not sequence. The fix uses actual aligned reference positions instead. Both bugs shared the same root cause: short-read, paired-end assumptions misbehave on long-read data in ways that produce convincing-looking false signal rather than obvious errors.</w:t>
      </w:r>
    </w:p>
    <w:p>
      <w:pPr>
        <w:keepNext w:val="false"/>
        <w:spacing w:after="140" w:line="276"/>
        <w:jc w:val="both"/>
      </w:pPr>
      <w:r>
        <w:t xml:space="preserve">A third issue emerged during calibration. The initial depth-profile threshold (depth-ratio-min-to-mean &lt; 0.6, queried over ±500 bp) missed the confirmed deletion on both real datasets, returning ratios of 0.62–0.71. Widening the query window to ±2,000 bp and raising the threshold to 0.7 brought both datasets within the threshold (ratios 0.609 for PacBio, 0.542 for Illumina), correctly triggering the depth evidence layer. Following this calibration, summarize_breakpoint_evidence reported three of four layers carrying signal on both real datasets, but the missing layer differs between technologies for principled reasons: on PacBio HiFi the missing layer is discordant pairs, which is correct because HiFi reads are unpaired and discordant-pair scoring is structurally inapplicable; on Illumina 300x (Novoalign-aligned) the missing layer is split reads, because the Novoalign aligner does not emit SA-tagged chimeric alignments, leaving the split-read layer with no signal to score. In both cases the absence reflects a genuine property of the data rather than a tool failure, and the per-layer breakdown makes this transparent to the user. One calibration caveat must be stated honestly, and stating it properly required settling how thresholds are counted at all. A threshold is taken here to mean any numeric cutoff that changes what the assistant reports, whether by altering a component score or by altering the prose a model reads and may quote; strength bands are excluded, since they only rename an already-computed score. On that definition the scoring logic contains sixteen thresholds — thirteen that alter a score and three that alter only text — of which two are empirically derived and fourteen are the author's judgement. A second convention appears in the scoring function's own documentation, which counts eleven thresholds across the four components rather than sixteen across the system; the denominators differ in what they admit, and the one in use should be named wherever the proportion is quoted. Two of the scoring thresholds were added during the patient-data work described below: a minimum absolute support requirement gating the bottom tier of the discordant and split layers, and a mapping-quality gate that withholds the normalised score entirely rather than adjusting a component. Neither is empirical: the effect of the support minimum was measured across 42 control loci in two samples, but the value itself was chosen by judgement, and measuring what a number does is not deriving it from data. The depth-ratio cutoff of 0.7 rests on one locus measured across two sequencing technologies, replicated by platform but not across independent genomic positions. The localisation tolerance of one kilobase rests on two real loci with a documented gap on either side: a control position whose regional minimum is an unrelated fluctuation 1,400 bases away and must not count, and the confirmed deletion whose lowest sampled bin lies 800 to 900 bases downstream and must. Its own documentation states the failure modes this leaves open in both directions. The false-positive rate across normal-coverage regions was unmeasured at this stage; it was measured later, on clinical data, and is reported below.</w:t>
      </w:r>
    </w:p>
    <w:p>
      <w:pPr>
        <w:keepNext w:val="false"/>
        <w:spacing w:after="140" w:line="276"/>
        <w:jc w:val="both"/>
      </w:pPr>
      <w:r>
        <w:t xml:space="preserve">The decision to count the three text-only cutoffs is deliberate rather than pedantic. The predominance gate, which determines whether the tool describes a dominant translocation partner, alters no component score — and it is the cutoff that caused a published retraction, because it made the tool assert a dominant partner from a single read and a model quoted that sentence rather than the number behind it. A counting convention admitting only scored outcomes would have placed the most consequential defect in this work outside the category being counted, which is reason enough not to adopt it.</w:t>
      </w:r>
    </w:p>
    <w:p>
      <w:pPr>
        <w:pStyle w:val="Heading2"/>
        <w:keepNext/>
        <w:spacing w:after="160" w:before="320"/>
      </w:pPr>
      <w:r>
        <w:t xml:space="preserve">End-to-end assistant demonstration</w:t>
      </w:r>
    </w:p>
    <w:p>
      <w:pPr>
        <w:keepNext w:val="false"/>
        <w:spacing w:after="140" w:line="276"/>
        <w:jc w:val="both"/>
      </w:pPr>
      <w:r>
        <w:t xml:space="preserve">The tools were finally exercised as intended: an LLM client connected to the MCP server and investigated a candidate breakpoint using only the exposed tools, with no access to the underlying source code and no ability to execute scripts. The test case was the GIAB HG002 Illumina 300x BAM at chr1:115,686,862, with the sequencing technology and aligner supplied as case metadata but no information about what the tools would find. The assistant called the tools in the documented order, reported the depth transition as beginning in the exact 100-base bin containing the candidate position, identified the soft-clip consensus at 115,686,865 with a 13-read pileup, and correctly refused to treat the zero split-read result as a negative finding — reasoning instead from the tool's own documented SA-tag caveat that zero is uninformative on a Novoalign-aligned file. Each numeric claim in its report was cited to a specific tool call and field. Notably, the session environment contained repository history referencing the same sample and region from prior development work; the assistant explicitly recorded that it had not read this material and that no part of its report depended on it, which is the anti-hallucination guarantee holding under conditions where the tempting information was directly available.</w:t>
      </w:r>
    </w:p>
    <w:p>
      <w:pPr>
        <w:keepNext w:val="false"/>
        <w:spacing w:after="140" w:line="276"/>
        <w:jc w:val="both"/>
      </w:pPr>
      <w:r>
        <w:t xml:space="preserve">A second session repeated the investigation with the full nine-tool suite, adding visual output. The assistant reached the same conclusion — a likely heterozygous deletion rather than a translocation — but arrived at it through differential reasoning rather than evidence accumulation alone: it called check_reciprocal_breakpoint, found no back-pointing discordant signal on the partner chromosome, and used that absence as positive evidence against a balanced rearrangement. The single discordant pair with a mate on chr12 was correctly dismissed as background rather than treated as a translocation signal, and the drop from roughly 410–520 to a minimum of 175 (ratio 0.547) was identified as the strongest component — figures later found to be reads per window rather than per-base depth, through a defect described below; the true per-base depth over the span is roughly 100 to 320. The session concluded with an IGV screenshot using insert-size coloring, showing the coverage dip flanked by abnormal-insert-size read pairs — visual confirmation a reviewer can inspect independently of the numerical report. Confidence was stated as moderate, with the limiting factor named explicitly: only two of four evidence layers were independently informative on this aligner.</w:t>
      </w:r>
    </w:p>
    <w:p>
      <w:pPr>
        <w:keepNext w:val="false"/>
        <w:spacing w:after="140" w:line="276"/>
        <w:jc w:val="both"/>
      </w:pPr>
      <w:r>
        <w:t xml:space="preserve">The first of these sessions had also surfaced a third production bug that had escaped several manual review passes. The assistant observed that the four component scores returned by summarize_breakpoint_evidence (15, 15, 0, and 30) summed to 60 while the reported evidence_score was 30, contradicting the function's own documentation stating that components sum to the composite. Rather than deferring to the headline figure, it reported both numbers and flagged the inconsistency as unresolvable from the information available to it. Investigation confirmed the composite score was computed correctly but the component values were returned on a 0–50 scale and then halved internally, so the exposed breakdown did not reconcile with the total. The components were rescaled to a direct 0–25 range summing without hidden division, and both docstrings were corrected. This bug is instructive for the thesis argument: it was invisible to unit tests, which asserted on the composite rather than the breakdown, and invisible to code review, but immediately apparent to an agent reading the output the way a clinician would — checking whether the reported evidence actually adds up to the reported conclusion. An assistant that cites its sources surfaces inconsistencies that a scripted pipeline propagates silently.</w:t>
      </w:r>
    </w:p>
    <w:p>
      <w:pPr>
        <w:pStyle w:val="Heading2"/>
        <w:keepNext/>
        <w:spacing w:after="160" w:before="320"/>
      </w:pPr>
      <w:r>
        <w:t xml:space="preserve">Systematic audit</w:t>
      </w:r>
    </w:p>
    <w:p>
      <w:pPr>
        <w:keepNext w:val="false"/>
        <w:spacing w:after="140" w:line="276"/>
        <w:jc w:val="both"/>
      </w:pPr>
      <w:r>
        <w:t xml:space="preserve">Before extending the system further, the implementation was subjected to a structured audit covering test-suite determinism, per-tool assertion coverage, error handling under malformed input, consistency between documented and actual behaviour, the scientific defensibility of the scoring thresholds, and repository hygiene. The audit was conducted by probing the running system rather than by reading code, and every finding was reproduced against the working tree. It returned five critical defects, twelve substantive concerns, and four housekeeping items.</w:t>
      </w:r>
    </w:p>
    <w:p>
      <w:pPr>
        <w:keepNext w:val="false"/>
        <w:spacing w:after="140" w:line="276"/>
        <w:jc w:val="both"/>
      </w:pPr>
      <w:r>
        <w:t xml:space="preserve">The most instructive defect concerned the visual layer. The documented default coloring mode for run_igv_screenshot was MATE_CHROMOSOME, which both the function signature and the tool description recommended as the correct setting for inspecting translocations. That identifier does not exist in the installed IGV build; the valid enumeration contains INSERT_SIZE, READ_STRAND, PAIR_ORIENTATION, and UNEXPECTED_PAIR, the last being the correct choice for inter-chromosomal pairs. Passing the invalid value caused IGV's batch executor to throw and then hang in its rendering thread until the tool's own timeout expired, so every call using default settings failed slowly and silently. The condition had persisted undetected because the corresponding unit test asserted only that the generated batch script contained the expected command strings, never that a image was actually produced — the test verified the intention rather than the outcome, and passed continuously while the feature had never once worked end to end. Every documented successful screenshot in the project had used INSERT_SIZE, which is appropriate for deletions and was the mode the deletion validation happened to require. The translocation display path, the one most relevant to the thesis, had therefore never been exercised at all.</w:t>
      </w:r>
    </w:p>
    <w:p>
      <w:pPr>
        <w:keepNext w:val="false"/>
        <w:spacing w:after="140" w:line="276"/>
        <w:jc w:val="both"/>
      </w:pPr>
      <w:r>
        <w:t xml:space="preserve">A second defect had a similar character. Seven of the nine tools raised unhandled exceptions rather than returning structured errors when given a chromosome name absent from the BAM header, a position beyond the end of a contig, or a reversed coordinate range. The cause was narrow exception handling: the call opening the alignment file was wrapped, but the subsequent region query, where such errors actually originate, was not. This mattered because contig naming conventions differ between references — the project's own HCC1143 validation file uses bare names such as 21, while every docstring invites the chr-prefixed form — so an assistant with no visibility into a file's naming convention would trigger the crash by making the most natural possible request. A related defect was more serious for the project's stated aims: check_reciprocal_breakpoint did not inspect the error field of its internal calls, so a failed lookup was reported as a clean negative finding rather than as a failure. A tool that cannot distinguish "no evidence" from "could not look" undermines precisely the guarantee the architecture exists to provide.</w:t>
      </w:r>
    </w:p>
    <w:p>
      <w:pPr>
        <w:keepNext w:val="false"/>
        <w:spacing w:after="140" w:line="276"/>
        <w:jc w:val="both"/>
      </w:pPr>
      <w:r>
        <w:t xml:space="preserve">The remaining critical findings concerned internal consistency: two different depth-ratio thresholds for the same deletion judgement coexisted in a single returned object, one at the original 0.6 and one at the calibrated 0.7, so a locus falling between them received contradictory signals from adjacent fields; and two server-side wrappers — one found by the audit, the second while correcting it — declared default parameter values differing from the functions they wrapped, meaning an assistant calling a tool without explicit arguments received different filtering than the documentation described. All five defects were corrected, contig-name normalisation was added so that either naming convention resolves against the header, and the test suite was extended, including a regression test asserting that component scores sum to the composite — the invariant that had previously failed in production and been caught only by an assistant reading its own output.</w:t>
      </w:r>
    </w:p>
    <w:p>
      <w:pPr>
        <w:keepNext w:val="false"/>
        <w:spacing w:after="140" w:line="276"/>
        <w:jc w:val="both"/>
      </w:pPr>
      <w:r>
        <w:t xml:space="preserve">The audit also resolved a design question left open by the earlier real-data validation. The SequencingInfo.applicable_evidence_layers property described which layers a given technology can inform, but the scoring function never consulted it: component scores were always normalised over all four layers, so a genuine deletion observed on an aligner that emits no chimeric alignments was structurally incapable of exceeding a moderate rating regardless of how strong the available evidence was. Both real validated datasets were subject to this ceiling. The scoring function now accepts an explicit set of applicable layers and normalises over those alone while also reporting the unnormalised figure, and a tenth tool, detect_applicable_layers, samples reads from the file to determine empirically whether pairing and supplementary alignments are present rather than relying on the caller to assert it.</w:t>
      </w:r>
    </w:p>
    <w:p>
      <w:pPr>
        <w:keepNext w:val="false"/>
        <w:spacing w:after="140" w:line="276"/>
        <w:jc w:val="both"/>
      </w:pPr>
      <w:r>
        <w:t xml:space="preserve">The pattern across the audit defects, and across those found before and after it through real-data use, is consistent: with one exception — a crash found by a regression suite written for three similar ones — none was detected by unit testing. The tests encoded the same assumptions as the code, so where an assumption was wrong both agreed — most starkly in the case of the invalid colouring mode, where a passing test asserted that the correct command string had been generated while the command itself had never once succeeded. Defects surfaced instead when the system met a real file, a real external binary, an unconfigured machine, or a reader checking whether the reported numbers were mutually consistent. For a project whose central claim is that evidence should be visible and checkable, this is not incidental — it is the same argument applied one level up, to the implementation itself.</w:t>
      </w:r>
    </w:p>
    <w:p>
      <w:pPr>
        <w:pStyle w:val="Heading2"/>
        <w:keepNext/>
        <w:spacing w:after="160" w:before="320"/>
      </w:pPr>
      <w:r>
        <w:t xml:space="preserve">Key methodological finding</w:t>
      </w:r>
    </w:p>
    <w:p>
      <w:pPr>
        <w:keepNext w:val="false"/>
        <w:spacing w:after="140" w:line="276"/>
        <w:jc w:val="both"/>
      </w:pPr>
      <w:r>
        <w:t xml:space="preserve">Evidence-layer relevance depends on sequencing technology and read length relative to SV size, not on SV type alone. For a 3.4-kilobase deletion in 15–20-kilobase HiFi reads, most reads span the deletion as a single CIGAR D operation — no soft-clip, no SA tag — making depth the primary signal. For short-read paired-end data and inter-chromosomal balanced translocations, discordant pairs and soft-clips dominate. Following the audit, the assistant determines the applicable layers empirically from the file and normalises its composite score over those layers alone, rather than penalising a finding for the absence of evidence that was never expected to appear. This design decision was driven by the real-data testing, not by theoretical consideration alone.</w:t>
      </w:r>
    </w:p>
    <w:p>
      <w:pPr>
        <w:pStyle w:val="Heading2"/>
        <w:keepNext/>
        <w:spacing w:after="160" w:before="320"/>
      </w:pPr>
      <w:r>
        <w:t xml:space="preserve">Blind generalisation test</w:t>
      </w:r>
    </w:p>
    <w:p>
      <w:pPr>
        <w:keepNext w:val="false"/>
        <w:spacing w:after="140" w:line="276"/>
        <w:jc w:val="both"/>
      </w:pPr>
      <w:r>
        <w:t xml:space="preserve">Every threshold, window, and panel setting in the system had by this point been developed against a single locus — the GIAB deletion at chr1:115,686,862. A system tuned against one example may discriminate that example without discriminating anything else, so a blind test was run in a fresh session: three positions in the same file, presented without indication of which if any carried a variant. Two were arbitrary coordinates on chromosomes with no known event; the third was the calibration locus. The assistant was instructed to treat each independently.</w:t>
      </w:r>
    </w:p>
    <w:p>
      <w:pPr>
        <w:keepNext w:val="false"/>
        <w:spacing w:after="140" w:line="276"/>
        <w:jc w:val="both"/>
      </w:pPr>
      <w:r>
        <w:t xml:space="preserve">Both control positions were reported as showing no credible evidence with high confidence, and the calibration locus as a probable heterozygous deletion breakpoint with moderate confidence. The discrimination rested on several independent measures rather than one threshold marginally tipping: a thirteen-read soft-clip pileup three bases from the query coordinate against maxima of two and one at the controls, and a depth transition beginning in the bin immediately following the query coordinate and robust to scan width, against depth that was flat at one control and depressed only at an unrelated position fifteen hundred bases away at the other. The assistant's procedural discipline was also correct: it consulted the gene lookup only at the position where a signal warranted follow-up, and declined the reciprocal-breakpoint check at all three positions because no discordant clustering existed to test.</w:t>
      </w:r>
    </w:p>
    <w:p>
      <w:pPr>
        <w:keepNext w:val="false"/>
        <w:spacing w:after="140" w:line="276"/>
        <w:jc w:val="both"/>
      </w:pPr>
      <w:r>
        <w:t xml:space="preserve">The blind test nevertheless exposed three defects, two of which had been affecting earlier results unnoticed. The first concerned get_read_depth_profile, whose reported mean depth varied by thirty-nine percent for the same region depending on the bin width requested, and ran consistently above the figure get_bam_stats_at_locus reported for equivalent spans. Per-base coverage must be invariant to binning; the function was in fact counting reads overlapping each bin rather than averaging aligned bases across it, so every absolute depth value it had ever produced was a read count carrying a depth label. Ratios computed within a single call compared like against like and therefore remained approximately valid, which is why deletion detection had continued to work and why the defect had gone unnoticed. Recomputing from aligned base coverage made the reported depth invariant to bin width to within one to two per cent.</w:t>
      </w:r>
    </w:p>
    <w:p>
      <w:pPr>
        <w:keepNext w:val="false"/>
        <w:spacing w:after="140" w:line="276"/>
        <w:jc w:val="both"/>
      </w:pPr>
      <w:r>
        <w:t xml:space="preserve">The second defect was that the deletion flag did not test localisation. It compared the minimum depth anywhere in the queried window against the window mean, so at the first control position it returned true on account of a dip fifteen hundred bases downstream while the bins containing the queried coordinate sat at a local maximum. The flag answered whether a depth feature existed somewhere nearby rather than whether one existed at the position under investigation. The function now accepts a focus position, reports where the minimum actually falls and how far that is from the focus, and the scoring function declines to award depth evidence when the two do not coincide. A tolerance of one kilobase was adopted after real data showed the genuine deletion's coverage declining gradually rather than stepping cleanly at the breakpoint.</w:t>
      </w:r>
    </w:p>
    <w:p>
      <w:pPr>
        <w:keepNext w:val="false"/>
        <w:spacing w:after="140" w:line="276"/>
        <w:jc w:val="both"/>
      </w:pPr>
      <w:r>
        <w:t xml:space="preserve">The third defect was in the soft-clip tier, which scored on the fraction of clipped reads in the window and consequently assigned all three blind positions an identical score despite pileups of thirteen, two, and one read at a single base. The fraction conflates scattered clipping with a genuine pileup, and it was the pileup count that distinguished the true breakpoint. Rescoring on that count separated the positions as expected.</w:t>
      </w:r>
    </w:p>
    <w:p>
      <w:pPr>
        <w:keepNext w:val="false"/>
        <w:spacing w:after="140" w:line="276"/>
        <w:jc w:val="both"/>
      </w:pPr>
      <w:r>
        <w:t xml:space="preserve">Correcting these three defects had a consequence for the synthetic validation reported earlier. With localisation enforced and clip scoring corrected, two of the four layers that had contributed to the fixture's perfect score stopped firing: its soft-clipped reads had never formed a pileup at a common base, and its depth signal had come from deliberate read-free gaps in the construction rather than from any planted event. The synthetic fixture had therefore been demonstrating two layers, not four. A caveat recorded at the time of the original demonstration had noted the depth layer behaving oddly on that fixture but attributed it to the fixture's construction rather than to the tool — the symptom was seen, assigned to the wrong cause, and the underlying defect survived until an unrelated test found it. Re-running the blind positions after the corrections left all three verdicts unchanged while widening the separation between the true locus and the controls from roughly twofold to sixfold, which is the outcome a genuine improvement in discrimination should produce.</w:t>
      </w:r>
    </w:p>
    <w:p>
      <w:pPr>
        <w:pStyle w:val="Heading2"/>
        <w:keepNext/>
        <w:spacing w:after="160" w:before="320"/>
      </w:pPr>
      <w:r>
        <w:t xml:space="preserve">Reproducibility verification</w:t>
      </w:r>
    </w:p>
    <w:p>
      <w:pPr>
        <w:keepNext w:val="false"/>
        <w:spacing w:after="140" w:line="276"/>
        <w:jc w:val="both"/>
      </w:pPr>
      <w:r>
        <w:t xml:space="preserve">Every result reported above was produced in an environment that had been incrementally configured over the course of development, which is not the environment anyone else would encounter. The system was therefore verified from a clean clone: a fresh checkout, a conda environment built solely from the committed specification, and the full test suite executed without any manual intervention. The full suite passed, and the run exercised the real paths rather than synthetic fallbacks — IGV was launched and produced images, a remote alignment file was streamed over HTTPS from NIST, and the live Ensembl API was queried. Two portability defects surfaced only through this exercise. The committed environment specification was pinned to platform-specific build identifiers and to a sequencing-toolkit version predating Apple Silicon, so it would have failed to resolve on any machine that was not Linux on x86; and IGV itself was not installed by any part of the repository, having been placed manually on the development machine early on and thereafter assumed. Both were corrected — the specification was made platform-neutral and verified to resolve on Linux, Intel macOS, and Apple Silicon, and an installation script was added, with the search path made overridable by environment variable. A related defect had appeared slightly earlier and belongs to the same class: the tool server had been registered with an empty environment, so no interpreter path was inherited and the Java runtime required by IGV was unreachable. Every screenshot generated up to that point had in fact been produced by calling the underlying functions directly from an already-configured shell, never through the protocol interface the assistant actually uses. Two execution paths existed, only one had ever been exercised, and it was not the one that matters in deployment.</w:t>
      </w:r>
    </w:p>
    <w:p>
      <w:pPr>
        <w:pStyle w:val="Heading2"/>
        <w:keepNext/>
        <w:spacing w:after="160" w:before="320"/>
      </w:pPr>
      <w:r>
        <w:t xml:space="preserve">Validation on real patient data</w:t>
      </w:r>
    </w:p>
    <w:p>
      <w:pPr>
        <w:keepNext w:val="false"/>
        <w:spacing w:after="140" w:line="276"/>
        <w:jc w:val="both"/>
      </w:pPr>
      <w:r>
        <w:t xml:space="preserve">Access to two clinical whole-genome BAMs, approximately 39 and 42 gigabytes, made a further class of testing possible. Both were aligned with BWA-MEM to hs38DH — 3,366 contigs including 261 alternate haplotypes, 2,512 unplaced and decoy contigs, and 525 HLA contigs that carry no chr prefix — at roughly 31-fold coverage, paired-end, with supplementary-alignment tags present. This is the first real dataset in the project where all four evidence layers are simultaneously applicable; every earlier real dataset lacked at least one, so several code paths had never been exercised against anything but a fixture.</w:t>
      </w:r>
    </w:p>
    <w:p>
      <w:pPr>
        <w:keepNext w:val="false"/>
        <w:spacing w:after="140" w:line="276"/>
        <w:jc w:val="both"/>
      </w:pPr>
      <w:r>
        <w:t xml:space="preserve">The mechanical result was reassuring and the interpretive result was not. Across seventy tool calls at arbitrary coordinates, sixteen probe groups targeting the split-read parser, and a full matrix of edge conditions, there were no exceptions at any real coordinate, no malformed returns, and no alignment-reading call slower than 0.096 seconds; lookups against the external annotation service took up to 3.6 seconds. Peak memory was 68 megabytes irrespective of file size, since the index permits seeking directly to the required compressed blocks. Contig resolution worked under both naming conventions, zero-coverage handling behaved exactly as documented, and the split-read parser agreed with an independent implementation on every read of a 100-kilobase test window and raised no parse error across roughly 470,000 supplementary-alignment entries. The split-read layer keys on the tag attached to the primary record rather than on the supplementary flag, so it does not depend on how split alignments are flagged. That independence matters for these files. A chromosome-scale scan during this validation found no read carrying the supplementary flag, as bwa mem -M predicts, and its record generalised the finding to the files as a whole. A later whole-file count found 3,694,802 and 3,726,497 such records, every one on a decoy, alternate-haplotype or HLA contig and none on the primary chromosomes: the scan was right about the chromosomes it read, and the generalisation was wrong. Some 2.4 million of the supplementary records on decoys, per sample, belong to reads whose primary alignment lies on the main chromosomes; until a correction reported later in this chapter, the split-read layer counted such an entry as a partner like any other.</w:t>
      </w:r>
    </w:p>
    <w:p>
      <w:pPr>
        <w:keepNext w:val="false"/>
        <w:spacing w:after="140" w:line="276"/>
        <w:jc w:val="both"/>
      </w:pPr>
      <w:r>
        <w:t xml:space="preserve">Fourteen defects were nonetheless identified, and the serious ones concerned what the numbers meant rather than whether the code ran. The most serious was that the composite score could rise as data quality fell. Following the earlier audit, layers that cannot inform a given dataset are excluded from both the numerator and the denominator of the normalised score. That is correct for a technology limit — an aligner that emits no chimeric alignments can never produce split-read evidence — but it is exactly inverted for a quality limit, where the layers could have contributed and were silenced by unmappable reads. In pericentromeric windows where nearly every read carries zero mapping quality, the three quality-filtered layers dropped out while the depth layer, which took no mapping-quality parameter at all, continued to score. The denominator fell to one, and a maximal depth contribution normalised to 100 out of 100, reported as strong evidence. Of twenty-eight sample-locus combinations meeting that condition, sixteen were rated strong. A compounding defect made the situation harder to detect: the accompanying explanation read "no reads in window" at windows containing as many as 452 reads, telling a reader there was no data when the truth was that all coverage was multi-mapping — precisely the warning that would have prevented over-trusting the score.</w:t>
      </w:r>
    </w:p>
    <w:p>
      <w:pPr>
        <w:keepNext w:val="false"/>
        <w:spacing w:after="140" w:line="276"/>
        <w:jc w:val="both"/>
      </w:pPr>
      <w:r>
        <w:t xml:space="preserve">Several further defects followed the pattern established earlier in the project, of a field asserting something its data does not support. The reciprocal-breakpoint check could return "insufficient evidence at both positions" alongside a boolean indicating the event was balanced, because the two used different thresholds; two callers reading the same object would reach opposite conclusions and both fields appeared authoritative. The gene-annotation tool returned, for any queried coordinate, a note stating that a breakpoint directly disrupts a given number of genes — an assertion a coordinate lookup cannot support, emitted at control positions where no breakpoint exists. A parameter that appeared to filter did not: the split-read parser read only the contig and position of each supplementary alignment, discarding mapping quality, so partner contigs were counted at full weight regardless of the caller's threshold. In one sample, 71 per cent of the supplementary records in a tested window carried zero mapping quality. In a test window, filtering supplementary entries by their own mapping quality reduced split-read counts by 29 and 60 per cent at an explicit threshold of 20, and by 66 and 87 per cent at default settings, where it compounds with a change of the default threshold from 0 to 20 made at the same time — a measure of how much of the previously reported evidence could not be filtered at all. Strand was likewise discarded, although 10 to 12 per cent of entries reverse orientation relative to the primary alignment — the field that distinguishes an inversion-type junction from a direct one.</w:t>
      </w:r>
    </w:p>
    <w:p>
      <w:pPr>
        <w:keepNext w:val="false"/>
        <w:spacing w:after="140" w:line="276"/>
        <w:jc w:val="both"/>
      </w:pPr>
      <w:r>
        <w:t xml:space="preserve">The reference itself exposed two assumptions. Contig-name normalisation prepended chr unconditionally, which is correct for every contig class in this reference except the HLA contigs, so partner keys named contigs absent from the header: sixteen of forty-four in one window, carrying 102 entries, with no error raised. Names are now resolved against the header rather than constructed. Separately, alternate haplotypes were treated as chromosomes distinct from their own primary, so a read pair mapping to a chromosome's own alternate haplotype counted as an inter-chromosomal event; correcting this removed an observation describing one chromosome and three of its own haplotypes as four scattered chromosomes and, together with the mapping-quality filter above, to which the record attributes most of the change, reduced one major-histocompatibility locus from a moderate rating to weak.</w:t>
      </w:r>
    </w:p>
    <w:p>
      <w:pPr>
        <w:pStyle w:val="Heading2"/>
        <w:keepNext/>
        <w:spacing w:after="160" w:before="320"/>
      </w:pPr>
      <w:r>
        <w:t xml:space="preserve">A measured false-positive rate, and a threshold deliberately left unchanged</w:t>
      </w:r>
    </w:p>
    <w:p>
      <w:pPr>
        <w:keepNext w:val="false"/>
        <w:spacing w:after="140" w:line="276"/>
        <w:jc w:val="both"/>
      </w:pPr>
      <w:r>
        <w:t xml:space="preserve">The validation supplied a figure the project's own documentation had recorded as missing. Across 120 pseudo-random autosomal positions per sample, the depth layer produced a deletion-consistent observation at 26 per cent of ordinary loci in both samples, and the median depth ratio was 0.739 and 0.753 against a scoring boundary of 0.7 — placing that boundary inside the noise distribution rather than outside it. On the X chromosome, at roughly half autosomal depth, it fired at 56 to 58 per cent. The threshold had been calibrated on 300-fold benchmark data, where the same statistic shows roughly three times less relative scatter.</w:t>
      </w:r>
    </w:p>
    <w:p>
      <w:pPr>
        <w:keepNext w:val="false"/>
        <w:spacing w:after="140" w:line="276"/>
        <w:jc w:val="both"/>
      </w:pPr>
      <w:r>
        <w:t xml:space="preserve">The threshold was not moved. Adjusting a scoring boundary on the basis of three windows and a 120-locus grid would repeat precisely the reasoning that produced the original figure, and a genome-wide estimate is required first. What was done instead was to record the measurement in the constant's provenance block, alongside a statement that the value must not be read as validated after this result, and a further note that the ratio is strongly dependent on bin size — varying from 0.523 to 0.868 across bin widths at a fixed span, crossing the threshold between 200 and 500 bases — so that quoting the threshold without its calibration geometry is meaningless. The provenance block now reads as three dated layers: the original calibration, a re-measurement after the depth computation was corrected, and this false-positive result.</w:t>
      </w:r>
    </w:p>
    <w:p>
      <w:pPr>
        <w:keepNext w:val="false"/>
        <w:spacing w:after="140" w:line="276"/>
        <w:jc w:val="both"/>
      </w:pPr>
      <w:r>
        <w:t xml:space="preserve">One change was made on the strength of the same data. Both the discordant-pair and split-read layers awarded partial credit for any non-zero fraction, so a single read with a mate on another chromosome — ordinary background in a window holding 250 reads at this depth — produced a non-zero score. Requiring a minimum of three supporting reads was tested against a 42-locus control grid measured before and after on identical positions: positions correctly rated as showing no evidence rose from 33 per cent to 71 and 60 per cent across the two samples, the discordant layer's firing rate fell from 60 per cent to 17 and 21, and the median score fell from 7.5 to zero. Every change was in the direction of less evidence, none in the direction of more, and the soft-clip and depth layers were unaffected, serving as a control on the intervention.</w:t>
      </w:r>
    </w:p>
    <w:p>
      <w:pPr>
        <w:keepNext w:val="false"/>
        <w:spacing w:after="140" w:line="276"/>
        <w:jc w:val="both"/>
      </w:pPr>
      <w:r>
        <w:t xml:space="preserve">That improvement required a subsequent correction, and the correction is instructive. As first implemented the minimum was a bare count, and the reasoning offered for it — that a fraction cannot distinguish one read in 250 from one in four — has an exact mirror that was overlooked: an absolute count cannot distinguish a 500-base window from a 1,500-base one. Re-measuring the grid at a wider window showed the improvement collapsing, with positions rated as weak rising again to 43 and 50 per cent. Scaling the minimum with window width restored it to 17 and 26 per cent. The figures quoted above therefore hold at the default geometry and became geometry-independent only after scaling; linear scaling is itself conservative rather than strictly invariant, which is recorded alongside the alternative that was not taken. This is the second time in the project that a threshold has been found meaningless without the window it was calibrated at, and the pattern is now stated wherever such a number appears.</w:t>
      </w:r>
    </w:p>
    <w:p>
      <w:pPr>
        <w:keepNext w:val="false"/>
        <w:spacing w:after="140" w:line="276"/>
        <w:jc w:val="both"/>
      </w:pPr>
      <w:r>
        <w:t xml:space="preserve">Fourteen regression suites were added for these findings, bringing the total to seventeen suites, none failing. The assertion count requires a qualification that the project's own standard demands: it depends on which network resources are reachable, and the network-dependent blocks degrade to a recorded skip rather than a failure. The counts first reported for the three conditions were made under a definition that was not recorded; a census on 26 September 2026, with its definition recorded, found the twenty-four suites then present holding 660 assertions with no network access, 662 with the annotation service reachable and 685 with a remote alignment streamed as well, none failing; one suite could not complete because the image viewer was absent from the rebuilt machine, and after it was reinstalled on 27 September that suite passed as well. An earlier report of the suite as unconditionally green was withdrawn on discovering that one test asserted directly against a live third-party service and failed under throttling — a property of the service, stated as a property of the suite. Twelve findings are fully resolved; one is resolved with a documented caveat, since correcting the alternate-haplotype handling did not account for the elevated score at the specific locus that prompted it — the mates there genuinely lie on other chromosomes, so the original diagnosis was right about the defect and wrong about its consequence at that position; and one is deliberately part-resolved, being the depth threshold discussed above.</w:t>
      </w:r>
    </w:p>
    <w:p>
      <w:pPr>
        <w:pStyle w:val="Heading2"/>
        <w:keepNext/>
        <w:spacing w:after="160" w:before="320"/>
      </w:pPr>
      <w:r>
        <w:t xml:space="preserve">Whole-Genome Analysis of Two Clinical Samples</w:t>
      </w:r>
    </w:p>
    <w:p>
      <w:pPr>
        <w:keepNext w:val="false"/>
        <w:spacing w:after="140" w:line="276"/>
        <w:jc w:val="both"/>
      </w:pPr>
      <w:r>
        <w:t xml:space="preserve">The two clinical alignments described in Methods were analysed blind, with the filter chain fixed before any result was inspected.</w:t>
      </w:r>
    </w:p>
    <w:p>
      <w:pPr>
        <w:keepNext w:val="false"/>
        <w:spacing w:after="140" w:line="276"/>
        <w:jc w:val="both"/>
      </w:pPr>
      <w:r>
        <w:t xml:space="preserve">Reference identity was verified rather than assumed. All 3,366 contigs match the alignment headers by name, length and order, and sequence concordance was measured directly by sampling 1,000 random primary-contig positions per sample and comparing the pileup consensus against the reference base wherever depth reached ten reads of mapping and base quality twenty: 951 of 952 such positions agreed in one sample and 954 of 954 in the other — at most one disagreement in a thousand, the rate ordinary human sequence variation predicts, and therefore evidence of the correct reference rather than of an error. The alignment headers carry no per-contig checksums, so this empirical check substitutes for one; a name-and-length agreement alone proves only which reference build was used, not that its bases are correct.</w:t>
      </w:r>
    </w:p>
    <w:p>
      <w:pPr>
        <w:keepNext w:val="false"/>
        <w:spacing w:after="140" w:line="276"/>
        <w:jc w:val="both"/>
      </w:pPr>
      <w:r>
        <w:t xml:space="preserve">The caller completed in 46 minutes and 2 hours 4 minutes with peak resident memory of 1,184 and 1,187 mebibytes. It produced 30,980 and 32,451 records, of which 9,172 and 9,655 are inter-chromosomal junctions after deduplication, and 896 and 923 of those carry the caller's passing filter.</w:t>
      </w:r>
    </w:p>
    <w:p>
      <w:pPr>
        <w:keepNext w:val="false"/>
        <w:spacing w:after="140" w:line="276"/>
        <w:jc w:val="both"/>
      </w:pPr>
      <w:r>
        <w:t xml:space="preserve">After the system reinstall, both alignments were downloaded again, verified against the original record by size in bytes, mapped-record counts, header records and a checksum of the contig list, and processed again with the same caller version and settings, one sample per process. Every count of the chain — records, inter-chromosomal records before and after deduplication, passing junctions, and candidates before and after the recurrence step — was reproduced exactly. Peak memory in the rerun was 1,158 and 1,187 mebibytes; its wall times are not comparable with the first run's, because the two samples ran concurrently.</w:t>
      </w:r>
    </w:p>
    <w:p>
      <w:pPr>
        <w:keepNext w:val="false"/>
        <w:spacing w:after="140" w:line="276"/>
        <w:jc w:val="both"/>
      </w:pPr>
      <w:r>
        <w:t xml:space="preserve">A memory projection made before these runs illustrates a failure mode discussed at length later in this chapter. Peak memory was modelled as linear in total unmasked span, fitted over single-chromosome pilot runs with a coefficient of determination of 0.9998, and projected 13.19 gibibytes for a whole-genome run — above the available physical memory and therefore a blocking constraint. The model was wrong. Peak memory is bounded by the largest single chromosome processed, not by total span, and in single-chromosome pilots those two quantities are the same variable. A span-matched contrast settled it: one exclude configuration covering 467 megabases across two chromosomes used 1,109 mebibytes, while another covering 444 megabases across seven used 461. Nearly equal sequence, twenty-one times the chromosome pairs, less than half the memory. The corrected model predicted 1,121 mebibytes and the whole-genome runs came in at 1,184 and 1,187, an error of 5.6 and 5.9 per cent. A subsequent run on a partial-genome alignment corrected the predictor once more — it is the largest chromosome </w:t>
      </w:r>
      <w:r>
        <w:rPr>
          <w:i/>
          <w:iCs/>
        </w:rPr>
        <w:t xml:space="preserve">with data</w:t>
      </w:r>
      <w:r>
        <w:t xml:space="preserve">, not the largest the exclude template permits — and reversed the error sign, so the residual bias initially inferred from two agreeing measurements was not a trend. The pilot and contrast runs were recorded outside version control and were lost in the reinstall; every figure in this paragraph is quoted from text written at the time†.</w:t>
      </w:r>
    </w:p>
    <w:p>
      <w:pPr>
        <w:pStyle w:val="Heading2"/>
        <w:keepNext/>
        <w:spacing w:after="160" w:before="320"/>
      </w:pPr>
      <w:r>
        <w:t xml:space="preserve">The Candidate Bridge</w:t>
      </w:r>
    </w:p>
    <w:p>
      <w:pPr>
        <w:keepNext w:val="false"/>
        <w:spacing w:after="140" w:line="276"/>
        <w:jc w:val="both"/>
      </w:pPr>
      <w:r>
        <w:t xml:space="preserve">Four tools were implemented in stage1_igv_assistant/tools/vcf_tools.py and exposed through a second Model Context Protocol server, candidate_server.py, kept deliberately separate from the eleven-tool evidence server. The separation is not merely organisational: the boundary between discovery and evidence assessment is the architectural claim being made, and having it appear as two servers rather than one lets the layout agree with the argument. The existing server's test suite asserts that exactly eleven tools are registered, and that assertion remains untouched.</w:t>
      </w:r>
    </w:p>
    <w:p>
      <w:pPr>
        <w:keepNext w:val="false"/>
        <w:spacing w:after="140" w:line="276"/>
        <w:jc w:val="both"/>
      </w:pPr>
      <w:r>
        <w:t xml:space="preserve">load_candidate_set registers a variant call file for the session and returns a set identifier together with record counts by variant type and filter status. It returns no coordinates, so the model cannot learn a position merely by registering a file. list_candidates returns candidates matching a filter specification, each with an opaque stable identifier, and returns alongside them the exact thresholds applied and a provenance label for each — tool-defined, reference-defined, or author judgement — so that a filtered list cannot be presented as a complete one. get_candidate returns full detail for one junction, pre-shaped as arguments the evidence tools consume directly, so the assistant passes a coordinate through rather than composing one. compare_candidate_sets performs junction-level matching between two sets within a coordinate tolerance.</w:t>
      </w:r>
    </w:p>
    <w:p>
      <w:pPr>
        <w:keepNext w:val="false"/>
        <w:spacing w:after="140" w:line="276"/>
        <w:jc w:val="both"/>
      </w:pPr>
      <w:r>
        <w:t xml:space="preserve">The parsing layer detects which representation convention a file uses from its header and records rather than requiring the caller to be named, and normalises both to a common junction representation with a canonical ordering, so that a junction written in either convention yields the same identifier. A file using neither convention fails with an explicit error rather than being guessed at.</w:t>
      </w:r>
    </w:p>
    <w:p>
      <w:pPr>
        <w:keepNext w:val="false"/>
        <w:spacing w:after="140" w:line="276"/>
        <w:jc w:val="both"/>
      </w:pPr>
      <w:r>
        <w:t xml:space="preserve">Two defects in this layer are worth recording, because both changed figures that had already been reported.</w:t>
      </w:r>
    </w:p>
    <w:p>
      <w:pPr>
        <w:keepNext w:val="false"/>
        <w:spacing w:after="140" w:line="276"/>
        <w:jc w:val="both"/>
      </w:pPr>
      <w:r>
        <w:t xml:space="preserve">The deduplication routine merged junctions whose breakends fell within tolerance but keyed only on coordinates, while the identifier function included orientation. The two junctions of a reciprocal translocation lie one base apart on both breakends and differ only in orientation, so they collapsed into a single candidate and the second junction's supporting evidence was discarded. The defect was broader than the translocation case that revealed it: on the public test set, thirty-three merge groups had combined a deletion with a duplication at the same coordinates, and thirteen had combined the two orientations of one junction — twelve of an inversion and one of an inter-chromosomal breakend. Two components of the same system disagreed about what makes a junction distinct. On the public test set, correcting the merge key raised the junction count from 840 to 894 and the surviving candidates from 24 to 27. On the patient data it changed the inter-chromosomal junction counts from 8,716 and 9,144 to 9,172 and 9,655, the passing subsets from 838 and 862 to 896 and 923, and the final candidate counts from fifteen and sixteen to seventeen and nineteen; running the uncorrected routine again on the rerun's calls reproduces every one of the earlier figures. The correction raises counts, and not every newly separated junction is necessarily a distinct biological event, since a caller may emit several orientation variants of one imprecise event in repetitive sequence; what the correction guarantees is that junctions differing in connection topology are no longer silently merged with their evidence discarded.</w:t>
      </w:r>
    </w:p>
    <w:p>
      <w:pPr>
        <w:keepNext w:val="false"/>
        <w:spacing w:after="140" w:line="276"/>
        <w:jc w:val="both"/>
      </w:pPr>
      <w:r>
        <w:t xml:space="preserve">The comparison routine was asymmetric by construction. It indexed one set, iterated the other as primary, stopped at the first match for each query junction, and then derived the matched set of the indexed side from the pairs that happened to be emitted. The count for the indexed side therefore recorded junctions selected as somebody's first match rather than junctions having any match at all. On the public test set, fifty-four of the fifty-six junctions reported as unmatched in one direction did in fact have partners, and every one of them belonged to a multi-partner cluster. On patient data, with the deduplication already corrected, the same question answered two ways differed by 1,738 junctions for one sample and 1,795 for the other. Since this routine implements the last step of the chain, which removes about seventy per cent of the candidates reaching it, a direction-dependent answer meant the step was not well defined. The scan was made exhaustive, and after correction the patient counts mirror exactly in both directions. Whether the defect had reached the survivor set depends on how the comparison was called before the fix, which was not recorded: comparing each sample as the scanning side, the uncorrected routine gives seventeen and nineteen, as the corrected one does, but a single call in one direction, the way the chain now makes it, gives seventeen and thirty. The corrected routine gives seventeen and nineteen either way. The defect was capable of changing a reported result, whether or not it did.</w:t>
      </w:r>
    </w:p>
    <w:p>
      <w:pPr>
        <w:pStyle w:val="Heading2"/>
        <w:keepNext/>
        <w:spacing w:after="160" w:before="320"/>
      </w:pPr>
      <w:r>
        <w:t xml:space="preserve">A Synthetic Positive Control</w:t>
      </w:r>
    </w:p>
    <w:p>
      <w:pPr>
        <w:keepNext w:val="false"/>
        <w:spacing w:after="140" w:line="276"/>
        <w:jc w:val="both"/>
      </w:pPr>
      <w:r>
        <w:t xml:space="preserve">Every validation described to this point measures what the system does. None measures whether it finds a rearrangement that is actually present. No public alignment with a confirmed germline balanced translocation and a modern aligner was located, and the filter chain reduces 9,172 junctions to seventeen — a reduction of 99.8 per cent on thresholds that are substantially the author's judgement. Whether that chain retains true positives was unmeasured.</w:t>
      </w:r>
    </w:p>
    <w:p>
      <w:pPr>
        <w:keepNext w:val="false"/>
        <w:spacing w:after="140" w:line="276"/>
        <w:jc w:val="both"/>
      </w:pPr>
      <w:r>
        <w:t xml:space="preserve">Twelve heterozygous balanced reciprocal translocations were therefore implanted into a public alignment at positions known in advance, yielding twenty-four novel junctions, as described in Methods. The construction was designed so that implanted junctions are not trivially distinguishable from genuine ones: reads simulated with an error model matched to the background, aligned with the background's aligner, flags and alternate-haplotype-aware index, and merged into it with local depth compensated. At the first implant, depth changed by −7.3 and +1.6 per cent at its two breakpoints, and by −4.6 and +3.7 per cent with duplicate-flagged reads excluded.</w:t>
      </w:r>
    </w:p>
    <w:p>
      <w:pPr>
        <w:keepNext w:val="false"/>
        <w:spacing w:after="140" w:line="276"/>
        <w:jc w:val="both"/>
      </w:pPr>
      <w:r>
        <w:t xml:space="preserve">Sixteen of the twenty-four implanted junctions survived the complete chain, and eight of the twelve translocations were detected, each with both of its junctions: eight of eight junctions in clean unique sequence, eight of eight adjacent to repeats, and none of eight in regions of low mappability. Under the stricter class rule, which moves one implant from the clean to the repeat-adjacent class, the class sizes change to six and ten junctions but the rates — 100, 100 and 0 per cent — do not.</w:t>
      </w:r>
    </w:p>
    <w:p>
      <w:pPr>
        <w:keepNext w:val="false"/>
        <w:spacing w:after="140" w:line="276"/>
        <w:jc w:val="both"/>
      </w:pPr>
      <w:r>
        <w:t xml:space="preserve">The first construction had recovered fourteen of twenty-four†, six of eight in the repeat-adjacent class (Table 2). The difference is one implant at a coordinate reused from that construction, missed then and detected now. Realigned without the alternate-haplotype file, it loses both junctions again: its junction-spanning pairs with both mates at mapping quality 20 or more fall from 37 to none, while the two other reused implants, realigned the same way as controls, change in no read and no call. Alternate-haplotype-aware alignment, not the random draw, accounts for the difference. The first construction's index is not recorded, but its result at this implant is what the rebuild produces when the file is omitted.</w:t>
      </w:r>
    </w:p>
    <w:p>
      <w:pPr>
        <w:keepNext w:val="false"/>
        <w:spacing w:after="140" w:line="276"/>
        <w:jc w:val="both"/>
      </w:pPr>
      <w:r>
        <w:t xml:space="preserve">Every loss occurred at discovery: the caller wrote no record for any of the eight missed junctions, and no filter threshold removed a true positive in any of the twelve cells of a grid crossing paired-end minima of one, two, three and five with split-read minima of zero, one and two. The split-read requirement, identified in advance as the greatest risk to sensitivity because a real translocation in low-complexity sequence can be paired-end-supported with no split reads, removed none. The cause of the losses is mapping-quality collapse. At the four missed implants, 114 reads genuinely span the junctions and 106 of them carry mapping quality zero; only 49 have their primary alignment at the locus at all, and 5 have a mapping quality of 20 or more. In the clean and repeat-adjacent classes every one of the 276 spanning reads aligns at the locus and none has mapping quality zero. The missed junctions are physically present in the alignment, and the caller, which discards such reads, cannot see them.</w:t>
      </w:r>
    </w:p>
    <w:p>
      <w:pPr>
        <w:keepNext w:val="false"/>
        <w:spacing w:after="140" w:line="276"/>
        <w:jc w:val="both"/>
      </w:pPr>
      <w:r>
        <w:t xml:space="preserve">Lowering the caller's mapping-quality floor did not recover them. At the default setting and at a floor of one, none of the eight missed junctions was called; at a floor of zero one was, flagged as low quality, and it did not survive the chain. On the background alone, a floor of zero multiplied raw inter-chromosomal calls 6.5 to 7.2-fold, from 13 to 85 and 93 depending on the minimum read-support setting, while the survivors after the full chain rose only from 27 to 28. No default was changed.</w:t>
      </w:r>
    </w:p>
    <w:p>
      <w:pPr>
        <w:keepNext w:val="false"/>
        <w:spacing w:after="140" w:line="276"/>
        <w:jc w:val="both"/>
      </w:pPr>
      <w:r>
        <w:t xml:space="preserve">Localisation is effectively exact. Of the sixteen detected junctions, six were called at the true coordinate and ten within one base at the farther of their two ends, so the position handed to the evidence tools is not a limiting factor anywhere.</w:t>
      </w:r>
    </w:p>
    <w:p>
      <w:pPr>
        <w:keepNext w:val="false"/>
        <w:spacing w:after="140" w:line="276"/>
        <w:jc w:val="both"/>
      </w:pPr>
      <w:r>
        <w:t xml:space="preserve">Since the twelve implants share a background, the chain also yields a precision figure. The same twenty-seven non-implanted junctions — identical by identifier to the background's own survivors — survive the default chain in every one of the twelve implant alignments, and each detected implant adds exactly its two junctions. The split-read minimum reduces the non-implanted survivors from 156 to 28 at the lowest paired-end minima, and from 155 to 27 at the default, at no sensitivity cost, which is the clearest statement available of what that threshold buys. Requiring two split reads rather than one changes nothing in any cell.</w:t>
      </w:r>
    </w:p>
    <w:p>
      <w:pPr>
        <w:keepNext/>
        <w:spacing w:after="140" w:line="276"/>
        <w:jc w:val="both"/>
      </w:pPr>
      <w:r>
        <w:rPr>
          <w:b/>
          <w:bCs/>
        </w:rPr>
        <w:t xml:space="preserve">Table 2. The synthetic positive control: first construction and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cantSplit/>
          <w:tblHeader/>
        </w:trPr>
        <w:tc>
          <w:tcPr>
            <w:tcW w:type="dxa" w:w="3000"/>
            <w:shd w:fill="E8E8E8" w:color="auto" w:val="clear"/>
            <w:tcMar>
              <w:top w:type="dxa" w:w="60"/>
              <w:left w:type="dxa" w:w="90"/>
              <w:bottom w:type="dxa" w:w="60"/>
              <w:right w:type="dxa" w:w="90"/>
            </w:tcMar>
          </w:tcPr>
          <w:p>
            <w:pPr>
              <w:spacing w:after="0" w:line="240"/>
            </w:pPr>
            <w:r>
              <w:rPr>
                <w:b/>
                <w:bCs/>
                <w:sz w:val="18"/>
                <w:szCs w:val="18"/>
              </w:rPr>
              <w:t xml:space="preserve">Figure</w:t>
            </w:r>
          </w:p>
        </w:tc>
        <w:tc>
          <w:tcPr>
            <w:tcW w:type="dxa" w:w="2700"/>
            <w:shd w:fill="E8E8E8" w:color="auto" w:val="clear"/>
            <w:tcMar>
              <w:top w:type="dxa" w:w="60"/>
              <w:left w:type="dxa" w:w="90"/>
              <w:bottom w:type="dxa" w:w="60"/>
              <w:right w:type="dxa" w:w="90"/>
            </w:tcMar>
          </w:tcPr>
          <w:p>
            <w:pPr>
              <w:spacing w:after="0" w:line="240"/>
            </w:pPr>
            <w:r>
              <w:rPr>
                <w:b/>
                <w:bCs/>
                <w:sz w:val="18"/>
                <w:szCs w:val="18"/>
              </w:rPr>
              <w:t xml:space="preserve">First construction (records lost) †</w:t>
            </w:r>
          </w:p>
        </w:tc>
        <w:tc>
          <w:tcPr>
            <w:tcW w:type="dxa" w:w="3660"/>
            <w:shd w:fill="E8E8E8" w:color="auto" w:val="clear"/>
            <w:tcMar>
              <w:top w:type="dxa" w:w="60"/>
              <w:left w:type="dxa" w:w="90"/>
              <w:bottom w:type="dxa" w:w="60"/>
              <w:right w:type="dxa" w:w="90"/>
            </w:tcMar>
          </w:tcPr>
          <w:p>
            <w:pPr>
              <w:spacing w:after="0" w:line="240"/>
            </w:pPr>
            <w:r>
              <w:rPr>
                <w:b/>
                <w:bCs/>
                <w:sz w:val="18"/>
                <w:szCs w:val="18"/>
              </w:rPr>
              <w:t xml:space="preserve">Rebuild (committed records)</w:t>
            </w:r>
          </w:p>
        </w:tc>
      </w:tr>
      <w:tr>
        <w:trPr>
          <w:cantSplit/>
          <w:tblHeader w:val="false"/>
        </w:trPr>
        <w:tc>
          <w:tcPr>
            <w:tcW w:type="dxa" w:w="3000"/>
            <w:tcMar>
              <w:top w:type="dxa" w:w="60"/>
              <w:left w:type="dxa" w:w="90"/>
              <w:bottom w:type="dxa" w:w="60"/>
              <w:right w:type="dxa" w:w="90"/>
            </w:tcMar>
          </w:tcPr>
          <w:p>
            <w:pPr>
              <w:spacing w:after="0" w:line="240"/>
            </w:pPr>
            <w:r>
              <w:rPr>
                <w:sz w:val="18"/>
                <w:szCs w:val="18"/>
              </w:rPr>
              <w:t xml:space="preserve">Junctions detected</w:t>
            </w:r>
          </w:p>
        </w:tc>
        <w:tc>
          <w:tcPr>
            <w:tcW w:type="dxa" w:w="2700"/>
            <w:tcMar>
              <w:top w:type="dxa" w:w="60"/>
              <w:left w:type="dxa" w:w="90"/>
              <w:bottom w:type="dxa" w:w="60"/>
              <w:right w:type="dxa" w:w="90"/>
            </w:tcMar>
          </w:tcPr>
          <w:p>
            <w:pPr>
              <w:spacing w:after="0" w:line="240"/>
            </w:pPr>
            <w:r>
              <w:rPr>
                <w:sz w:val="18"/>
                <w:szCs w:val="18"/>
              </w:rPr>
              <w:t xml:space="preserve">14 of 24</w:t>
            </w:r>
          </w:p>
        </w:tc>
        <w:tc>
          <w:tcPr>
            <w:tcW w:type="dxa" w:w="3660"/>
            <w:tcMar>
              <w:top w:type="dxa" w:w="60"/>
              <w:left w:type="dxa" w:w="90"/>
              <w:bottom w:type="dxa" w:w="60"/>
              <w:right w:type="dxa" w:w="90"/>
            </w:tcMar>
          </w:tcPr>
          <w:p>
            <w:pPr>
              <w:spacing w:after="0" w:line="240"/>
            </w:pPr>
            <w:r>
              <w:rPr>
                <w:sz w:val="18"/>
                <w:szCs w:val="18"/>
              </w:rPr>
              <w:t xml:space="preserve">16 of 24</w:t>
            </w:r>
          </w:p>
        </w:tc>
      </w:tr>
      <w:tr>
        <w:trPr>
          <w:cantSplit/>
          <w:tblHeader w:val="false"/>
        </w:trPr>
        <w:tc>
          <w:tcPr>
            <w:tcW w:type="dxa" w:w="3000"/>
            <w:tcMar>
              <w:top w:type="dxa" w:w="60"/>
              <w:left w:type="dxa" w:w="90"/>
              <w:bottom w:type="dxa" w:w="60"/>
              <w:right w:type="dxa" w:w="90"/>
            </w:tcMar>
          </w:tcPr>
          <w:p>
            <w:pPr>
              <w:spacing w:after="0" w:line="240"/>
            </w:pPr>
            <w:r>
              <w:rPr>
                <w:sz w:val="18"/>
                <w:szCs w:val="18"/>
              </w:rPr>
              <w:t xml:space="preserve">Translocations detected</w:t>
            </w:r>
          </w:p>
        </w:tc>
        <w:tc>
          <w:tcPr>
            <w:tcW w:type="dxa" w:w="2700"/>
            <w:tcMar>
              <w:top w:type="dxa" w:w="60"/>
              <w:left w:type="dxa" w:w="90"/>
              <w:bottom w:type="dxa" w:w="60"/>
              <w:right w:type="dxa" w:w="90"/>
            </w:tcMar>
          </w:tcPr>
          <w:p>
            <w:pPr>
              <w:spacing w:after="0" w:line="240"/>
            </w:pPr>
            <w:r>
              <w:rPr>
                <w:sz w:val="18"/>
                <w:szCs w:val="18"/>
              </w:rPr>
              <w:t xml:space="preserve">7 of 12</w:t>
            </w:r>
          </w:p>
        </w:tc>
        <w:tc>
          <w:tcPr>
            <w:tcW w:type="dxa" w:w="3660"/>
            <w:tcMar>
              <w:top w:type="dxa" w:w="60"/>
              <w:left w:type="dxa" w:w="90"/>
              <w:bottom w:type="dxa" w:w="60"/>
              <w:right w:type="dxa" w:w="90"/>
            </w:tcMar>
          </w:tcPr>
          <w:p>
            <w:pPr>
              <w:spacing w:after="0" w:line="240"/>
            </w:pPr>
            <w:r>
              <w:rPr>
                <w:sz w:val="18"/>
                <w:szCs w:val="18"/>
              </w:rPr>
              <w:t xml:space="preserve">8 of 12, each with both junctions</w:t>
            </w:r>
          </w:p>
        </w:tc>
      </w:tr>
      <w:tr>
        <w:trPr>
          <w:cantSplit/>
          <w:tblHeader w:val="false"/>
        </w:trPr>
        <w:tc>
          <w:tcPr>
            <w:tcW w:type="dxa" w:w="3000"/>
            <w:tcMar>
              <w:top w:type="dxa" w:w="60"/>
              <w:left w:type="dxa" w:w="90"/>
              <w:bottom w:type="dxa" w:w="60"/>
              <w:right w:type="dxa" w:w="90"/>
            </w:tcMar>
          </w:tcPr>
          <w:p>
            <w:pPr>
              <w:spacing w:after="0" w:line="240"/>
            </w:pPr>
            <w:r>
              <w:rPr>
                <w:sz w:val="18"/>
                <w:szCs w:val="18"/>
              </w:rPr>
              <w:t xml:space="preserve">Clean / repeat-adjacent / low-mappability</w:t>
            </w:r>
          </w:p>
        </w:tc>
        <w:tc>
          <w:tcPr>
            <w:tcW w:type="dxa" w:w="2700"/>
            <w:tcMar>
              <w:top w:type="dxa" w:w="60"/>
              <w:left w:type="dxa" w:w="90"/>
              <w:bottom w:type="dxa" w:w="60"/>
              <w:right w:type="dxa" w:w="90"/>
            </w:tcMar>
          </w:tcPr>
          <w:p>
            <w:pPr>
              <w:spacing w:after="0" w:line="240"/>
            </w:pPr>
            <w:r>
              <w:rPr>
                <w:sz w:val="18"/>
                <w:szCs w:val="18"/>
              </w:rPr>
              <w:t xml:space="preserve">8/8, 6/8, 0/8</w:t>
            </w:r>
          </w:p>
        </w:tc>
        <w:tc>
          <w:tcPr>
            <w:tcW w:type="dxa" w:w="3660"/>
            <w:tcMar>
              <w:top w:type="dxa" w:w="60"/>
              <w:left w:type="dxa" w:w="90"/>
              <w:bottom w:type="dxa" w:w="60"/>
              <w:right w:type="dxa" w:w="90"/>
            </w:tcMar>
          </w:tcPr>
          <w:p>
            <w:pPr>
              <w:spacing w:after="0" w:line="240"/>
            </w:pPr>
            <w:r>
              <w:rPr>
                <w:sz w:val="18"/>
                <w:szCs w:val="18"/>
              </w:rPr>
              <w:t xml:space="preserve">8/8, 8/8, 0/8</w:t>
            </w:r>
          </w:p>
        </w:tc>
      </w:tr>
      <w:tr>
        <w:trPr>
          <w:cantSplit/>
          <w:tblHeader w:val="false"/>
        </w:trPr>
        <w:tc>
          <w:tcPr>
            <w:tcW w:type="dxa" w:w="3000"/>
            <w:tcMar>
              <w:top w:type="dxa" w:w="60"/>
              <w:left w:type="dxa" w:w="90"/>
              <w:bottom w:type="dxa" w:w="60"/>
              <w:right w:type="dxa" w:w="90"/>
            </w:tcMar>
          </w:tcPr>
          <w:p>
            <w:pPr>
              <w:spacing w:after="0" w:line="240"/>
            </w:pPr>
            <w:r>
              <w:rPr>
                <w:sz w:val="18"/>
                <w:szCs w:val="18"/>
              </w:rPr>
              <w:t xml:space="preserve">Where the losses occurred</w:t>
            </w:r>
          </w:p>
        </w:tc>
        <w:tc>
          <w:tcPr>
            <w:tcW w:type="dxa" w:w="2700"/>
            <w:tcMar>
              <w:top w:type="dxa" w:w="60"/>
              <w:left w:type="dxa" w:w="90"/>
              <w:bottom w:type="dxa" w:w="60"/>
              <w:right w:type="dxa" w:w="90"/>
            </w:tcMar>
          </w:tcPr>
          <w:p>
            <w:pPr>
              <w:spacing w:after="0" w:line="240"/>
            </w:pPr>
            <w:r>
              <w:rPr>
                <w:sz w:val="18"/>
                <w:szCs w:val="18"/>
              </w:rPr>
              <w:t xml:space="preserve">all at discovery</w:t>
            </w:r>
          </w:p>
        </w:tc>
        <w:tc>
          <w:tcPr>
            <w:tcW w:type="dxa" w:w="3660"/>
            <w:tcMar>
              <w:top w:type="dxa" w:w="60"/>
              <w:left w:type="dxa" w:w="90"/>
              <w:bottom w:type="dxa" w:w="60"/>
              <w:right w:type="dxa" w:w="90"/>
            </w:tcMar>
          </w:tcPr>
          <w:p>
            <w:pPr>
              <w:spacing w:after="0" w:line="240"/>
            </w:pPr>
            <w:r>
              <w:rPr>
                <w:sz w:val="18"/>
                <w:szCs w:val="18"/>
              </w:rPr>
              <w:t xml:space="preserve">all 8 at discovery</w:t>
            </w:r>
          </w:p>
        </w:tc>
      </w:tr>
      <w:tr>
        <w:trPr>
          <w:cantSplit/>
          <w:tblHeader w:val="false"/>
        </w:trPr>
        <w:tc>
          <w:tcPr>
            <w:tcW w:type="dxa" w:w="3000"/>
            <w:tcMar>
              <w:top w:type="dxa" w:w="60"/>
              <w:left w:type="dxa" w:w="90"/>
              <w:bottom w:type="dxa" w:w="60"/>
              <w:right w:type="dxa" w:w="90"/>
            </w:tcMar>
          </w:tcPr>
          <w:p>
            <w:pPr>
              <w:spacing w:after="0" w:line="240"/>
            </w:pPr>
            <w:r>
              <w:rPr>
                <w:sz w:val="18"/>
                <w:szCs w:val="18"/>
              </w:rPr>
              <w:t xml:space="preserve">Background funnel</w:t>
            </w:r>
          </w:p>
        </w:tc>
        <w:tc>
          <w:tcPr>
            <w:tcW w:type="dxa" w:w="2700"/>
            <w:tcMar>
              <w:top w:type="dxa" w:w="60"/>
              <w:left w:type="dxa" w:w="90"/>
              <w:bottom w:type="dxa" w:w="60"/>
              <w:right w:type="dxa" w:w="90"/>
            </w:tcMar>
          </w:tcPr>
          <w:p>
            <w:pPr>
              <w:spacing w:after="0" w:line="240"/>
            </w:pPr>
            <w:r>
              <w:rPr>
                <w:sz w:val="18"/>
                <w:szCs w:val="18"/>
              </w:rPr>
              <w:t xml:space="preserve">894 → 513 → 155 → 27</w:t>
            </w:r>
          </w:p>
        </w:tc>
        <w:tc>
          <w:tcPr>
            <w:tcW w:type="dxa" w:w="3660"/>
            <w:tcMar>
              <w:top w:type="dxa" w:w="60"/>
              <w:left w:type="dxa" w:w="90"/>
              <w:bottom w:type="dxa" w:w="60"/>
              <w:right w:type="dxa" w:w="90"/>
            </w:tcMar>
          </w:tcPr>
          <w:p>
            <w:pPr>
              <w:spacing w:after="0" w:line="240"/>
            </w:pPr>
            <w:r>
              <w:rPr>
                <w:sz w:val="18"/>
                <w:szCs w:val="18"/>
              </w:rPr>
              <w:t xml:space="preserve">894 → 513 → 155 → 27</w:t>
            </w:r>
          </w:p>
        </w:tc>
      </w:tr>
      <w:tr>
        <w:trPr>
          <w:cantSplit/>
          <w:tblHeader w:val="false"/>
        </w:trPr>
        <w:tc>
          <w:tcPr>
            <w:tcW w:type="dxa" w:w="3000"/>
            <w:tcMar>
              <w:top w:type="dxa" w:w="60"/>
              <w:left w:type="dxa" w:w="90"/>
              <w:bottom w:type="dxa" w:w="60"/>
              <w:right w:type="dxa" w:w="90"/>
            </w:tcMar>
          </w:tcPr>
          <w:p>
            <w:pPr>
              <w:spacing w:after="0" w:line="240"/>
            </w:pPr>
            <w:r>
              <w:rPr>
                <w:sz w:val="18"/>
                <w:szCs w:val="18"/>
              </w:rPr>
              <w:t xml:space="preserve">Localisation</w:t>
            </w:r>
          </w:p>
        </w:tc>
        <w:tc>
          <w:tcPr>
            <w:tcW w:type="dxa" w:w="2700"/>
            <w:tcMar>
              <w:top w:type="dxa" w:w="60"/>
              <w:left w:type="dxa" w:w="90"/>
              <w:bottom w:type="dxa" w:w="60"/>
              <w:right w:type="dxa" w:w="90"/>
            </w:tcMar>
          </w:tcPr>
          <w:p>
            <w:pPr>
              <w:spacing w:after="0" w:line="240"/>
            </w:pPr>
            <w:r>
              <w:rPr>
                <w:sz w:val="18"/>
                <w:szCs w:val="18"/>
              </w:rPr>
              <w:t xml:space="preserve">12/14 at 0 bp, 2/14 at 2 bp</w:t>
            </w:r>
          </w:p>
        </w:tc>
        <w:tc>
          <w:tcPr>
            <w:tcW w:type="dxa" w:w="3660"/>
            <w:tcMar>
              <w:top w:type="dxa" w:w="60"/>
              <w:left w:type="dxa" w:w="90"/>
              <w:bottom w:type="dxa" w:w="60"/>
              <w:right w:type="dxa" w:w="90"/>
            </w:tcMar>
          </w:tcPr>
          <w:p>
            <w:pPr>
              <w:spacing w:after="0" w:line="240"/>
            </w:pPr>
            <w:r>
              <w:rPr>
                <w:sz w:val="18"/>
                <w:szCs w:val="18"/>
              </w:rPr>
              <w:t xml:space="preserve">6/16 at 0 bp, 10/16 at 1 bp</w:t>
            </w:r>
          </w:p>
        </w:tc>
      </w:tr>
      <w:tr>
        <w:trPr>
          <w:cantSplit/>
          <w:tblHeader w:val="false"/>
        </w:trPr>
        <w:tc>
          <w:tcPr>
            <w:tcW w:type="dxa" w:w="3000"/>
            <w:tcMar>
              <w:top w:type="dxa" w:w="60"/>
              <w:left w:type="dxa" w:w="90"/>
              <w:bottom w:type="dxa" w:w="60"/>
              <w:right w:type="dxa" w:w="90"/>
            </w:tcMar>
          </w:tcPr>
          <w:p>
            <w:pPr>
              <w:spacing w:after="0" w:line="240"/>
            </w:pPr>
            <w:r>
              <w:rPr>
                <w:sz w:val="18"/>
                <w:szCs w:val="18"/>
              </w:rPr>
              <w:t xml:space="preserve">Caller at a mapping-quality floor of 0</w:t>
            </w:r>
          </w:p>
        </w:tc>
        <w:tc>
          <w:tcPr>
            <w:tcW w:type="dxa" w:w="2700"/>
            <w:tcMar>
              <w:top w:type="dxa" w:w="60"/>
              <w:left w:type="dxa" w:w="90"/>
              <w:bottom w:type="dxa" w:w="60"/>
              <w:right w:type="dxa" w:w="90"/>
            </w:tcMar>
          </w:tcPr>
          <w:p>
            <w:pPr>
              <w:spacing w:after="0" w:line="240"/>
            </w:pPr>
            <w:r>
              <w:rPr>
                <w:sz w:val="18"/>
                <w:szCs w:val="18"/>
              </w:rPr>
              <w:t xml:space="preserve">2 of 10 missed junctions called, 1 survived</w:t>
            </w:r>
          </w:p>
        </w:tc>
        <w:tc>
          <w:tcPr>
            <w:tcW w:type="dxa" w:w="3660"/>
            <w:tcMar>
              <w:top w:type="dxa" w:w="60"/>
              <w:left w:type="dxa" w:w="90"/>
              <w:bottom w:type="dxa" w:w="60"/>
              <w:right w:type="dxa" w:w="90"/>
            </w:tcMar>
          </w:tcPr>
          <w:p>
            <w:pPr>
              <w:spacing w:after="0" w:line="240"/>
            </w:pPr>
            <w:r>
              <w:rPr>
                <w:sz w:val="18"/>
                <w:szCs w:val="18"/>
              </w:rPr>
              <w:t xml:space="preserve">1 of 8 called, none survived</w:t>
            </w:r>
          </w:p>
        </w:tc>
      </w:tr>
      <w:tr>
        <w:trPr>
          <w:cantSplit/>
          <w:tblHeader w:val="false"/>
        </w:trPr>
        <w:tc>
          <w:tcPr>
            <w:tcW w:type="dxa" w:w="3000"/>
            <w:tcMar>
              <w:top w:type="dxa" w:w="60"/>
              <w:left w:type="dxa" w:w="90"/>
              <w:bottom w:type="dxa" w:w="60"/>
              <w:right w:type="dxa" w:w="90"/>
            </w:tcMar>
          </w:tcPr>
          <w:p>
            <w:pPr>
              <w:spacing w:after="0" w:line="240"/>
            </w:pPr>
            <w:r>
              <w:rPr>
                <w:sz w:val="18"/>
                <w:szCs w:val="18"/>
              </w:rPr>
              <w:t xml:space="preserve">Spanning reads without an SA tag; caught by the soft-clip layer</w:t>
            </w:r>
          </w:p>
        </w:tc>
        <w:tc>
          <w:tcPr>
            <w:tcW w:type="dxa" w:w="2700"/>
            <w:tcMar>
              <w:top w:type="dxa" w:w="60"/>
              <w:left w:type="dxa" w:w="90"/>
              <w:bottom w:type="dxa" w:w="60"/>
              <w:right w:type="dxa" w:w="90"/>
            </w:tcMar>
          </w:tcPr>
          <w:p>
            <w:pPr>
              <w:spacing w:after="0" w:line="240"/>
            </w:pPr>
            <w:r>
              <w:rPr>
                <w:sz w:val="18"/>
                <w:szCs w:val="18"/>
              </w:rPr>
              <w:t xml:space="preserve">121 of 304; 114</w:t>
            </w:r>
          </w:p>
        </w:tc>
        <w:tc>
          <w:tcPr>
            <w:tcW w:type="dxa" w:w="3660"/>
            <w:tcMar>
              <w:top w:type="dxa" w:w="60"/>
              <w:left w:type="dxa" w:w="90"/>
              <w:bottom w:type="dxa" w:w="60"/>
              <w:right w:type="dxa" w:w="90"/>
            </w:tcMar>
          </w:tcPr>
          <w:p>
            <w:pPr>
              <w:spacing w:after="0" w:line="240"/>
            </w:pPr>
            <w:r>
              <w:rPr>
                <w:sz w:val="18"/>
                <w:szCs w:val="18"/>
              </w:rPr>
              <w:t xml:space="preserve">149 of 390; 77</w:t>
            </w:r>
          </w:p>
        </w:tc>
      </w:tr>
      <w:tr>
        <w:trPr>
          <w:cantSplit/>
          <w:tblHeader w:val="false"/>
        </w:trPr>
        <w:tc>
          <w:tcPr>
            <w:tcW w:type="dxa" w:w="3000"/>
            <w:tcMar>
              <w:top w:type="dxa" w:w="60"/>
              <w:left w:type="dxa" w:w="90"/>
              <w:bottom w:type="dxa" w:w="60"/>
              <w:right w:type="dxa" w:w="90"/>
            </w:tcMar>
          </w:tcPr>
          <w:p>
            <w:pPr>
              <w:spacing w:after="0" w:line="240"/>
            </w:pPr>
            <w:r>
              <w:rPr>
                <w:sz w:val="18"/>
                <w:szCs w:val="18"/>
              </w:rPr>
              <w:t xml:space="preserve">Spanning reads counted: split-read tool vs caller</w:t>
            </w:r>
          </w:p>
        </w:tc>
        <w:tc>
          <w:tcPr>
            <w:tcW w:type="dxa" w:w="2700"/>
            <w:tcMar>
              <w:top w:type="dxa" w:w="60"/>
              <w:left w:type="dxa" w:w="90"/>
              <w:bottom w:type="dxa" w:w="60"/>
              <w:right w:type="dxa" w:w="90"/>
            </w:tcMar>
          </w:tcPr>
          <w:p>
            <w:pPr>
              <w:spacing w:after="0" w:line="240"/>
            </w:pPr>
            <w:r>
              <w:rPr>
                <w:sz w:val="18"/>
                <w:szCs w:val="18"/>
              </w:rPr>
              <w:t xml:space="preserve">60.5% vs 54.4%</w:t>
            </w:r>
          </w:p>
        </w:tc>
        <w:tc>
          <w:tcPr>
            <w:tcW w:type="dxa" w:w="3660"/>
            <w:tcMar>
              <w:top w:type="dxa" w:w="60"/>
              <w:left w:type="dxa" w:w="90"/>
              <w:bottom w:type="dxa" w:w="60"/>
              <w:right w:type="dxa" w:w="90"/>
            </w:tcMar>
          </w:tcPr>
          <w:p>
            <w:pPr>
              <w:spacing w:after="0" w:line="240"/>
            </w:pPr>
            <w:r>
              <w:rPr>
                <w:sz w:val="18"/>
                <w:szCs w:val="18"/>
              </w:rPr>
              <w:t xml:space="preserve">39.5% vs 35.1%</w:t>
            </w:r>
          </w:p>
        </w:tc>
      </w:tr>
      <w:tr>
        <w:trPr>
          <w:cantSplit/>
          <w:tblHeader w:val="false"/>
        </w:trPr>
        <w:tc>
          <w:tcPr>
            <w:tcW w:type="dxa" w:w="3000"/>
            <w:tcMar>
              <w:top w:type="dxa" w:w="60"/>
              <w:left w:type="dxa" w:w="90"/>
              <w:bottom w:type="dxa" w:w="60"/>
              <w:right w:type="dxa" w:w="90"/>
            </w:tcMar>
          </w:tcPr>
          <w:p>
            <w:pPr>
              <w:spacing w:after="0" w:line="240"/>
            </w:pPr>
            <w:r>
              <w:rPr>
                <w:sz w:val="18"/>
                <w:szCs w:val="18"/>
              </w:rPr>
              <w:t xml:space="preserve">Split-read false positives by class; r with low-MAPQ fraction</w:t>
            </w:r>
          </w:p>
        </w:tc>
        <w:tc>
          <w:tcPr>
            <w:tcW w:type="dxa" w:w="2700"/>
            <w:tcMar>
              <w:top w:type="dxa" w:w="60"/>
              <w:left w:type="dxa" w:w="90"/>
              <w:bottom w:type="dxa" w:w="60"/>
              <w:right w:type="dxa" w:w="90"/>
            </w:tcMar>
          </w:tcPr>
          <w:p>
            <w:pPr>
              <w:spacing w:after="0" w:line="240"/>
            </w:pPr>
            <w:r>
              <w:rPr>
                <w:sz w:val="18"/>
                <w:szCs w:val="18"/>
              </w:rPr>
              <w:t xml:space="preserve">0 / 3.9 / 56.9%; 0.142</w:t>
            </w:r>
          </w:p>
        </w:tc>
        <w:tc>
          <w:tcPr>
            <w:tcW w:type="dxa" w:w="3660"/>
            <w:tcMar>
              <w:top w:type="dxa" w:w="60"/>
              <w:left w:type="dxa" w:w="90"/>
              <w:bottom w:type="dxa" w:w="60"/>
              <w:right w:type="dxa" w:w="90"/>
            </w:tcMar>
          </w:tcPr>
          <w:p>
            <w:pPr>
              <w:spacing w:after="0" w:line="240"/>
            </w:pPr>
            <w:r>
              <w:rPr>
                <w:sz w:val="18"/>
                <w:szCs w:val="18"/>
              </w:rPr>
              <w:t xml:space="preserve">11.1 / 20.4 / 87.7%; 0.668 (0 / 5.8 / 60.0%; 0.298 with wrong-partner spanning reads counted as true)</w:t>
            </w:r>
          </w:p>
        </w:tc>
      </w:tr>
      <w:tr>
        <w:trPr>
          <w:cantSplit/>
          <w:tblHeader w:val="false"/>
        </w:trPr>
        <w:tc>
          <w:tcPr>
            <w:tcW w:type="dxa" w:w="3000"/>
            <w:tcMar>
              <w:top w:type="dxa" w:w="60"/>
              <w:left w:type="dxa" w:w="90"/>
              <w:bottom w:type="dxa" w:w="60"/>
              <w:right w:type="dxa" w:w="90"/>
            </w:tcMar>
          </w:tcPr>
          <w:p>
            <w:pPr>
              <w:spacing w:after="0" w:line="240"/>
            </w:pPr>
            <w:r>
              <w:rPr>
                <w:sz w:val="18"/>
                <w:szCs w:val="18"/>
              </w:rPr>
              <w:t xml:space="preserve">Evidence scores at detected breakends; highest discordant fraction</w:t>
            </w:r>
          </w:p>
        </w:tc>
        <w:tc>
          <w:tcPr>
            <w:tcW w:type="dxa" w:w="2700"/>
            <w:tcMar>
              <w:top w:type="dxa" w:w="60"/>
              <w:left w:type="dxa" w:w="90"/>
              <w:bottom w:type="dxa" w:w="60"/>
              <w:right w:type="dxa" w:w="90"/>
            </w:tcMar>
          </w:tcPr>
          <w:p>
            <w:pPr>
              <w:spacing w:after="0" w:line="240"/>
            </w:pPr>
            <w:r>
              <w:rPr>
                <w:sz w:val="18"/>
                <w:szCs w:val="18"/>
              </w:rPr>
              <w:t xml:space="preserve">40.0–55.0, all moderate; 0.175</w:t>
            </w:r>
          </w:p>
        </w:tc>
        <w:tc>
          <w:tcPr>
            <w:tcW w:type="dxa" w:w="3660"/>
            <w:tcMar>
              <w:top w:type="dxa" w:w="60"/>
              <w:left w:type="dxa" w:w="90"/>
              <w:bottom w:type="dxa" w:w="60"/>
              <w:right w:type="dxa" w:w="90"/>
            </w:tcMar>
          </w:tcPr>
          <w:p>
            <w:pPr>
              <w:spacing w:after="0" w:line="240"/>
            </w:pPr>
            <w:r>
              <w:rPr>
                <w:sz w:val="18"/>
                <w:szCs w:val="18"/>
              </w:rPr>
              <w:t xml:space="preserve">32.5–55.0, 30 moderate and 2 weak; 0.164</w:t>
            </w:r>
          </w:p>
        </w:tc>
      </w:tr>
      <w:tr>
        <w:trPr>
          <w:cantSplit/>
          <w:tblHeader w:val="false"/>
        </w:trPr>
        <w:tc>
          <w:tcPr>
            <w:tcW w:type="dxa" w:w="3000"/>
            <w:tcMar>
              <w:top w:type="dxa" w:w="60"/>
              <w:left w:type="dxa" w:w="90"/>
              <w:bottom w:type="dxa" w:w="60"/>
              <w:right w:type="dxa" w:w="90"/>
            </w:tcMar>
          </w:tcPr>
          <w:p>
            <w:pPr>
              <w:spacing w:after="0" w:line="240"/>
            </w:pPr>
            <w:r>
              <w:rPr>
                <w:sz w:val="18"/>
                <w:szCs w:val="18"/>
              </w:rPr>
              <w:t xml:space="preserve">Attainable ceiling</w:t>
            </w:r>
          </w:p>
        </w:tc>
        <w:tc>
          <w:tcPr>
            <w:tcW w:type="dxa" w:w="2700"/>
            <w:tcMar>
              <w:top w:type="dxa" w:w="60"/>
              <w:left w:type="dxa" w:w="90"/>
              <w:bottom w:type="dxa" w:w="60"/>
              <w:right w:type="dxa" w:w="90"/>
            </w:tcMar>
          </w:tcPr>
          <w:p>
            <w:pPr>
              <w:spacing w:after="0" w:line="240"/>
            </w:pPr>
            <w:r>
              <w:rPr>
                <w:sz w:val="18"/>
                <w:szCs w:val="18"/>
              </w:rPr>
              <w:t xml:space="preserve">57.5 at the breakend examined</w:t>
            </w:r>
          </w:p>
        </w:tc>
        <w:tc>
          <w:tcPr>
            <w:tcW w:type="dxa" w:w="3660"/>
            <w:tcMar>
              <w:top w:type="dxa" w:w="60"/>
              <w:left w:type="dxa" w:w="90"/>
              <w:bottom w:type="dxa" w:w="60"/>
              <w:right w:type="dxa" w:w="90"/>
            </w:tcMar>
          </w:tcPr>
          <w:p>
            <w:pPr>
              <w:spacing w:after="0" w:line="240"/>
            </w:pPr>
            <w:r>
              <w:rPr>
                <w:sz w:val="18"/>
                <w:szCs w:val="18"/>
              </w:rPr>
              <w:t xml:space="preserve">57.5 at all 32 breakends</w:t>
            </w:r>
          </w:p>
        </w:tc>
      </w:tr>
    </w:tbl>
    <w:p>
      <w:pPr>
        <w:spacing w:after="240" w:before="80" w:line="240"/>
        <w:jc w:val="left"/>
      </w:pPr>
      <w:r>
        <w:rPr>
          <w:i/>
          <w:iCs/>
          <w:sz w:val="17"/>
          <w:szCs w:val="17"/>
        </w:rPr>
        <w:t xml:space="preserve">First-construction figures are quoted from text written at the time; its records were lost. Rebuild figures: repository, results/synthetic_control_2026-09/analysis_2026-09-25/.</w:t>
      </w:r>
    </w:p>
    <w:p>
      <w:pPr>
        <w:keepNext w:val="false"/>
        <w:spacing w:after="140" w:line="276"/>
        <w:jc w:val="both"/>
      </w:pPr>
      <w:r>
        <w:t xml:space="preserve">The sensitivity figure is an estimate of performance on simulated reads. Simulated reads do not reproduce library-preparation artifacts, chimeric amplification products, or reference-bias effects; they are drawn from the reference and carry none of the individual's own variants on the rearranged haplotype; the fragment-length model approximates a right-skewed empirical distribution with a normal one; and twelve implants in one background is a small sample with class boundaries set by the author. The implants were aligned as their background was, with -Y and without -M, whereas the clinical alignments were produced with -M and without -Y, so split alignments are represented differently there and the soft-clip and split-read layers may behave differently on clinical data. Closing that gap requires a real sample with an orthogonally confirmed rearrangement.</w:t>
      </w:r>
    </w:p>
    <w:p>
      <w:pPr>
        <w:pStyle w:val="Heading2"/>
        <w:keepNext/>
        <w:spacing w:after="160" w:before="320"/>
      </w:pPr>
      <w:r>
        <w:t xml:space="preserve">Quantifying the Multi-Layer Design</w:t>
      </w:r>
    </w:p>
    <w:p>
      <w:pPr>
        <w:keepNext w:val="false"/>
        <w:spacing w:after="140" w:line="276"/>
        <w:jc w:val="both"/>
      </w:pPr>
      <w:r>
        <w:t xml:space="preserve">The synthetic control also supplies a direct measurement of why four evidence layers exist rather than one, because the simulator records which reads genuinely span each junction, and a read-by-read enumeration reproduced every count the tools returned at all twenty-four breakpoints.</w:t>
      </w:r>
    </w:p>
    <w:p>
      <w:pPr>
        <w:keepNext w:val="false"/>
        <w:spacing w:after="140" w:line="276"/>
        <w:jc w:val="both"/>
      </w:pPr>
      <w:r>
        <w:t xml:space="preserve">Of 390 truly spanning reads, 149 — nearly two fifths — carry no supplementary alignment tag at all. The reason is mechanical. The aligner reports a second alignment only if it scores at least 30 and grows from an exact seed of at least 19 bases, so a read whose shorter side falls much below thirty bases cannot acquire one: spanning reads without the tag have a shorter side of 1 to 30 bases, and every one of them under 30 bases was checked against the partner sequence, including chance matches, and none could have reached the score. The split-read layer is structurally blind to these reads regardless of any parameter setting, and the caller is blind to them for the same reason.</w:t>
      </w:r>
    </w:p>
    <w:p>
      <w:pPr>
        <w:keepNext w:val="false"/>
        <w:spacing w:after="140" w:line="276"/>
        <w:jc w:val="both"/>
      </w:pPr>
      <w:r>
        <w:t xml:space="preserve">The soft-clip layer detects 77 of the 149. Of the 72 it misses, the first reason in the layer's own filter order is a shorter side under ten bases for 31, a primary alignment outside both breakpoint windows for 19, a mapping quality under 20 for 19, and a clip under ten bases despite a longer overhang for 3. About a fifth of all genuinely spanning reads are therefore invisible to the split-read signal and visible to the soft-clip signal. This is a measured argument for the multi-layer design, though a more modest one than the first construction suggested, where the soft-clip layer had been recorded as recovering 114 of 121 such reads†.</w:t>
      </w:r>
    </w:p>
    <w:p>
      <w:pPr>
        <w:keepNext w:val="false"/>
        <w:spacing w:after="140" w:line="276"/>
        <w:jc w:val="both"/>
      </w:pPr>
      <w:r>
        <w:t xml:space="preserve">The same ground truth adjudicates a discrepancy between the split-read tool and the caller. Against truth, the tool counts 154 of the 390 genuinely spanning reads (39.5 per cent) and the caller 137 (35.1 per cent), and the tool's raw count is closer to the truth than the caller's in ten of the twelve implants, with two ties. Both miss most spanning reads: the structural reason above accounts for part, and mapping-quality loss in the low-mappability class for much of the rest.</w:t>
      </w:r>
    </w:p>
    <w:p>
      <w:pPr>
        <w:keepNext w:val="false"/>
        <w:spacing w:after="140" w:line="276"/>
        <w:jc w:val="both"/>
      </w:pPr>
      <w:r>
        <w:t xml:space="preserve">Decomposing the tool's count requires a decision the first construction never faced. Forty-one of the reads it counts genuinely span a junction but carry only a supplementary tag of mapping quality zero that names a wrong chromosome: the construction gate's no-wrong-partner criterion, which held at the first implant where it was checked, does not hold across all twelve. Counted as false positives, these reads give false-positive rates of 11.1, 20.4 and 87.7 per cent in the clean, repeat-adjacent and low-mappability classes and a per-breakpoint correlation with the local low-mapping-quality fraction of 0.668; counted as true, 0, 5.8 and 60.0 per cent and 0.298. Under the first reading, one breakpoint accounts for 40 of the low-mappability class's 57 false positives. The first construction's conclusion that the low-mapping-quality fraction does not predict split-read false positives (r = 0.142†) therefore does not survive the rebuild under the stricter reading, and survives only weakly under the lenient one.</w:t>
      </w:r>
    </w:p>
    <w:p>
      <w:pPr>
        <w:keepNext w:val="false"/>
        <w:spacing w:after="140" w:line="276"/>
        <w:jc w:val="both"/>
      </w:pPr>
      <w:r>
        <w:t xml:space="preserve">Raising the split-read tool's mapping-quality floor from 0 to 20 would remove 85 of its 86 false positives, at a cost of 30 genuine reads, from 154 to 124, and would silence the layer at all eight low-mappability breakpoints. The default was not changed.</w:t>
      </w:r>
    </w:p>
    <w:p>
      <w:pPr>
        <w:keepNext w:val="false"/>
        <w:spacing w:after="140" w:line="276"/>
        <w:jc w:val="both"/>
      </w:pPr>
      <w:r>
        <w:t xml:space="preserve">The counts in this section are those of the split-read tool before the decoy correction described below. At the tool's default mapping-quality floor of zero, the correction removes ten reads from its count at the eight low-mappability breakpoints, from 65 to 55, and four breakend counts at the detected implants, from 350 to 346. A read partnered only with a decoy cannot name the correct partner chromosome, so none of the removed reads was genuine: the correction lowers the false-positive figures above and leaves every genuine count unchanged.</w:t>
      </w:r>
    </w:p>
    <w:p>
      <w:pPr>
        <w:keepNext w:val="false"/>
        <w:spacing w:after="140" w:line="276"/>
        <w:jc w:val="both"/>
      </w:pPr>
      <w:r>
        <w:t xml:space="preserve">At the background's twenty-seven surviving junctions, where no truth is available, the tool's count and the caller's differ by −5 to +9 reads where both breakends have a low-mapping-quality fraction under 0.01, and by up to a hundredfold where that fraction is high — 1,700 reads against 17 at a breakend where it is 0.905. Across breakends, the size of the difference correlates with the fraction at r = 0.689.</w:t>
      </w:r>
    </w:p>
    <w:p>
      <w:pPr>
        <w:pStyle w:val="Heading2"/>
        <w:keepNext/>
        <w:spacing w:after="160" w:before="320"/>
      </w:pPr>
      <w:r>
        <w:t xml:space="preserve">A Structural Ceiling in the Scoring Function</w:t>
      </w:r>
    </w:p>
    <w:p>
      <w:pPr>
        <w:keepNext w:val="false"/>
        <w:spacing w:after="140" w:line="276"/>
        <w:jc w:val="both"/>
      </w:pPr>
      <w:r>
        <w:t xml:space="preserve">Each of the four evidence layers contributes between zero and twenty-five points, and the sum is normalised over the layers that are applicable to the data. Strength bands are assigned at seventy and forty.</w:t>
      </w:r>
    </w:p>
    <w:p>
      <w:pPr>
        <w:keepNext w:val="false"/>
        <w:spacing w:after="140" w:line="276"/>
        <w:jc w:val="both"/>
      </w:pPr>
      <w:r>
        <w:t xml:space="preserve">No detected implant scored above 55.0. Across the thirty-two breakends of the sixteen detected junctions, scores ranged from 32.5 to 55.0 — thirty rated moderate and two weak — despite 24 to 46 discordant pairs per breakend, all but 48 of their 1,094 mates on the correct partner chromosome, and 6 to 24 soft-clipped reads sharing a clip position. At this depth that is close to the strongest evidence the event class can produce.</w:t>
      </w:r>
    </w:p>
    <w:p>
      <w:pPr>
        <w:keepNext w:val="false"/>
        <w:spacing w:after="140" w:line="276"/>
        <w:jc w:val="both"/>
      </w:pPr>
      <w:r>
        <w:t xml:space="preserve">The cause is structural rather than a matter of calibration. The depth layer contributes zero, correctly, because a balanced rearrangement conserves copy number — the defining property of the event. The discordant layer cannot reach its top tier, which requires a discordant fraction of at least 0.5, because at a heterozygous breakpoint roughly half the reads crossing the junction originate from the intact homolog and are entirely normal; across all thirty-two breakends the highest fraction observed at the default window of 500 bases was 0.164, never reaching even the 0.2 tier. With that layer held at its lowest scoring tier and depth contributing nothing, the attainable maximum the tool itself reports is 57.5 at every one of the thirty-two breakends, against a strong band beginning at seventy. The figure is computed per position from the scoring tiers and the observed fractions rather than being a constant: at one breakend queried with a 200-base window in the ceiling experiment's proof, the discordant fraction reached 0.25, the middle tier, and the tool reported 65, still below seventy. These figures count all four layers, as the interface's evidence panel always does. A caller can restrict the summary to fewer layers, and until 30 September the reported ceiling did not follow: in one run of the pre-registered extension a local model counted only the discordant-pair and soft-clip layers and received 65.0 at the default window alongside a reported ceiling of 57.5. The score itself was right; the ceiling fields, derived in a separate module and attached by the tool's wrapper, assumed four layers. Of the seventy-two summary calls recorded in the ceiling experiment, five restricted the layers, all from that model, and this was the only one to receive a score above its reported ceiling. The defect was corrected under a change registered before the code was touched: the ceiling is now computed over the layers the score counts. At that breakend it stays 57.5 with all four layers and becomes 65.0 with discordant pairs and soft clips, 100 with soft clips and split reads, and 43.3 with discordant pairs, soft clips and depth. A regression test written first failed on the old code and passes on the new; with all four layers every ceiling field at the ninety-four breakends of the synthetic control is identical to before, the ceiling experiment's payload is unchanged, and twenty-six suites pass, 759 assertions holding and none failing.</w:t>
      </w:r>
    </w:p>
    <w:p>
      <w:pPr>
        <w:keepNext w:val="false"/>
        <w:spacing w:after="140" w:line="276"/>
        <w:jc w:val="both"/>
      </w:pPr>
      <w:r>
        <w:t xml:space="preserve">The only breakends reaching all four layers did so through the depth layer, which contributed fifteen points at seven breakends of three implants where no copy-number change was built in; five of them reached the maximum observed score of 55.0 that way. The score can be raised only by a false signal. The same held beyond the implants. Three positions of the unmodified background were rated strong, all of them breakends of deletion calls rather than of balanced events. At two, the split-read partners lay on the breakend's own chromosome, as a deletion's should; at the third, nearly all lay on a decoy contig (next section). A balanced translocation could not reach the strong band; an artifact of the reference's decoy sequences, which gave that breakend the appearance of a partner off its own chromosome, could, until the split-read layer was corrected.</w:t>
      </w:r>
    </w:p>
    <w:p>
      <w:pPr>
        <w:keepNext w:val="false"/>
        <w:spacing w:after="140" w:line="276"/>
        <w:jc w:val="both"/>
      </w:pPr>
      <w:r>
        <w:t xml:space="preserve">This belongs to the same family as a defect reported earlier in this chapter, seen from the other side. There, the composite rose as data quality fell, because quality-silenced layers left the denominator. Here, a layer that is correctly silent because the hypothesis predicts silence is treated as a missing contribution rather than as consistent evidence. The underlying problem in both cases is that the scoring function does not distinguish a layer that is </w:t>
      </w:r>
      <w:r>
        <w:rPr>
          <w:i/>
          <w:iCs/>
        </w:rPr>
        <w:t xml:space="preserve">inapplicable</w:t>
      </w:r>
      <w:r>
        <w:t xml:space="preserve"> from one that is </w:t>
      </w:r>
      <w:r>
        <w:rPr>
          <w:i/>
          <w:iCs/>
        </w:rPr>
        <w:t xml:space="preserve">unavailable</w:t>
      </w:r>
      <w:r>
        <w:t xml:space="preserve">, although the system computes exactly that distinction in a separate tool.</w:t>
      </w:r>
    </w:p>
    <w:p>
      <w:pPr>
        <w:keepNext w:val="false"/>
        <w:spacing w:after="140" w:line="276"/>
        <w:jc w:val="both"/>
      </w:pPr>
      <w:r>
        <w:t xml:space="preserve">The scoring was not changed. Recalibrating on twelve implants would repeat the reasoning that produced the depth threshold discussed earlier. What was changed is described in the following sections.</w:t>
      </w:r>
    </w:p>
    <w:p>
      <w:pPr>
        <w:pStyle w:val="Heading2"/>
        <w:keepNext/>
        <w:spacing w:after="160" w:before="320"/>
      </w:pPr>
      <w:r>
        <w:t xml:space="preserve">Decoy Contigs as Split-Read Partners</w:t>
      </w:r>
    </w:p>
    <w:p>
      <w:pPr>
        <w:keepNext w:val="false"/>
        <w:spacing w:after="140" w:line="276"/>
        <w:jc w:val="both"/>
      </w:pPr>
      <w:r>
        <w:t xml:space="preserve">The clinical alignments carry millions of supplementary alignments on decoy contigs (Methods). A measurement made on 27 September 2026 showed that the split-read layer counted any supplementary alignment whose own mapping quality passed as a partner, whatever its contig: a decoy was counted by name, and the layer drew no line between decoys and chromosomes. At the default mapping-quality floor of 20, no implant breakend had a decoy partner, and at 100 random autosomal positions per clinical sample, 2 of 20 split reads in one sample had one, both at a single position, and none of 7 in the other. One junction of the unmodified background, however, was rated strong — one of three strong positions in the synthetic data, all of them breakends of deletion calls, and the only one whose split-read partners lay predominantly off its own chromosome: 266 of its 269 split reads had their supplementary alignment on a single decoy contig, the layer's observation named the decoy as the predominant partner, and the score reached 72.5.</w:t>
      </w:r>
    </w:p>
    <w:p>
      <w:pPr>
        <w:keepNext w:val="false"/>
        <w:spacing w:after="140" w:line="276"/>
        <w:jc w:val="both"/>
      </w:pPr>
      <w:r>
        <w:t xml:space="preserve">The layer was corrected under a change registered before any code was touched. A supplementary alignment on a decoy contig is no longer counted as a partner, a read left with no partner is no longer counted as a split read, and both are reported in separate fields, so that the mapping ambiguity they signal stays visible. A regression suite written before the change fails on the old code and passes on the new, and a negative control confirms that an ordinary inter-chromosomal partner is still counted. The background junction now scores 55.0, moderate, with 3 split reads in place of 269. None of the other 53 background breakends and none of the 40 implant breakends changed in score, band, split-read component or observation; the payload of the ceiling experiment's locus is byte-identical, so that experiment stands; and at the same clinical positions split reads fell from 20 to 18 in one sample and stayed at 7 in the other, with no change of score or band. After the correction all twenty-five suites pass, 734 assertions holding and none failing.</w:t>
      </w:r>
    </w:p>
    <w:p>
      <w:pPr>
        <w:keepNext w:val="false"/>
        <w:spacing w:after="140" w:line="276"/>
        <w:jc w:val="both"/>
      </w:pPr>
      <w:r>
        <w:t xml:space="preserve">A supplementary alignment to another position on the same chromosome is also counted as a partner, whereas the discordant-pair layer counts only mates on other chromosomes. This was measured and left unchanged. No implant breakend has a split read partnered only on its own chromosome; at the 54 background breakends, 365 of 377 split reads are, and without them 36 scores and 9 bands would fall — but every one of those breakends belongs to a deletion, duplication or inversion call, for which a split alignment elsewhere on the same chromosome is the event's own evidence rather than an artifact. At the clinical positions, 13 of 18 split reads in one sample and none of 7 in the other are partnered only on their own chromosome, and removing them would change one score and no band. The layer is right to count such partners for the events it was scoring; what it does not do is mark them in its statement, so a reader assessing a translocation must read the partner names — as at the corrected junction, whose three remaining split reads are reported as partnered predominantly with chromosome 21, the chromosome it lies on.</w:t>
      </w:r>
    </w:p>
    <w:p>
      <w:pPr>
        <w:pStyle w:val="Heading2"/>
        <w:keepNext/>
        <w:spacing w:after="160" w:before="320"/>
      </w:pPr>
      <w:r>
        <w:t xml:space="preserve">Model Comparison, First Round: Two Retractions and an Inadequate Rubric</w:t>
      </w:r>
    </w:p>
    <w:p>
      <w:pPr>
        <w:keepNext w:val="false"/>
        <w:spacing w:after="140" w:line="276"/>
        <w:jc w:val="both"/>
      </w:pPr>
      <w:r>
        <w:t xml:space="preserve">A question left open by the architecture is whether the tool layer is doing the work or the model is. MARRVEL-MCP reports that small models equipped with well-designed tools match or exceed much larger models without them [19], which if it holds here would matter practically: a locally hosted model means patient data never leaves the machine, a consideration of some weight in clinical genomics. Three models were therefore compared against the same server, the same three cases, and the same scoring: claude-sonnet-5 through an API harness, and qwen2.5:7b [60] and llama3.1:8b [61] hosted locally on an 8 GB consumer GPU. The cases were a position with a confirmed deletion, a control position with no known variant, and an adversarial variant of the first in which the prompt asserted a balanced translocation that the data does not support. Each was run three times per model.</w:t>
      </w:r>
    </w:p>
    <w:p>
      <w:pPr>
        <w:keepNext w:val="false"/>
        <w:spacing w:after="140" w:line="276"/>
        <w:jc w:val="both"/>
      </w:pPr>
      <w:r>
        <w:t xml:space="preserve">The local models diverged sharply. llama3.1:8b could not reliably use the tools at all: it initially emitted tool calls as prose rather than in the structured format, and once a parser recovered that, it proved unable to supply correct argument names, inventing parameters and failing to self-correct from validation errors that named the problem explicitly. Three of nine runs reached the turn limit while repeatedly retrying a tool it had already called successfully. qwen2.5:7b, given an identical harness and prompt, completed six to ten well-formed calls in every run and reached correct verdicts on the neutral positive and negative cases. The difference between two models of comparable size on identical infrastructure is itself a finding: tool-use reliability is not a function of parameter count alone.</w:t>
      </w:r>
    </w:p>
    <w:p>
      <w:pPr>
        <w:keepNext w:val="false"/>
        <w:spacing w:after="140" w:line="276"/>
        <w:jc w:val="both"/>
      </w:pPr>
      <w:r>
        <w:t xml:space="preserve">The adversarial case separated the models decisively. claude-sonnet-5 rejected the false premise in every run, reporting the deletion evidence its tools returned and stating that a single discordant read is too thin to support a translocation claim. qwen2.5:7b confirmed the premise in five of six runs across all correction stages. It found the same evidence it had reported correctly under neutral framing, then wrote it up as corroborating the asserted rearrangement. More troubling than the confirmation itself was the mechanism: the server instructions contain a rule stating that flat read depth is expected for balanced translocations and must not be read as negative evidence, included to prevent the assistant from dismissing a genuine balanced event. In the adversarial runs the model invoked that rule to explain away every absent signal in turn, converting a safeguard against one error into a licence for a worse one. In a separate session it asserted that an image had been generated and invited review of it, after both generation calls had failed with errors present in its own context.</w:t>
      </w:r>
    </w:p>
    <w:p>
      <w:pPr>
        <w:keepNext w:val="false"/>
        <w:spacing w:after="140" w:line="276"/>
        <w:jc w:val="both"/>
      </w:pPr>
      <w:r>
        <w:t xml:space="preserve">Two published results from this benchmark had to be retracted, and the retractions are more instructive than the original findings. The first attributed a fabricated claim to qwen2.5:7b: its report stated that discordant mates mapped "predominantly to chr12" on the strength of a single read, in the case where the prompt had asserted a translocation to chromosome 12. The model had not invented this. It was quoting summarize_breakpoint_evidence, which selected the first-inserted key from a dictionary of mate chromosomes — not even the most frequent — and labelled it "predominantly", with no check that a dominant partner existed or that more than one read supported it. The tool had fabricated corroboration for the false premise and the model had faithfully repeated it, which is precisely what the instruction to cite only tool output requires. An audit of the module found the same defect at one further site and a related one in the soft-clip observation, which asserted a consensus clip position where at most one read shared any position. The second retraction was a measurement artifact of a different kind: claude-sonnet-5 had been recorded as failing one adversarial run, when in fact the scoring function's negation-detection window was too narrow to recognise a rejection phrased across thirty-eight characters. Corrected, Claude scores three of three in every configuration; the reported failure was the instrument's, not the model's.</w:t>
      </w:r>
    </w:p>
    <w:p>
      <w:pPr>
        <w:keepNext w:val="false"/>
        <w:spacing w:after="140" w:line="276"/>
        <w:jc w:val="both"/>
      </w:pPr>
      <w:r>
        <w:t xml:space="preserve">The pattern across both retractions is worth stating plainly. In each case a result was published attributing a behaviour to a model, and in each case the behaviour belonged to the measuring apparatus — once to a tool that asserted a pattern its data did not contain, once to a metric too blunt to see a correct answer. Both were found by reading reports manually rather than by any automated check.</w:t>
      </w:r>
    </w:p>
    <w:p>
      <w:pPr>
        <w:keepNext w:val="false"/>
        <w:spacing w:after="140" w:line="276"/>
        <w:jc w:val="both"/>
      </w:pPr>
      <w:r>
        <w:t xml:space="preserve">Examining the remaining criteria made the problem look less like two unlucky defects and more like a property of the approach. Of the five, one — the check that all applicable evidence layers were queried — had been penalising correct behaviour by requiring a call to a layer the data cannot inform, and was corrected. The verdict criterion required three separate corrections, for word-boundary matching, window width, and cue attachment, and is still not trusted for adversarial cases. The citation criterion turned out to be worse than a false negative: its number-extraction pattern read the hyphen in a prose range such as "approximately 250–300×" as a minus sign and extracted a negative depth value that no tool could ever return, then flagged it as an uncited claim. It manufactures violations rather than merely missing them, and it was left unfixed deliberately, because correcting it would require special-casing range syntax, tolerating rounding, and modelling derived arithmetic — which amounts to re-implementing the judgement the criterion existed to avoid needing. Its rows are reported as not measured rather than as failures. A fourth criterion, the check on tool-call ordering, has simply never been examined, and is recorded as unexamined rather than counted as sound, since not having been found wrong is not a property worth reporting as reliability. That leaves one criterion, the hallucination check, currently load-bearing on the strength of two confirmed catches — real ones, being an unsupported variant size and an unprompted mention of the benchmark dataset's identity, but two catches are evidence that it works rather than proof.</w:t>
      </w:r>
    </w:p>
    <w:p>
      <w:pPr>
        <w:keepNext w:val="false"/>
        <w:spacing w:after="140" w:line="276"/>
        <w:jc w:val="both"/>
      </w:pPr>
      <w:r>
        <w:t xml:space="preserve">The conclusion drawn in the accompanying documentation is that an automated rubric over free-text reports was not adequate for this task. Every substantive finding in the benchmark was ultimately confirmed or overturned by reading reports manually, including both retracted findings, each of which the metrics had reported as clean model behaviour. The scores are presented as a screening layer that directs attention toward runs worth reading, not as measurements. This is the same argument the thesis makes about diagnostic evidence, arriving unbidden one level up: the criteria were trusted while they were unexamined, every correction came from inspecting the reasoning rather than the score, and a system that requires a model to cite the tool behind every claim has no principled reason to exempt its own metrics from that standard.</w:t>
      </w:r>
    </w:p>
    <w:p>
      <w:pPr>
        <w:keepNext w:val="false"/>
        <w:spacing w:after="140" w:line="276"/>
        <w:jc w:val="both"/>
      </w:pPr>
      <w:r>
        <w:t xml:space="preserve">A final comparison concerned the visual layer, and produced an architectural rather than a behavioural finding. Asked to generate and interpret images, both models described what the images showed. Neither had seen them: the tools return a file path, and both harnesses serialise tool results to text, so no pixel data ever reached either model. Claude's description of one panel as showing uniform, non-anomalous pairing directly contradicted an image dominated by anomalous-pair colouring. Adding an explicit field stating that image content had not been provided, together with a rule forbidding description of unseen images, corrected Claude's behaviour but not the local model's, which continued to assert content and cited a file path it had itself supplied in a tool argument. The advisory approach failed because it relied on the model's compliance. Removing the caller-supplied path parameter entirely, so that the server assigns output locations and returns only an opaque handle, closed the gap structurally: no path enters the model's context in either direction, and no description of pixel content is possible because nothing resembling an image reference is available to describe. The contrast between the advisory fix, which one model honoured and the other ignored, and the structural fix, which neither could circumvent, is the clearest evidence in this work for preferring architectural constraints to instructional ones.</w:t>
      </w:r>
    </w:p>
    <w:p>
      <w:pPr>
        <w:pStyle w:val="Heading2"/>
        <w:keepNext/>
        <w:spacing w:after="160" w:before="320"/>
      </w:pPr>
      <w:r>
        <w:t xml:space="preserve">Model Comparison, Second Round: A Corrected Harness and a Frontier Control</w:t>
      </w:r>
    </w:p>
    <w:p>
      <w:pPr>
        <w:keepNext w:val="false"/>
        <w:spacing w:after="140" w:line="276"/>
        <w:jc w:val="both"/>
      </w:pPr>
      <w:r>
        <w:t xml:space="preserve">Model selection was treated as an experimental variable with the harness held fixed. Six adversarial cases were constructed around failure modes observed earlier in the project — a prompt asserting a rearrangement the evidence does not support, a locus where the score is withheld for quality reasons, coordinate fidelity, claims of checks never performed, the ceiling question, and a request for an image at a locus where generation must fail — and each was run five times per local model and per claude-sonnet-5 (claude-opus-5: fifteen runs in total), scored by reading the outputs rather than by an automated rubric.</w:t>
      </w:r>
    </w:p>
    <w:p>
      <w:pPr>
        <w:keepNext w:val="false"/>
        <w:spacing w:after="140" w:line="276"/>
        <w:jc w:val="both"/>
      </w:pPr>
      <w:r>
        <w:t xml:space="preserve">The eight-billion-parameter model excluded from the first comparison behaved the same way here, printing a tool call as prose in eight of eighteen runs†, and the seven-billion-parameter model again confirmed the false premise — in two of five runs† rather than five of six, the difference attributable to the corrected harness rather than to the model. One new failure appeared†: in a single run it described a withheld score as the absence of a significant structural variant — converting "this locus cannot be assessed" into "there is nothing here", which is a false negative presented as a finding. A four-billion-parameter model, qwen3.5:4b [62], rejected the false premise in four of five† but failed to answer in five of thirty runs and produced malformed tool arguments at 26.3 per cent. A nine-billion-parameter model, qwen3.5:9b [62], could not be evaluated fairly: on this hardware its weights leave a GPU-resident context of 2,048 tokens, against a tool-schema floor of 2,690 tokens with every description deleted, so it ran partly on the processor, answered only eleven of thirty runs, and left its reasoning effectively unmeasured. That is a hardware limit, reported as such, and not evidence about its reasoning.</w:t>
      </w:r>
    </w:p>
    <w:p>
      <w:pPr>
        <w:keepNext w:val="false"/>
        <w:spacing w:after="140" w:line="276"/>
        <w:jc w:val="both"/>
      </w:pPr>
      <w:r>
        <w:t xml:space="preserve">The primary record of the frontier-model sweep was lost in the reinstall; the summary committed at the time reported no malformed arguments in 313 tool calls across forty-five runs, no refusal, and the false premise rejected in every run†. The sweep was therefore rerun on 26 September 2026 with reconstructed case prompts and the same models and run counts: again no malformed argument, in 341 tool calls; no refusal; no tool call written as prose; no coordinate drift; and the false premise rejected in all eight runs of that case. Thirty-four numbers in the answers matched no tool return, and every one was traced on reading to a tool description, the system prompt or a rounded returned position, so that no invented finding remained. In that rerun, image generation at the locus of the last case failed only because the image viewer had not yet been reinstalled; with it restored, all eight runs of the case produced images — so the case no longer tests a failed generation — and no model described their content, each declining explicitly. The rerun cost 3.59 United States dollars, so cost is not the barrier to using such a model; the barrier is that coordinates, read counts and partner loci leave the machine. The local tier is the only one that never transmits, and it malformed the arguments of 13 to 26 per cent of tool calls, depending on the model. That tension is unresolved and is a decision about data handling rather than about engineering.</w:t>
      </w:r>
    </w:p>
    <w:p>
      <w:pPr>
        <w:keepNext w:val="false"/>
        <w:spacing w:after="140" w:line="276"/>
        <w:jc w:val="both"/>
      </w:pPr>
      <w:r>
        <w:t xml:space="preserve">Two configuration findings are worth recording. Disabling the models' internal reasoning mode more than doubled the malformed-argument rate, from 16.4 to 35.8 per cent, so that reasoning does substantive work in constructing tool arguments while consuming the budget needed to answer; a low setting gave the lowest rate, 9.3 per cent, at the cost of one fewer answered run in eighteen. And shortening the tool descriptions to reduce their 5,114-token cost nearly doubled the malformed-argument rate, from 16.4 to 31.8 per cent, and was reverted — verbosity was purchasing correctness. Of the irreducible floor of 2,690 tokens, 866 are the dataset label enumerations that prevent the model from ever naming a filesystem path, so the safety mechanism has a directly measurable context cost.</w:t>
      </w:r>
    </w:p>
    <w:p>
      <w:pPr>
        <w:keepNext w:val="false"/>
        <w:spacing w:after="140" w:line="276"/>
        <w:jc w:val="both"/>
      </w:pPr>
      <w:r>
        <w:t xml:space="preserve">A verification pass extracts every number from a model's prose and checks it against the recorded tool calls, flagging any that cannot be matched. Applied to the rerun frontier sweep, it flagged thirty-four numbers, and every one proved on reading to be accurate: a quotation from a tool </w:t>
      </w:r>
      <w:r>
        <w:rPr>
          <w:i/>
          <w:iCs/>
        </w:rPr>
        <w:t xml:space="preserve">description</w:t>
      </w:r>
      <w:r>
        <w:t xml:space="preserve"> or the system prompt — session-provided text the pass cannot see — or a rounded form of a returned position. The pass therefore answers whether a tool returned a number, not whether a claim is supported, and penalises a model that reads the documentation carefully relative to one that ignores it. This limitation of number-matching as a verification strategy is reported alongside the figures it produces.</w:t>
      </w:r>
    </w:p>
    <w:p>
      <w:pPr>
        <w:pStyle w:val="Heading2"/>
        <w:keepNext/>
        <w:spacing w:after="160" w:before="320"/>
      </w:pPr>
      <w:r>
        <w:t xml:space="preserve">What a Model Can Reach Bounds What It Can Say</w:t>
      </w:r>
    </w:p>
    <w:p>
      <w:pPr>
        <w:keepNext w:val="false"/>
        <w:spacing w:after="140" w:line="276"/>
        <w:jc w:val="both"/>
      </w:pPr>
      <w:r>
        <w:t xml:space="preserve">A scoring function that cannot rate the thesis's central event class as strong evidence is a finding only if a reader of the system's output can discover it. Whether a language model could do so was tested by a controlled ablation of one tool return.</w:t>
      </w:r>
    </w:p>
    <w:p>
      <w:pPr>
        <w:keepNext w:val="false"/>
        <w:spacing w:after="140" w:line="276"/>
        <w:jc w:val="both"/>
      </w:pPr>
      <w:r>
        <w:t xml:space="preserve">The starting observation was informational. The numeric boundary at which the strong band begins occurred nowhere in the fifteen tool descriptions or in any tool return; the interpretation text reported a score out of one hundred and a band name, and never stated where the band boundaries lay. The proposition "57.5 is below 70" was therefore unstatable by any model, not because the reasoning is difficult but because one of its two terms was absent from the session. The derivation was in fact already implemented — the browser interface computed the attainable ceiling, its basis and the band boundaries from the live scoring tiers — and rendered it for human readers while withholding it from the tool surface a model consumes.</w:t>
      </w:r>
    </w:p>
    <w:p>
      <w:pPr>
        <w:keepNext w:val="false"/>
        <w:spacing w:after="140" w:line="276"/>
        <w:jc w:val="both"/>
      </w:pPr>
      <w:r>
        <w:t xml:space="preserve">Nine fields and one sentence were added to the return of the evidence-summary tool, derived from the scoring tiers by parsing rather than by literal, so that the reported ceiling remains correct if the scoring is ever revised. No model, prompt or scoring threshold was altered.</w:t>
      </w:r>
    </w:p>
    <w:p>
      <w:pPr>
        <w:keepNext w:val="false"/>
        <w:spacing w:after="140" w:line="276"/>
        <w:jc w:val="both"/>
      </w:pPr>
      <w:r>
        <w:t xml:space="preserve">A first comparison across four models, two local and two frontier, recorded one run in twenty stating the ceiling before the change and nineteen in twenty after it†. Its records were lost in the reinstall, and rebuilding the experiment exposed a defect it probably shared. The ceiling fields push the summary return past the harness's truncation limit of 2,600 characters, so removing them before truncation also changes which other fields the model sees: the two conditions differ in more than the ceiling. The rebuilt design's own proof caught this, and without the first comparison's records it cannot be confirmed or excluded there. Its figures are not relied on below.</w:t>
      </w:r>
    </w:p>
    <w:p>
      <w:pPr>
        <w:keepNext w:val="false"/>
        <w:spacing w:after="140" w:line="276"/>
        <w:jc w:val="both"/>
      </w:pPr>
      <w:r>
        <w:t xml:space="preserve">The rerun hands the model, in the condition without the fields, exactly the prepared payload of the condition with them minus the ceiling keys, so that the two conditions differ in those keys alone. An automated proof of 71 checks established this before any result was used, including positive controls showing that the first design's defect is caught and negative controls confirming that every other tool passes through unchanged. A per-call check flagged one live run in which the condition had not held; it was excluded and replaced, as were two runs lost to server errors. The case prompt is a reconstruction, its original text never having been committed. Each condition was run five times with each of the four models of the first comparison, two frontier and two locally hosted, and a pre-registered extension added ten runs per condition for each local model, with its analysis fixed in advance. Every run was scored blind (Methods).</w:t>
      </w:r>
    </w:p>
    <w:p>
      <w:pPr>
        <w:keepNext/>
        <w:spacing w:after="140" w:line="276"/>
        <w:jc w:val="both"/>
      </w:pPr>
      <w:r>
        <w:rPr>
          <w:b/>
          <w:bCs/>
        </w:rPr>
        <w:t xml:space="preserve">Table 3. The ceiling experiment, rerun and scored blind.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700"/>
        <w:gridCol w:w="1000"/>
        <w:gridCol w:w="1300"/>
        <w:gridCol w:w="1250"/>
        <w:gridCol w:w="1250"/>
        <w:gridCol w:w="1300"/>
      </w:tblGrid>
      <w:tr>
        <w:trPr>
          <w:cantSplit/>
          <w:tblHeader/>
        </w:trPr>
        <w:tc>
          <w:tcPr>
            <w:tcW w:type="dxa" w:w="2560"/>
            <w:shd w:fill="E8E8E8" w:color="auto" w:val="clear"/>
            <w:tcMar>
              <w:top w:type="dxa" w:w="60"/>
              <w:left w:type="dxa" w:w="90"/>
              <w:bottom w:type="dxa" w:w="60"/>
              <w:right w:type="dxa" w:w="90"/>
            </w:tcMar>
          </w:tcPr>
          <w:p>
            <w:pPr>
              <w:spacing w:after="0" w:line="240"/>
            </w:pPr>
            <w:r>
              <w:rPr>
                <w:b/>
                <w:bCs/>
                <w:sz w:val="18"/>
                <w:szCs w:val="18"/>
              </w:rPr>
              <w:t xml:space="preserve">Model and condition</w:t>
            </w:r>
          </w:p>
        </w:tc>
        <w:tc>
          <w:tcPr>
            <w:tcW w:type="dxa" w:w="700"/>
            <w:shd w:fill="E8E8E8" w:color="auto" w:val="clear"/>
            <w:tcMar>
              <w:top w:type="dxa" w:w="60"/>
              <w:left w:type="dxa" w:w="90"/>
              <w:bottom w:type="dxa" w:w="60"/>
              <w:right w:type="dxa" w:w="90"/>
            </w:tcMar>
          </w:tcPr>
          <w:p>
            <w:pPr>
              <w:spacing w:after="0" w:line="240"/>
            </w:pPr>
            <w:r>
              <w:rPr>
                <w:b/>
                <w:bCs/>
                <w:sz w:val="18"/>
                <w:szCs w:val="18"/>
              </w:rPr>
              <w:t xml:space="preserve">Runs</w:t>
            </w:r>
          </w:p>
        </w:tc>
        <w:tc>
          <w:tcPr>
            <w:tcW w:type="dxa" w:w="1000"/>
            <w:shd w:fill="E8E8E8" w:color="auto" w:val="clear"/>
            <w:tcMar>
              <w:top w:type="dxa" w:w="60"/>
              <w:left w:type="dxa" w:w="90"/>
              <w:bottom w:type="dxa" w:w="60"/>
              <w:right w:type="dxa" w:w="90"/>
            </w:tcMar>
          </w:tcPr>
          <w:p>
            <w:pPr>
              <w:spacing w:after="0" w:line="240"/>
            </w:pPr>
            <w:r>
              <w:rPr>
                <w:b/>
                <w:bCs/>
                <w:sz w:val="18"/>
                <w:szCs w:val="18"/>
              </w:rPr>
              <w:t xml:space="preserve">Answered</w:t>
            </w:r>
          </w:p>
        </w:tc>
        <w:tc>
          <w:tcPr>
            <w:tcW w:type="dxa" w:w="1300"/>
            <w:shd w:fill="E8E8E8" w:color="auto" w:val="clear"/>
            <w:tcMar>
              <w:top w:type="dxa" w:w="60"/>
              <w:left w:type="dxa" w:w="90"/>
              <w:bottom w:type="dxa" w:w="60"/>
              <w:right w:type="dxa" w:w="90"/>
            </w:tcMar>
          </w:tcPr>
          <w:p>
            <w:pPr>
              <w:spacing w:after="0" w:line="240"/>
            </w:pPr>
            <w:r>
              <w:rPr>
                <w:b/>
                <w:bCs/>
                <w:sz w:val="18"/>
                <w:szCs w:val="18"/>
              </w:rPr>
              <w:t xml:space="preserve">Fields reached the model</w:t>
            </w:r>
          </w:p>
        </w:tc>
        <w:tc>
          <w:tcPr>
            <w:tcW w:type="dxa" w:w="1250"/>
            <w:shd w:fill="E8E8E8" w:color="auto" w:val="clear"/>
            <w:tcMar>
              <w:top w:type="dxa" w:w="60"/>
              <w:left w:type="dxa" w:w="90"/>
              <w:bottom w:type="dxa" w:w="60"/>
              <w:right w:type="dxa" w:w="90"/>
            </w:tcMar>
          </w:tcPr>
          <w:p>
            <w:pPr>
              <w:spacing w:after="0" w:line="240"/>
            </w:pPr>
            <w:r>
              <w:rPr>
                <w:b/>
                <w:bCs/>
                <w:sz w:val="18"/>
                <w:szCs w:val="18"/>
              </w:rPr>
              <w:t xml:space="preserve">Stated the ceiling</w:t>
            </w:r>
          </w:p>
        </w:tc>
        <w:tc>
          <w:tcPr>
            <w:tcW w:type="dxa" w:w="1250"/>
            <w:shd w:fill="E8E8E8" w:color="auto" w:val="clear"/>
            <w:tcMar>
              <w:top w:type="dxa" w:w="60"/>
              <w:left w:type="dxa" w:w="90"/>
              <w:bottom w:type="dxa" w:w="60"/>
              <w:right w:type="dxa" w:w="90"/>
            </w:tcMar>
          </w:tcPr>
          <w:p>
            <w:pPr>
              <w:spacing w:after="0" w:line="240"/>
            </w:pPr>
            <w:r>
              <w:rPr>
                <w:b/>
                <w:bCs/>
                <w:sz w:val="18"/>
                <w:szCs w:val="18"/>
              </w:rPr>
              <w:t xml:space="preserve">Complete argument</w:t>
            </w:r>
          </w:p>
        </w:tc>
        <w:tc>
          <w:tcPr>
            <w:tcW w:type="dxa" w:w="1300"/>
            <w:shd w:fill="E8E8E8" w:color="auto" w:val="clear"/>
            <w:tcMar>
              <w:top w:type="dxa" w:w="60"/>
              <w:left w:type="dxa" w:w="90"/>
              <w:bottom w:type="dxa" w:w="60"/>
              <w:right w:type="dxa" w:w="90"/>
            </w:tcMar>
          </w:tcPr>
          <w:p>
            <w:pPr>
              <w:spacing w:after="0" w:line="240"/>
            </w:pPr>
            <w:r>
              <w:rPr>
                <w:b/>
                <w:bCs/>
                <w:sz w:val="18"/>
                <w:szCs w:val="18"/>
              </w:rPr>
              <w:t xml:space="preserve">Verdict not "strong"</w:t>
            </w:r>
          </w:p>
        </w:tc>
      </w:tr>
      <w:tr>
        <w:trPr>
          <w:cantSplit/>
          <w:tblHeader w:val="false"/>
        </w:trPr>
        <w:tc>
          <w:tcPr>
            <w:tcW w:type="dxa" w:w="2560"/>
            <w:tcMar>
              <w:top w:type="dxa" w:w="60"/>
              <w:left w:type="dxa" w:w="90"/>
              <w:bottom w:type="dxa" w:w="60"/>
              <w:right w:type="dxa" w:w="90"/>
            </w:tcMar>
          </w:tcPr>
          <w:p>
            <w:pPr>
              <w:spacing w:after="0" w:line="240"/>
            </w:pPr>
            <w:r>
              <w:rPr>
                <w:sz w:val="18"/>
                <w:szCs w:val="18"/>
              </w:rPr>
              <w:t xml:space="preserve">claude-sonnet-5, without</w:t>
            </w:r>
          </w:p>
        </w:tc>
        <w:tc>
          <w:tcPr>
            <w:tcW w:type="dxa" w:w="700"/>
            <w:tcMar>
              <w:top w:type="dxa" w:w="60"/>
              <w:left w:type="dxa" w:w="90"/>
              <w:bottom w:type="dxa" w:w="60"/>
              <w:right w:type="dxa" w:w="90"/>
            </w:tcMar>
          </w:tcPr>
          <w:p>
            <w:pPr>
              <w:spacing w:after="0" w:line="240"/>
            </w:pPr>
            <w:r>
              <w:rPr>
                <w:sz w:val="18"/>
                <w:szCs w:val="18"/>
              </w:rPr>
              <w:t xml:space="preserve">5</w:t>
            </w:r>
          </w:p>
        </w:tc>
        <w:tc>
          <w:tcPr>
            <w:tcW w:type="dxa" w:w="1000"/>
            <w:tcMar>
              <w:top w:type="dxa" w:w="60"/>
              <w:left w:type="dxa" w:w="90"/>
              <w:bottom w:type="dxa" w:w="60"/>
              <w:right w:type="dxa" w:w="90"/>
            </w:tcMar>
          </w:tcPr>
          <w:p>
            <w:pPr>
              <w:spacing w:after="0" w:line="240"/>
            </w:pPr>
            <w:r>
              <w:rPr>
                <w:sz w:val="18"/>
                <w:szCs w:val="18"/>
              </w:rPr>
              <w:t xml:space="preserve">5</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50"/>
            <w:tcMar>
              <w:top w:type="dxa" w:w="60"/>
              <w:left w:type="dxa" w:w="90"/>
              <w:bottom w:type="dxa" w:w="60"/>
              <w:right w:type="dxa" w:w="90"/>
            </w:tcMar>
          </w:tcPr>
          <w:p>
            <w:pPr>
              <w:spacing w:after="0" w:line="240"/>
            </w:pPr>
            <w:r>
              <w:rPr>
                <w:sz w:val="18"/>
                <w:szCs w:val="18"/>
              </w:rPr>
              <w:t xml:space="preserve">0</w:t>
            </w:r>
          </w:p>
        </w:tc>
        <w:tc>
          <w:tcPr>
            <w:tcW w:type="dxa" w:w="1250"/>
            <w:tcMar>
              <w:top w:type="dxa" w:w="60"/>
              <w:left w:type="dxa" w:w="90"/>
              <w:bottom w:type="dxa" w:w="60"/>
              <w:right w:type="dxa" w:w="90"/>
            </w:tcMar>
          </w:tcPr>
          <w:p>
            <w:pPr>
              <w:spacing w:after="0" w:line="240"/>
            </w:pPr>
            <w:r>
              <w:rPr>
                <w:sz w:val="18"/>
                <w:szCs w:val="18"/>
              </w:rPr>
              <w:t xml:space="preserve">0</w:t>
            </w:r>
          </w:p>
        </w:tc>
        <w:tc>
          <w:tcPr>
            <w:tcW w:type="dxa" w:w="1300"/>
            <w:tcMar>
              <w:top w:type="dxa" w:w="60"/>
              <w:left w:type="dxa" w:w="90"/>
              <w:bottom w:type="dxa" w:w="60"/>
              <w:right w:type="dxa" w:w="90"/>
            </w:tcMar>
          </w:tcPr>
          <w:p>
            <w:pPr>
              <w:spacing w:after="0" w:line="240"/>
            </w:pPr>
            <w:r>
              <w:rPr>
                <w:sz w:val="18"/>
                <w:szCs w:val="18"/>
              </w:rPr>
              <w:t xml:space="preserve">5</w:t>
            </w:r>
          </w:p>
        </w:tc>
      </w:tr>
      <w:tr>
        <w:trPr>
          <w:cantSplit/>
          <w:tblHeader w:val="false"/>
        </w:trPr>
        <w:tc>
          <w:tcPr>
            <w:tcW w:type="dxa" w:w="2560"/>
            <w:tcMar>
              <w:top w:type="dxa" w:w="60"/>
              <w:left w:type="dxa" w:w="90"/>
              <w:bottom w:type="dxa" w:w="60"/>
              <w:right w:type="dxa" w:w="90"/>
            </w:tcMar>
          </w:tcPr>
          <w:p>
            <w:pPr>
              <w:spacing w:after="0" w:line="240"/>
            </w:pPr>
            <w:r>
              <w:rPr>
                <w:sz w:val="18"/>
                <w:szCs w:val="18"/>
              </w:rPr>
              <w:t xml:space="preserve">claude-sonnet-5, with</w:t>
            </w:r>
          </w:p>
        </w:tc>
        <w:tc>
          <w:tcPr>
            <w:tcW w:type="dxa" w:w="700"/>
            <w:tcMar>
              <w:top w:type="dxa" w:w="60"/>
              <w:left w:type="dxa" w:w="90"/>
              <w:bottom w:type="dxa" w:w="60"/>
              <w:right w:type="dxa" w:w="90"/>
            </w:tcMar>
          </w:tcPr>
          <w:p>
            <w:pPr>
              <w:spacing w:after="0" w:line="240"/>
            </w:pPr>
            <w:r>
              <w:rPr>
                <w:sz w:val="18"/>
                <w:szCs w:val="18"/>
              </w:rPr>
              <w:t xml:space="preserve">5</w:t>
            </w:r>
          </w:p>
        </w:tc>
        <w:tc>
          <w:tcPr>
            <w:tcW w:type="dxa" w:w="1000"/>
            <w:tcMar>
              <w:top w:type="dxa" w:w="60"/>
              <w:left w:type="dxa" w:w="90"/>
              <w:bottom w:type="dxa" w:w="60"/>
              <w:right w:type="dxa" w:w="90"/>
            </w:tcMar>
          </w:tcPr>
          <w:p>
            <w:pPr>
              <w:spacing w:after="0" w:line="240"/>
            </w:pPr>
            <w:r>
              <w:rPr>
                <w:sz w:val="18"/>
                <w:szCs w:val="18"/>
              </w:rPr>
              <w:t xml:space="preserve">5</w:t>
            </w:r>
          </w:p>
        </w:tc>
        <w:tc>
          <w:tcPr>
            <w:tcW w:type="dxa" w:w="1300"/>
            <w:tcMar>
              <w:top w:type="dxa" w:w="60"/>
              <w:left w:type="dxa" w:w="90"/>
              <w:bottom w:type="dxa" w:w="60"/>
              <w:right w:type="dxa" w:w="90"/>
            </w:tcMar>
          </w:tcPr>
          <w:p>
            <w:pPr>
              <w:spacing w:after="0" w:line="240"/>
            </w:pPr>
            <w:r>
              <w:rPr>
                <w:sz w:val="18"/>
                <w:szCs w:val="18"/>
              </w:rPr>
              <w:t xml:space="preserve">5</w:t>
            </w:r>
          </w:p>
        </w:tc>
        <w:tc>
          <w:tcPr>
            <w:tcW w:type="dxa" w:w="1250"/>
            <w:tcMar>
              <w:top w:type="dxa" w:w="60"/>
              <w:left w:type="dxa" w:w="90"/>
              <w:bottom w:type="dxa" w:w="60"/>
              <w:right w:type="dxa" w:w="90"/>
            </w:tcMar>
          </w:tcPr>
          <w:p>
            <w:pPr>
              <w:spacing w:after="0" w:line="240"/>
            </w:pPr>
            <w:r>
              <w:rPr>
                <w:sz w:val="18"/>
                <w:szCs w:val="18"/>
              </w:rPr>
              <w:t xml:space="preserve">5</w:t>
            </w:r>
          </w:p>
        </w:tc>
        <w:tc>
          <w:tcPr>
            <w:tcW w:type="dxa" w:w="1250"/>
            <w:tcMar>
              <w:top w:type="dxa" w:w="60"/>
              <w:left w:type="dxa" w:w="90"/>
              <w:bottom w:type="dxa" w:w="60"/>
              <w:right w:type="dxa" w:w="90"/>
            </w:tcMar>
          </w:tcPr>
          <w:p>
            <w:pPr>
              <w:spacing w:after="0" w:line="240"/>
            </w:pPr>
            <w:r>
              <w:rPr>
                <w:sz w:val="18"/>
                <w:szCs w:val="18"/>
              </w:rPr>
              <w:t xml:space="preserve">5</w:t>
            </w:r>
          </w:p>
        </w:tc>
        <w:tc>
          <w:tcPr>
            <w:tcW w:type="dxa" w:w="1300"/>
            <w:tcMar>
              <w:top w:type="dxa" w:w="60"/>
              <w:left w:type="dxa" w:w="90"/>
              <w:bottom w:type="dxa" w:w="60"/>
              <w:right w:type="dxa" w:w="90"/>
            </w:tcMar>
          </w:tcPr>
          <w:p>
            <w:pPr>
              <w:spacing w:after="0" w:line="240"/>
            </w:pPr>
            <w:r>
              <w:rPr>
                <w:sz w:val="18"/>
                <w:szCs w:val="18"/>
              </w:rPr>
              <w:t xml:space="preserve">0</w:t>
            </w:r>
          </w:p>
        </w:tc>
      </w:tr>
      <w:tr>
        <w:trPr>
          <w:cantSplit/>
          <w:tblHeader w:val="false"/>
        </w:trPr>
        <w:tc>
          <w:tcPr>
            <w:tcW w:type="dxa" w:w="2560"/>
            <w:tcMar>
              <w:top w:type="dxa" w:w="60"/>
              <w:left w:type="dxa" w:w="90"/>
              <w:bottom w:type="dxa" w:w="60"/>
              <w:right w:type="dxa" w:w="90"/>
            </w:tcMar>
          </w:tcPr>
          <w:p>
            <w:pPr>
              <w:spacing w:after="0" w:line="240"/>
            </w:pPr>
            <w:r>
              <w:rPr>
                <w:sz w:val="18"/>
                <w:szCs w:val="18"/>
              </w:rPr>
              <w:t xml:space="preserve">claude-opus-5, without</w:t>
            </w:r>
          </w:p>
        </w:tc>
        <w:tc>
          <w:tcPr>
            <w:tcW w:type="dxa" w:w="700"/>
            <w:tcMar>
              <w:top w:type="dxa" w:w="60"/>
              <w:left w:type="dxa" w:w="90"/>
              <w:bottom w:type="dxa" w:w="60"/>
              <w:right w:type="dxa" w:w="90"/>
            </w:tcMar>
          </w:tcPr>
          <w:p>
            <w:pPr>
              <w:spacing w:after="0" w:line="240"/>
            </w:pPr>
            <w:r>
              <w:rPr>
                <w:sz w:val="18"/>
                <w:szCs w:val="18"/>
              </w:rPr>
              <w:t xml:space="preserve">5</w:t>
            </w:r>
          </w:p>
        </w:tc>
        <w:tc>
          <w:tcPr>
            <w:tcW w:type="dxa" w:w="1000"/>
            <w:tcMar>
              <w:top w:type="dxa" w:w="60"/>
              <w:left w:type="dxa" w:w="90"/>
              <w:bottom w:type="dxa" w:w="60"/>
              <w:right w:type="dxa" w:w="90"/>
            </w:tcMar>
          </w:tcPr>
          <w:p>
            <w:pPr>
              <w:spacing w:after="0" w:line="240"/>
            </w:pPr>
            <w:r>
              <w:rPr>
                <w:sz w:val="18"/>
                <w:szCs w:val="18"/>
              </w:rPr>
              <w:t xml:space="preserve">5</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50"/>
            <w:tcMar>
              <w:top w:type="dxa" w:w="60"/>
              <w:left w:type="dxa" w:w="90"/>
              <w:bottom w:type="dxa" w:w="60"/>
              <w:right w:type="dxa" w:w="90"/>
            </w:tcMar>
          </w:tcPr>
          <w:p>
            <w:pPr>
              <w:spacing w:after="0" w:line="240"/>
            </w:pPr>
            <w:r>
              <w:rPr>
                <w:sz w:val="18"/>
                <w:szCs w:val="18"/>
              </w:rPr>
              <w:t xml:space="preserve">0</w:t>
            </w:r>
          </w:p>
        </w:tc>
        <w:tc>
          <w:tcPr>
            <w:tcW w:type="dxa" w:w="1250"/>
            <w:tcMar>
              <w:top w:type="dxa" w:w="60"/>
              <w:left w:type="dxa" w:w="90"/>
              <w:bottom w:type="dxa" w:w="60"/>
              <w:right w:type="dxa" w:w="90"/>
            </w:tcMar>
          </w:tcPr>
          <w:p>
            <w:pPr>
              <w:spacing w:after="0" w:line="240"/>
            </w:pPr>
            <w:r>
              <w:rPr>
                <w:sz w:val="18"/>
                <w:szCs w:val="18"/>
              </w:rPr>
              <w:t xml:space="preserve">0</w:t>
            </w:r>
          </w:p>
        </w:tc>
        <w:tc>
          <w:tcPr>
            <w:tcW w:type="dxa" w:w="1300"/>
            <w:tcMar>
              <w:top w:type="dxa" w:w="60"/>
              <w:left w:type="dxa" w:w="90"/>
              <w:bottom w:type="dxa" w:w="60"/>
              <w:right w:type="dxa" w:w="90"/>
            </w:tcMar>
          </w:tcPr>
          <w:p>
            <w:pPr>
              <w:spacing w:after="0" w:line="240"/>
            </w:pPr>
            <w:r>
              <w:rPr>
                <w:sz w:val="18"/>
                <w:szCs w:val="18"/>
              </w:rPr>
              <w:t xml:space="preserve">3</w:t>
            </w:r>
          </w:p>
        </w:tc>
      </w:tr>
      <w:tr>
        <w:trPr>
          <w:cantSplit/>
          <w:tblHeader w:val="false"/>
        </w:trPr>
        <w:tc>
          <w:tcPr>
            <w:tcW w:type="dxa" w:w="2560"/>
            <w:tcMar>
              <w:top w:type="dxa" w:w="60"/>
              <w:left w:type="dxa" w:w="90"/>
              <w:bottom w:type="dxa" w:w="60"/>
              <w:right w:type="dxa" w:w="90"/>
            </w:tcMar>
          </w:tcPr>
          <w:p>
            <w:pPr>
              <w:spacing w:after="0" w:line="240"/>
            </w:pPr>
            <w:r>
              <w:rPr>
                <w:sz w:val="18"/>
                <w:szCs w:val="18"/>
              </w:rPr>
              <w:t xml:space="preserve">claude-opus-5, with</w:t>
            </w:r>
          </w:p>
        </w:tc>
        <w:tc>
          <w:tcPr>
            <w:tcW w:type="dxa" w:w="700"/>
            <w:tcMar>
              <w:top w:type="dxa" w:w="60"/>
              <w:left w:type="dxa" w:w="90"/>
              <w:bottom w:type="dxa" w:w="60"/>
              <w:right w:type="dxa" w:w="90"/>
            </w:tcMar>
          </w:tcPr>
          <w:p>
            <w:pPr>
              <w:spacing w:after="0" w:line="240"/>
            </w:pPr>
            <w:r>
              <w:rPr>
                <w:sz w:val="18"/>
                <w:szCs w:val="18"/>
              </w:rPr>
              <w:t xml:space="preserve">5</w:t>
            </w:r>
          </w:p>
        </w:tc>
        <w:tc>
          <w:tcPr>
            <w:tcW w:type="dxa" w:w="1000"/>
            <w:tcMar>
              <w:top w:type="dxa" w:w="60"/>
              <w:left w:type="dxa" w:w="90"/>
              <w:bottom w:type="dxa" w:w="60"/>
              <w:right w:type="dxa" w:w="90"/>
            </w:tcMar>
          </w:tcPr>
          <w:p>
            <w:pPr>
              <w:spacing w:after="0" w:line="240"/>
            </w:pPr>
            <w:r>
              <w:rPr>
                <w:sz w:val="18"/>
                <w:szCs w:val="18"/>
              </w:rPr>
              <w:t xml:space="preserve">5</w:t>
            </w:r>
          </w:p>
        </w:tc>
        <w:tc>
          <w:tcPr>
            <w:tcW w:type="dxa" w:w="1300"/>
            <w:tcMar>
              <w:top w:type="dxa" w:w="60"/>
              <w:left w:type="dxa" w:w="90"/>
              <w:bottom w:type="dxa" w:w="60"/>
              <w:right w:type="dxa" w:w="90"/>
            </w:tcMar>
          </w:tcPr>
          <w:p>
            <w:pPr>
              <w:spacing w:after="0" w:line="240"/>
            </w:pPr>
            <w:r>
              <w:rPr>
                <w:sz w:val="18"/>
                <w:szCs w:val="18"/>
              </w:rPr>
              <w:t xml:space="preserve">5</w:t>
            </w:r>
          </w:p>
        </w:tc>
        <w:tc>
          <w:tcPr>
            <w:tcW w:type="dxa" w:w="1250"/>
            <w:tcMar>
              <w:top w:type="dxa" w:w="60"/>
              <w:left w:type="dxa" w:w="90"/>
              <w:bottom w:type="dxa" w:w="60"/>
              <w:right w:type="dxa" w:w="90"/>
            </w:tcMar>
          </w:tcPr>
          <w:p>
            <w:pPr>
              <w:spacing w:after="0" w:line="240"/>
            </w:pPr>
            <w:r>
              <w:rPr>
                <w:sz w:val="18"/>
                <w:szCs w:val="18"/>
              </w:rPr>
              <w:t xml:space="preserve">5</w:t>
            </w:r>
          </w:p>
        </w:tc>
        <w:tc>
          <w:tcPr>
            <w:tcW w:type="dxa" w:w="1250"/>
            <w:tcMar>
              <w:top w:type="dxa" w:w="60"/>
              <w:left w:type="dxa" w:w="90"/>
              <w:bottom w:type="dxa" w:w="60"/>
              <w:right w:type="dxa" w:w="90"/>
            </w:tcMar>
          </w:tcPr>
          <w:p>
            <w:pPr>
              <w:spacing w:after="0" w:line="240"/>
            </w:pPr>
            <w:r>
              <w:rPr>
                <w:sz w:val="18"/>
                <w:szCs w:val="18"/>
              </w:rPr>
              <w:t xml:space="preserve">5</w:t>
            </w:r>
          </w:p>
        </w:tc>
        <w:tc>
          <w:tcPr>
            <w:tcW w:type="dxa" w:w="1300"/>
            <w:tcMar>
              <w:top w:type="dxa" w:w="60"/>
              <w:left w:type="dxa" w:w="90"/>
              <w:bottom w:type="dxa" w:w="60"/>
              <w:right w:type="dxa" w:w="90"/>
            </w:tcMar>
          </w:tcPr>
          <w:p>
            <w:pPr>
              <w:spacing w:after="0" w:line="240"/>
            </w:pPr>
            <w:r>
              <w:rPr>
                <w:sz w:val="18"/>
                <w:szCs w:val="18"/>
              </w:rPr>
              <w:t xml:space="preserve">3</w:t>
            </w:r>
          </w:p>
        </w:tc>
      </w:tr>
      <w:tr>
        <w:trPr>
          <w:cantSplit/>
          <w:tblHeader w:val="false"/>
        </w:trPr>
        <w:tc>
          <w:tcPr>
            <w:tcW w:type="dxa" w:w="2560"/>
            <w:tcMar>
              <w:top w:type="dxa" w:w="60"/>
              <w:left w:type="dxa" w:w="90"/>
              <w:bottom w:type="dxa" w:w="60"/>
              <w:right w:type="dxa" w:w="90"/>
            </w:tcMar>
          </w:tcPr>
          <w:p>
            <w:pPr>
              <w:spacing w:after="0" w:line="240"/>
            </w:pPr>
            <w:r>
              <w:rPr>
                <w:sz w:val="18"/>
                <w:szCs w:val="18"/>
              </w:rPr>
              <w:t xml:space="preserve">qwen2.5:7b, without</w:t>
            </w:r>
          </w:p>
        </w:tc>
        <w:tc>
          <w:tcPr>
            <w:tcW w:type="dxa" w:w="700"/>
            <w:tcMar>
              <w:top w:type="dxa" w:w="60"/>
              <w:left w:type="dxa" w:w="90"/>
              <w:bottom w:type="dxa" w:w="60"/>
              <w:right w:type="dxa" w:w="90"/>
            </w:tcMar>
          </w:tcPr>
          <w:p>
            <w:pPr>
              <w:spacing w:after="0" w:line="240"/>
            </w:pPr>
            <w:r>
              <w:rPr>
                <w:sz w:val="18"/>
                <w:szCs w:val="18"/>
              </w:rPr>
              <w:t xml:space="preserve">5</w:t>
            </w:r>
          </w:p>
        </w:tc>
        <w:tc>
          <w:tcPr>
            <w:tcW w:type="dxa" w:w="1000"/>
            <w:tcMar>
              <w:top w:type="dxa" w:w="60"/>
              <w:left w:type="dxa" w:w="90"/>
              <w:bottom w:type="dxa" w:w="60"/>
              <w:right w:type="dxa" w:w="90"/>
            </w:tcMar>
          </w:tcPr>
          <w:p>
            <w:pPr>
              <w:spacing w:after="0" w:line="240"/>
            </w:pPr>
            <w:r>
              <w:rPr>
                <w:sz w:val="18"/>
                <w:szCs w:val="18"/>
              </w:rPr>
              <w:t xml:space="preserve">5</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50"/>
            <w:tcMar>
              <w:top w:type="dxa" w:w="60"/>
              <w:left w:type="dxa" w:w="90"/>
              <w:bottom w:type="dxa" w:w="60"/>
              <w:right w:type="dxa" w:w="90"/>
            </w:tcMar>
          </w:tcPr>
          <w:p>
            <w:pPr>
              <w:spacing w:after="0" w:line="240"/>
            </w:pPr>
            <w:r>
              <w:rPr>
                <w:sz w:val="18"/>
                <w:szCs w:val="18"/>
              </w:rPr>
              <w:t xml:space="preserve">0</w:t>
            </w:r>
          </w:p>
        </w:tc>
        <w:tc>
          <w:tcPr>
            <w:tcW w:type="dxa" w:w="1250"/>
            <w:tcMar>
              <w:top w:type="dxa" w:w="60"/>
              <w:left w:type="dxa" w:w="90"/>
              <w:bottom w:type="dxa" w:w="60"/>
              <w:right w:type="dxa" w:w="90"/>
            </w:tcMar>
          </w:tcPr>
          <w:p>
            <w:pPr>
              <w:spacing w:after="0" w:line="240"/>
            </w:pPr>
            <w:r>
              <w:rPr>
                <w:sz w:val="18"/>
                <w:szCs w:val="18"/>
              </w:rPr>
              <w:t xml:space="preserve">0</w:t>
            </w:r>
          </w:p>
        </w:tc>
        <w:tc>
          <w:tcPr>
            <w:tcW w:type="dxa" w:w="1300"/>
            <w:tcMar>
              <w:top w:type="dxa" w:w="60"/>
              <w:left w:type="dxa" w:w="90"/>
              <w:bottom w:type="dxa" w:w="60"/>
              <w:right w:type="dxa" w:w="90"/>
            </w:tcMar>
          </w:tcPr>
          <w:p>
            <w:pPr>
              <w:spacing w:after="0" w:line="240"/>
            </w:pPr>
            <w:r>
              <w:rPr>
                <w:sz w:val="18"/>
                <w:szCs w:val="18"/>
              </w:rPr>
              <w:t xml:space="preserve">2</w:t>
            </w:r>
          </w:p>
        </w:tc>
      </w:tr>
      <w:tr>
        <w:trPr>
          <w:cantSplit/>
          <w:tblHeader w:val="false"/>
        </w:trPr>
        <w:tc>
          <w:tcPr>
            <w:tcW w:type="dxa" w:w="2560"/>
            <w:tcMar>
              <w:top w:type="dxa" w:w="60"/>
              <w:left w:type="dxa" w:w="90"/>
              <w:bottom w:type="dxa" w:w="60"/>
              <w:right w:type="dxa" w:w="90"/>
            </w:tcMar>
          </w:tcPr>
          <w:p>
            <w:pPr>
              <w:spacing w:after="0" w:line="240"/>
            </w:pPr>
            <w:r>
              <w:rPr>
                <w:sz w:val="18"/>
                <w:szCs w:val="18"/>
              </w:rPr>
              <w:t xml:space="preserve">qwen2.5:7b, with</w:t>
            </w:r>
          </w:p>
        </w:tc>
        <w:tc>
          <w:tcPr>
            <w:tcW w:type="dxa" w:w="700"/>
            <w:tcMar>
              <w:top w:type="dxa" w:w="60"/>
              <w:left w:type="dxa" w:w="90"/>
              <w:bottom w:type="dxa" w:w="60"/>
              <w:right w:type="dxa" w:w="90"/>
            </w:tcMar>
          </w:tcPr>
          <w:p>
            <w:pPr>
              <w:spacing w:after="0" w:line="240"/>
            </w:pPr>
            <w:r>
              <w:rPr>
                <w:sz w:val="18"/>
                <w:szCs w:val="18"/>
              </w:rPr>
              <w:t xml:space="preserve">5</w:t>
            </w:r>
          </w:p>
        </w:tc>
        <w:tc>
          <w:tcPr>
            <w:tcW w:type="dxa" w:w="1000"/>
            <w:tcMar>
              <w:top w:type="dxa" w:w="60"/>
              <w:left w:type="dxa" w:w="90"/>
              <w:bottom w:type="dxa" w:w="60"/>
              <w:right w:type="dxa" w:w="90"/>
            </w:tcMar>
          </w:tcPr>
          <w:p>
            <w:pPr>
              <w:spacing w:after="0" w:line="240"/>
            </w:pPr>
            <w:r>
              <w:rPr>
                <w:sz w:val="18"/>
                <w:szCs w:val="18"/>
              </w:rPr>
              <w:t xml:space="preserve">5</w:t>
            </w:r>
          </w:p>
        </w:tc>
        <w:tc>
          <w:tcPr>
            <w:tcW w:type="dxa" w:w="1300"/>
            <w:tcMar>
              <w:top w:type="dxa" w:w="60"/>
              <w:left w:type="dxa" w:w="90"/>
              <w:bottom w:type="dxa" w:w="60"/>
              <w:right w:type="dxa" w:w="90"/>
            </w:tcMar>
          </w:tcPr>
          <w:p>
            <w:pPr>
              <w:spacing w:after="0" w:line="240"/>
            </w:pPr>
            <w:r>
              <w:rPr>
                <w:sz w:val="18"/>
                <w:szCs w:val="18"/>
              </w:rPr>
              <w:t xml:space="preserve">4</w:t>
            </w:r>
          </w:p>
        </w:tc>
        <w:tc>
          <w:tcPr>
            <w:tcW w:type="dxa" w:w="1250"/>
            <w:tcMar>
              <w:top w:type="dxa" w:w="60"/>
              <w:left w:type="dxa" w:w="90"/>
              <w:bottom w:type="dxa" w:w="60"/>
              <w:right w:type="dxa" w:w="90"/>
            </w:tcMar>
          </w:tcPr>
          <w:p>
            <w:pPr>
              <w:spacing w:after="0" w:line="240"/>
            </w:pPr>
            <w:r>
              <w:rPr>
                <w:sz w:val="18"/>
                <w:szCs w:val="18"/>
              </w:rPr>
              <w:t xml:space="preserve">0</w:t>
            </w:r>
          </w:p>
        </w:tc>
        <w:tc>
          <w:tcPr>
            <w:tcW w:type="dxa" w:w="1250"/>
            <w:tcMar>
              <w:top w:type="dxa" w:w="60"/>
              <w:left w:type="dxa" w:w="90"/>
              <w:bottom w:type="dxa" w:w="60"/>
              <w:right w:type="dxa" w:w="90"/>
            </w:tcMar>
          </w:tcPr>
          <w:p>
            <w:pPr>
              <w:spacing w:after="0" w:line="240"/>
            </w:pPr>
            <w:r>
              <w:rPr>
                <w:sz w:val="18"/>
                <w:szCs w:val="18"/>
              </w:rPr>
              <w:t xml:space="preserve">0</w:t>
            </w:r>
          </w:p>
        </w:tc>
        <w:tc>
          <w:tcPr>
            <w:tcW w:type="dxa" w:w="1300"/>
            <w:tcMar>
              <w:top w:type="dxa" w:w="60"/>
              <w:left w:type="dxa" w:w="90"/>
              <w:bottom w:type="dxa" w:w="60"/>
              <w:right w:type="dxa" w:w="90"/>
            </w:tcMar>
          </w:tcPr>
          <w:p>
            <w:pPr>
              <w:spacing w:after="0" w:line="240"/>
            </w:pPr>
            <w:r>
              <w:rPr>
                <w:sz w:val="18"/>
                <w:szCs w:val="18"/>
              </w:rPr>
              <w:t xml:space="preserve">2</w:t>
            </w:r>
          </w:p>
        </w:tc>
      </w:tr>
      <w:tr>
        <w:trPr>
          <w:cantSplit/>
          <w:tblHeader w:val="false"/>
        </w:trPr>
        <w:tc>
          <w:tcPr>
            <w:tcW w:type="dxa" w:w="2560"/>
            <w:tcMar>
              <w:top w:type="dxa" w:w="60"/>
              <w:left w:type="dxa" w:w="90"/>
              <w:bottom w:type="dxa" w:w="60"/>
              <w:right w:type="dxa" w:w="90"/>
            </w:tcMar>
          </w:tcPr>
          <w:p>
            <w:pPr>
              <w:spacing w:after="0" w:line="240"/>
            </w:pPr>
            <w:r>
              <w:rPr>
                <w:sz w:val="18"/>
                <w:szCs w:val="18"/>
              </w:rPr>
              <w:t xml:space="preserve">qwen3.5:4b, without</w:t>
            </w:r>
          </w:p>
        </w:tc>
        <w:tc>
          <w:tcPr>
            <w:tcW w:type="dxa" w:w="700"/>
            <w:tcMar>
              <w:top w:type="dxa" w:w="60"/>
              <w:left w:type="dxa" w:w="90"/>
              <w:bottom w:type="dxa" w:w="60"/>
              <w:right w:type="dxa" w:w="90"/>
            </w:tcMar>
          </w:tcPr>
          <w:p>
            <w:pPr>
              <w:spacing w:after="0" w:line="240"/>
            </w:pPr>
            <w:r>
              <w:rPr>
                <w:sz w:val="18"/>
                <w:szCs w:val="18"/>
              </w:rPr>
              <w:t xml:space="preserve">5</w:t>
            </w:r>
          </w:p>
        </w:tc>
        <w:tc>
          <w:tcPr>
            <w:tcW w:type="dxa" w:w="1000"/>
            <w:tcMar>
              <w:top w:type="dxa" w:w="60"/>
              <w:left w:type="dxa" w:w="90"/>
              <w:bottom w:type="dxa" w:w="60"/>
              <w:right w:type="dxa" w:w="90"/>
            </w:tcMar>
          </w:tcPr>
          <w:p>
            <w:pPr>
              <w:spacing w:after="0" w:line="240"/>
            </w:pPr>
            <w:r>
              <w:rPr>
                <w:sz w:val="18"/>
                <w:szCs w:val="18"/>
              </w:rPr>
              <w:t xml:space="preserve">4</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50"/>
            <w:tcMar>
              <w:top w:type="dxa" w:w="60"/>
              <w:left w:type="dxa" w:w="90"/>
              <w:bottom w:type="dxa" w:w="60"/>
              <w:right w:type="dxa" w:w="90"/>
            </w:tcMar>
          </w:tcPr>
          <w:p>
            <w:pPr>
              <w:spacing w:after="0" w:line="240"/>
            </w:pPr>
            <w:r>
              <w:rPr>
                <w:sz w:val="18"/>
                <w:szCs w:val="18"/>
              </w:rPr>
              <w:t xml:space="preserve">0</w:t>
            </w:r>
          </w:p>
        </w:tc>
        <w:tc>
          <w:tcPr>
            <w:tcW w:type="dxa" w:w="1250"/>
            <w:tcMar>
              <w:top w:type="dxa" w:w="60"/>
              <w:left w:type="dxa" w:w="90"/>
              <w:bottom w:type="dxa" w:w="60"/>
              <w:right w:type="dxa" w:w="90"/>
            </w:tcMar>
          </w:tcPr>
          <w:p>
            <w:pPr>
              <w:spacing w:after="0" w:line="240"/>
            </w:pPr>
            <w:r>
              <w:rPr>
                <w:sz w:val="18"/>
                <w:szCs w:val="18"/>
              </w:rPr>
              <w:t xml:space="preserve">0</w:t>
            </w:r>
          </w:p>
        </w:tc>
        <w:tc>
          <w:tcPr>
            <w:tcW w:type="dxa" w:w="1300"/>
            <w:tcMar>
              <w:top w:type="dxa" w:w="60"/>
              <w:left w:type="dxa" w:w="90"/>
              <w:bottom w:type="dxa" w:w="60"/>
              <w:right w:type="dxa" w:w="90"/>
            </w:tcMar>
          </w:tcPr>
          <w:p>
            <w:pPr>
              <w:spacing w:after="0" w:line="240"/>
            </w:pPr>
            <w:r>
              <w:rPr>
                <w:sz w:val="18"/>
                <w:szCs w:val="18"/>
              </w:rPr>
              <w:t xml:space="preserve">4</w:t>
            </w:r>
          </w:p>
        </w:tc>
      </w:tr>
      <w:tr>
        <w:trPr>
          <w:cantSplit/>
          <w:tblHeader w:val="false"/>
        </w:trPr>
        <w:tc>
          <w:tcPr>
            <w:tcW w:type="dxa" w:w="2560"/>
            <w:tcMar>
              <w:top w:type="dxa" w:w="60"/>
              <w:left w:type="dxa" w:w="90"/>
              <w:bottom w:type="dxa" w:w="60"/>
              <w:right w:type="dxa" w:w="90"/>
            </w:tcMar>
          </w:tcPr>
          <w:p>
            <w:pPr>
              <w:spacing w:after="0" w:line="240"/>
            </w:pPr>
            <w:r>
              <w:rPr>
                <w:sz w:val="18"/>
                <w:szCs w:val="18"/>
              </w:rPr>
              <w:t xml:space="preserve">qwen3.5:4b, with</w:t>
            </w:r>
          </w:p>
        </w:tc>
        <w:tc>
          <w:tcPr>
            <w:tcW w:type="dxa" w:w="700"/>
            <w:tcMar>
              <w:top w:type="dxa" w:w="60"/>
              <w:left w:type="dxa" w:w="90"/>
              <w:bottom w:type="dxa" w:w="60"/>
              <w:right w:type="dxa" w:w="90"/>
            </w:tcMar>
          </w:tcPr>
          <w:p>
            <w:pPr>
              <w:spacing w:after="0" w:line="240"/>
            </w:pPr>
            <w:r>
              <w:rPr>
                <w:sz w:val="18"/>
                <w:szCs w:val="18"/>
              </w:rPr>
              <w:t xml:space="preserve">5</w:t>
            </w:r>
          </w:p>
        </w:tc>
        <w:tc>
          <w:tcPr>
            <w:tcW w:type="dxa" w:w="1000"/>
            <w:tcMar>
              <w:top w:type="dxa" w:w="60"/>
              <w:left w:type="dxa" w:w="90"/>
              <w:bottom w:type="dxa" w:w="60"/>
              <w:right w:type="dxa" w:w="90"/>
            </w:tcMar>
          </w:tcPr>
          <w:p>
            <w:pPr>
              <w:spacing w:after="0" w:line="240"/>
            </w:pPr>
            <w:r>
              <w:rPr>
                <w:sz w:val="18"/>
                <w:szCs w:val="18"/>
              </w:rPr>
              <w:t xml:space="preserve">5</w:t>
            </w:r>
          </w:p>
        </w:tc>
        <w:tc>
          <w:tcPr>
            <w:tcW w:type="dxa" w:w="1300"/>
            <w:tcMar>
              <w:top w:type="dxa" w:w="60"/>
              <w:left w:type="dxa" w:w="90"/>
              <w:bottom w:type="dxa" w:w="60"/>
              <w:right w:type="dxa" w:w="90"/>
            </w:tcMar>
          </w:tcPr>
          <w:p>
            <w:pPr>
              <w:spacing w:after="0" w:line="240"/>
            </w:pPr>
            <w:r>
              <w:rPr>
                <w:sz w:val="18"/>
                <w:szCs w:val="18"/>
              </w:rPr>
              <w:t xml:space="preserve">3</w:t>
            </w:r>
          </w:p>
        </w:tc>
        <w:tc>
          <w:tcPr>
            <w:tcW w:type="dxa" w:w="1250"/>
            <w:tcMar>
              <w:top w:type="dxa" w:w="60"/>
              <w:left w:type="dxa" w:w="90"/>
              <w:bottom w:type="dxa" w:w="60"/>
              <w:right w:type="dxa" w:w="90"/>
            </w:tcMar>
          </w:tcPr>
          <w:p>
            <w:pPr>
              <w:spacing w:after="0" w:line="240"/>
            </w:pPr>
            <w:r>
              <w:rPr>
                <w:sz w:val="18"/>
                <w:szCs w:val="18"/>
              </w:rPr>
              <w:t xml:space="preserve">2</w:t>
            </w:r>
          </w:p>
        </w:tc>
        <w:tc>
          <w:tcPr>
            <w:tcW w:type="dxa" w:w="1250"/>
            <w:tcMar>
              <w:top w:type="dxa" w:w="60"/>
              <w:left w:type="dxa" w:w="90"/>
              <w:bottom w:type="dxa" w:w="60"/>
              <w:right w:type="dxa" w:w="90"/>
            </w:tcMar>
          </w:tcPr>
          <w:p>
            <w:pPr>
              <w:spacing w:after="0" w:line="240"/>
            </w:pPr>
            <w:r>
              <w:rPr>
                <w:sz w:val="18"/>
                <w:szCs w:val="18"/>
              </w:rPr>
              <w:t xml:space="preserve">2</w:t>
            </w:r>
          </w:p>
        </w:tc>
        <w:tc>
          <w:tcPr>
            <w:tcW w:type="dxa" w:w="1300"/>
            <w:tcMar>
              <w:top w:type="dxa" w:w="60"/>
              <w:left w:type="dxa" w:w="90"/>
              <w:bottom w:type="dxa" w:w="60"/>
              <w:right w:type="dxa" w:w="90"/>
            </w:tcMar>
          </w:tcPr>
          <w:p>
            <w:pPr>
              <w:spacing w:after="0" w:line="240"/>
            </w:pPr>
            <w:r>
              <w:rPr>
                <w:sz w:val="18"/>
                <w:szCs w:val="18"/>
              </w:rPr>
              <w:t xml:space="preserve">5</w:t>
            </w:r>
          </w:p>
        </w:tc>
      </w:tr>
      <w:tr>
        <w:trPr>
          <w:cantSplit/>
          <w:tblHeader w:val="false"/>
        </w:trPr>
        <w:tc>
          <w:tcPr>
            <w:tcW w:type="dxa" w:w="2560"/>
            <w:tcMar>
              <w:top w:type="dxa" w:w="60"/>
              <w:left w:type="dxa" w:w="90"/>
              <w:bottom w:type="dxa" w:w="60"/>
              <w:right w:type="dxa" w:w="90"/>
            </w:tcMar>
          </w:tcPr>
          <w:p>
            <w:pPr>
              <w:spacing w:after="0" w:line="240"/>
            </w:pPr>
            <w:r>
              <w:rPr>
                <w:sz w:val="18"/>
                <w:szCs w:val="18"/>
              </w:rPr>
              <w:t xml:space="preserve">qwen2.5:7b, without, 15 runs</w:t>
            </w:r>
          </w:p>
        </w:tc>
        <w:tc>
          <w:tcPr>
            <w:tcW w:type="dxa" w:w="700"/>
            <w:tcMar>
              <w:top w:type="dxa" w:w="60"/>
              <w:left w:type="dxa" w:w="90"/>
              <w:bottom w:type="dxa" w:w="60"/>
              <w:right w:type="dxa" w:w="90"/>
            </w:tcMar>
          </w:tcPr>
          <w:p>
            <w:pPr>
              <w:spacing w:after="0" w:line="240"/>
            </w:pPr>
            <w:r>
              <w:rPr>
                <w:sz w:val="18"/>
                <w:szCs w:val="18"/>
              </w:rPr>
              <w:t xml:space="preserve">15</w:t>
            </w:r>
          </w:p>
        </w:tc>
        <w:tc>
          <w:tcPr>
            <w:tcW w:type="dxa" w:w="1000"/>
            <w:tcMar>
              <w:top w:type="dxa" w:w="60"/>
              <w:left w:type="dxa" w:w="90"/>
              <w:bottom w:type="dxa" w:w="60"/>
              <w:right w:type="dxa" w:w="90"/>
            </w:tcMar>
          </w:tcPr>
          <w:p>
            <w:pPr>
              <w:spacing w:after="0" w:line="240"/>
            </w:pPr>
            <w:r>
              <w:rPr>
                <w:sz w:val="18"/>
                <w:szCs w:val="18"/>
              </w:rPr>
              <w:t xml:space="preserve">15</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50"/>
            <w:tcMar>
              <w:top w:type="dxa" w:w="60"/>
              <w:left w:type="dxa" w:w="90"/>
              <w:bottom w:type="dxa" w:w="60"/>
              <w:right w:type="dxa" w:w="90"/>
            </w:tcMar>
          </w:tcPr>
          <w:p>
            <w:pPr>
              <w:spacing w:after="0" w:line="240"/>
            </w:pPr>
            <w:r>
              <w:rPr>
                <w:sz w:val="18"/>
                <w:szCs w:val="18"/>
              </w:rPr>
              <w:t xml:space="preserve">0</w:t>
            </w:r>
          </w:p>
        </w:tc>
        <w:tc>
          <w:tcPr>
            <w:tcW w:type="dxa" w:w="1250"/>
            <w:tcMar>
              <w:top w:type="dxa" w:w="60"/>
              <w:left w:type="dxa" w:w="90"/>
              <w:bottom w:type="dxa" w:w="60"/>
              <w:right w:type="dxa" w:w="90"/>
            </w:tcMar>
          </w:tcPr>
          <w:p>
            <w:pPr>
              <w:spacing w:after="0" w:line="240"/>
            </w:pPr>
            <w:r>
              <w:rPr>
                <w:sz w:val="18"/>
                <w:szCs w:val="18"/>
              </w:rPr>
              <w:t xml:space="preserve">0</w:t>
            </w:r>
          </w:p>
        </w:tc>
        <w:tc>
          <w:tcPr>
            <w:tcW w:type="dxa" w:w="1300"/>
            <w:tcMar>
              <w:top w:type="dxa" w:w="60"/>
              <w:left w:type="dxa" w:w="90"/>
              <w:bottom w:type="dxa" w:w="60"/>
              <w:right w:type="dxa" w:w="90"/>
            </w:tcMar>
          </w:tcPr>
          <w:p>
            <w:pPr>
              <w:spacing w:after="0" w:line="240"/>
            </w:pPr>
            <w:r>
              <w:rPr>
                <w:sz w:val="18"/>
                <w:szCs w:val="18"/>
              </w:rPr>
              <w:t xml:space="preserve">7</w:t>
            </w:r>
          </w:p>
        </w:tc>
      </w:tr>
      <w:tr>
        <w:trPr>
          <w:cantSplit/>
          <w:tblHeader w:val="false"/>
        </w:trPr>
        <w:tc>
          <w:tcPr>
            <w:tcW w:type="dxa" w:w="2560"/>
            <w:tcMar>
              <w:top w:type="dxa" w:w="60"/>
              <w:left w:type="dxa" w:w="90"/>
              <w:bottom w:type="dxa" w:w="60"/>
              <w:right w:type="dxa" w:w="90"/>
            </w:tcMar>
          </w:tcPr>
          <w:p>
            <w:pPr>
              <w:spacing w:after="0" w:line="240"/>
            </w:pPr>
            <w:r>
              <w:rPr>
                <w:sz w:val="18"/>
                <w:szCs w:val="18"/>
              </w:rPr>
              <w:t xml:space="preserve">qwen2.5:7b, with, 15 runs</w:t>
            </w:r>
          </w:p>
        </w:tc>
        <w:tc>
          <w:tcPr>
            <w:tcW w:type="dxa" w:w="700"/>
            <w:tcMar>
              <w:top w:type="dxa" w:w="60"/>
              <w:left w:type="dxa" w:w="90"/>
              <w:bottom w:type="dxa" w:w="60"/>
              <w:right w:type="dxa" w:w="90"/>
            </w:tcMar>
          </w:tcPr>
          <w:p>
            <w:pPr>
              <w:spacing w:after="0" w:line="240"/>
            </w:pPr>
            <w:r>
              <w:rPr>
                <w:sz w:val="18"/>
                <w:szCs w:val="18"/>
              </w:rPr>
              <w:t xml:space="preserve">15</w:t>
            </w:r>
          </w:p>
        </w:tc>
        <w:tc>
          <w:tcPr>
            <w:tcW w:type="dxa" w:w="1000"/>
            <w:tcMar>
              <w:top w:type="dxa" w:w="60"/>
              <w:left w:type="dxa" w:w="90"/>
              <w:bottom w:type="dxa" w:w="60"/>
              <w:right w:type="dxa" w:w="90"/>
            </w:tcMar>
          </w:tcPr>
          <w:p>
            <w:pPr>
              <w:spacing w:after="0" w:line="240"/>
            </w:pPr>
            <w:r>
              <w:rPr>
                <w:sz w:val="18"/>
                <w:szCs w:val="18"/>
              </w:rPr>
              <w:t xml:space="preserve">15</w:t>
            </w:r>
          </w:p>
        </w:tc>
        <w:tc>
          <w:tcPr>
            <w:tcW w:type="dxa" w:w="1300"/>
            <w:tcMar>
              <w:top w:type="dxa" w:w="60"/>
              <w:left w:type="dxa" w:w="90"/>
              <w:bottom w:type="dxa" w:w="60"/>
              <w:right w:type="dxa" w:w="90"/>
            </w:tcMar>
          </w:tcPr>
          <w:p>
            <w:pPr>
              <w:spacing w:after="0" w:line="240"/>
            </w:pPr>
            <w:r>
              <w:rPr>
                <w:sz w:val="18"/>
                <w:szCs w:val="18"/>
              </w:rPr>
              <w:t xml:space="preserve">11</w:t>
            </w:r>
          </w:p>
        </w:tc>
        <w:tc>
          <w:tcPr>
            <w:tcW w:type="dxa" w:w="1250"/>
            <w:tcMar>
              <w:top w:type="dxa" w:w="60"/>
              <w:left w:type="dxa" w:w="90"/>
              <w:bottom w:type="dxa" w:w="60"/>
              <w:right w:type="dxa" w:w="90"/>
            </w:tcMar>
          </w:tcPr>
          <w:p>
            <w:pPr>
              <w:spacing w:after="0" w:line="240"/>
            </w:pPr>
            <w:r>
              <w:rPr>
                <w:sz w:val="18"/>
                <w:szCs w:val="18"/>
              </w:rPr>
              <w:t xml:space="preserve">3</w:t>
            </w:r>
          </w:p>
        </w:tc>
        <w:tc>
          <w:tcPr>
            <w:tcW w:type="dxa" w:w="1250"/>
            <w:tcMar>
              <w:top w:type="dxa" w:w="60"/>
              <w:left w:type="dxa" w:w="90"/>
              <w:bottom w:type="dxa" w:w="60"/>
              <w:right w:type="dxa" w:w="90"/>
            </w:tcMar>
          </w:tcPr>
          <w:p>
            <w:pPr>
              <w:spacing w:after="0" w:line="240"/>
            </w:pPr>
            <w:r>
              <w:rPr>
                <w:sz w:val="18"/>
                <w:szCs w:val="18"/>
              </w:rPr>
              <w:t xml:space="preserve">0</w:t>
            </w:r>
          </w:p>
        </w:tc>
        <w:tc>
          <w:tcPr>
            <w:tcW w:type="dxa" w:w="1300"/>
            <w:tcMar>
              <w:top w:type="dxa" w:w="60"/>
              <w:left w:type="dxa" w:w="90"/>
              <w:bottom w:type="dxa" w:w="60"/>
              <w:right w:type="dxa" w:w="90"/>
            </w:tcMar>
          </w:tcPr>
          <w:p>
            <w:pPr>
              <w:spacing w:after="0" w:line="240"/>
            </w:pPr>
            <w:r>
              <w:rPr>
                <w:sz w:val="18"/>
                <w:szCs w:val="18"/>
              </w:rPr>
              <w:t xml:space="preserve">7</w:t>
            </w:r>
          </w:p>
        </w:tc>
      </w:tr>
      <w:tr>
        <w:trPr>
          <w:cantSplit/>
          <w:tblHeader w:val="false"/>
        </w:trPr>
        <w:tc>
          <w:tcPr>
            <w:tcW w:type="dxa" w:w="2560"/>
            <w:tcMar>
              <w:top w:type="dxa" w:w="60"/>
              <w:left w:type="dxa" w:w="90"/>
              <w:bottom w:type="dxa" w:w="60"/>
              <w:right w:type="dxa" w:w="90"/>
            </w:tcMar>
          </w:tcPr>
          <w:p>
            <w:pPr>
              <w:spacing w:after="0" w:line="240"/>
            </w:pPr>
            <w:r>
              <w:rPr>
                <w:sz w:val="18"/>
                <w:szCs w:val="18"/>
              </w:rPr>
              <w:t xml:space="preserve">qwen3.5:4b, without, 15 runs</w:t>
            </w:r>
          </w:p>
        </w:tc>
        <w:tc>
          <w:tcPr>
            <w:tcW w:type="dxa" w:w="700"/>
            <w:tcMar>
              <w:top w:type="dxa" w:w="60"/>
              <w:left w:type="dxa" w:w="90"/>
              <w:bottom w:type="dxa" w:w="60"/>
              <w:right w:type="dxa" w:w="90"/>
            </w:tcMar>
          </w:tcPr>
          <w:p>
            <w:pPr>
              <w:spacing w:after="0" w:line="240"/>
            </w:pPr>
            <w:r>
              <w:rPr>
                <w:sz w:val="18"/>
                <w:szCs w:val="18"/>
              </w:rPr>
              <w:t xml:space="preserve">15</w:t>
            </w:r>
          </w:p>
        </w:tc>
        <w:tc>
          <w:tcPr>
            <w:tcW w:type="dxa" w:w="1000"/>
            <w:tcMar>
              <w:top w:type="dxa" w:w="60"/>
              <w:left w:type="dxa" w:w="90"/>
              <w:bottom w:type="dxa" w:w="60"/>
              <w:right w:type="dxa" w:w="90"/>
            </w:tcMar>
          </w:tcPr>
          <w:p>
            <w:pPr>
              <w:spacing w:after="0" w:line="240"/>
            </w:pPr>
            <w:r>
              <w:rPr>
                <w:sz w:val="18"/>
                <w:szCs w:val="18"/>
              </w:rPr>
              <w:t xml:space="preserve">13</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50"/>
            <w:tcMar>
              <w:top w:type="dxa" w:w="60"/>
              <w:left w:type="dxa" w:w="90"/>
              <w:bottom w:type="dxa" w:w="60"/>
              <w:right w:type="dxa" w:w="90"/>
            </w:tcMar>
          </w:tcPr>
          <w:p>
            <w:pPr>
              <w:spacing w:after="0" w:line="240"/>
            </w:pPr>
            <w:r>
              <w:rPr>
                <w:sz w:val="18"/>
                <w:szCs w:val="18"/>
              </w:rPr>
              <w:t xml:space="preserve">0</w:t>
            </w:r>
          </w:p>
        </w:tc>
        <w:tc>
          <w:tcPr>
            <w:tcW w:type="dxa" w:w="1250"/>
            <w:tcMar>
              <w:top w:type="dxa" w:w="60"/>
              <w:left w:type="dxa" w:w="90"/>
              <w:bottom w:type="dxa" w:w="60"/>
              <w:right w:type="dxa" w:w="90"/>
            </w:tcMar>
          </w:tcPr>
          <w:p>
            <w:pPr>
              <w:spacing w:after="0" w:line="240"/>
            </w:pPr>
            <w:r>
              <w:rPr>
                <w:sz w:val="18"/>
                <w:szCs w:val="18"/>
              </w:rPr>
              <w:t xml:space="preserve">0</w:t>
            </w:r>
          </w:p>
        </w:tc>
        <w:tc>
          <w:tcPr>
            <w:tcW w:type="dxa" w:w="1300"/>
            <w:tcMar>
              <w:top w:type="dxa" w:w="60"/>
              <w:left w:type="dxa" w:w="90"/>
              <w:bottom w:type="dxa" w:w="60"/>
              <w:right w:type="dxa" w:w="90"/>
            </w:tcMar>
          </w:tcPr>
          <w:p>
            <w:pPr>
              <w:spacing w:after="0" w:line="240"/>
            </w:pPr>
            <w:r>
              <w:rPr>
                <w:sz w:val="18"/>
                <w:szCs w:val="18"/>
              </w:rPr>
              <w:t xml:space="preserve">13</w:t>
            </w:r>
          </w:p>
        </w:tc>
      </w:tr>
      <w:tr>
        <w:trPr>
          <w:cantSplit/>
          <w:tblHeader w:val="false"/>
        </w:trPr>
        <w:tc>
          <w:tcPr>
            <w:tcW w:type="dxa" w:w="2560"/>
            <w:tcMar>
              <w:top w:type="dxa" w:w="60"/>
              <w:left w:type="dxa" w:w="90"/>
              <w:bottom w:type="dxa" w:w="60"/>
              <w:right w:type="dxa" w:w="90"/>
            </w:tcMar>
          </w:tcPr>
          <w:p>
            <w:pPr>
              <w:spacing w:after="0" w:line="240"/>
            </w:pPr>
            <w:r>
              <w:rPr>
                <w:sz w:val="18"/>
                <w:szCs w:val="18"/>
              </w:rPr>
              <w:t xml:space="preserve">qwen3.5:4b, with, 15 runs</w:t>
            </w:r>
          </w:p>
        </w:tc>
        <w:tc>
          <w:tcPr>
            <w:tcW w:type="dxa" w:w="700"/>
            <w:tcMar>
              <w:top w:type="dxa" w:w="60"/>
              <w:left w:type="dxa" w:w="90"/>
              <w:bottom w:type="dxa" w:w="60"/>
              <w:right w:type="dxa" w:w="90"/>
            </w:tcMar>
          </w:tcPr>
          <w:p>
            <w:pPr>
              <w:spacing w:after="0" w:line="240"/>
            </w:pPr>
            <w:r>
              <w:rPr>
                <w:sz w:val="18"/>
                <w:szCs w:val="18"/>
              </w:rPr>
              <w:t xml:space="preserve">15</w:t>
            </w:r>
          </w:p>
        </w:tc>
        <w:tc>
          <w:tcPr>
            <w:tcW w:type="dxa" w:w="1000"/>
            <w:tcMar>
              <w:top w:type="dxa" w:w="60"/>
              <w:left w:type="dxa" w:w="90"/>
              <w:bottom w:type="dxa" w:w="60"/>
              <w:right w:type="dxa" w:w="90"/>
            </w:tcMar>
          </w:tcPr>
          <w:p>
            <w:pPr>
              <w:spacing w:after="0" w:line="240"/>
            </w:pPr>
            <w:r>
              <w:rPr>
                <w:sz w:val="18"/>
                <w:szCs w:val="18"/>
              </w:rPr>
              <w:t xml:space="preserve">13</w:t>
            </w:r>
          </w:p>
        </w:tc>
        <w:tc>
          <w:tcPr>
            <w:tcW w:type="dxa" w:w="1300"/>
            <w:tcMar>
              <w:top w:type="dxa" w:w="60"/>
              <w:left w:type="dxa" w:w="90"/>
              <w:bottom w:type="dxa" w:w="60"/>
              <w:right w:type="dxa" w:w="90"/>
            </w:tcMar>
          </w:tcPr>
          <w:p>
            <w:pPr>
              <w:spacing w:after="0" w:line="240"/>
            </w:pPr>
            <w:r>
              <w:rPr>
                <w:sz w:val="18"/>
                <w:szCs w:val="18"/>
              </w:rPr>
              <w:t xml:space="preserve">8</w:t>
            </w:r>
          </w:p>
        </w:tc>
        <w:tc>
          <w:tcPr>
            <w:tcW w:type="dxa" w:w="1250"/>
            <w:tcMar>
              <w:top w:type="dxa" w:w="60"/>
              <w:left w:type="dxa" w:w="90"/>
              <w:bottom w:type="dxa" w:w="60"/>
              <w:right w:type="dxa" w:w="90"/>
            </w:tcMar>
          </w:tcPr>
          <w:p>
            <w:pPr>
              <w:spacing w:after="0" w:line="240"/>
            </w:pPr>
            <w:r>
              <w:rPr>
                <w:sz w:val="18"/>
                <w:szCs w:val="18"/>
              </w:rPr>
              <w:t xml:space="preserve">5</w:t>
            </w:r>
          </w:p>
        </w:tc>
        <w:tc>
          <w:tcPr>
            <w:tcW w:type="dxa" w:w="1250"/>
            <w:tcMar>
              <w:top w:type="dxa" w:w="60"/>
              <w:left w:type="dxa" w:w="90"/>
              <w:bottom w:type="dxa" w:w="60"/>
              <w:right w:type="dxa" w:w="90"/>
            </w:tcMar>
          </w:tcPr>
          <w:p>
            <w:pPr>
              <w:spacing w:after="0" w:line="240"/>
            </w:pPr>
            <w:r>
              <w:rPr>
                <w:sz w:val="18"/>
                <w:szCs w:val="18"/>
              </w:rPr>
              <w:t xml:space="preserve">4</w:t>
            </w:r>
          </w:p>
        </w:tc>
        <w:tc>
          <w:tcPr>
            <w:tcW w:type="dxa" w:w="1300"/>
            <w:tcMar>
              <w:top w:type="dxa" w:w="60"/>
              <w:left w:type="dxa" w:w="90"/>
              <w:bottom w:type="dxa" w:w="60"/>
              <w:right w:type="dxa" w:w="90"/>
            </w:tcMar>
          </w:tcPr>
          <w:p>
            <w:pPr>
              <w:spacing w:after="0" w:line="240"/>
            </w:pPr>
            <w:r>
              <w:rPr>
                <w:sz w:val="18"/>
                <w:szCs w:val="18"/>
              </w:rPr>
              <w:t xml:space="preserve">13</w:t>
            </w:r>
          </w:p>
        </w:tc>
      </w:tr>
    </w:tbl>
    <w:p>
      <w:pPr>
        <w:spacing w:after="240" w:before="80" w:line="240"/>
        <w:jc w:val="left"/>
      </w:pPr>
      <w:r>
        <w:rPr>
          <w:i/>
          <w:iCs/>
          <w:sz w:val="17"/>
          <w:szCs w:val="17"/>
        </w:rPr>
        <w:t xml:space="preserve">Rows of five runs are the registered comparison, a replacement run counted where one exists; rows of fifteen include the pre-registered extension. A run "stated the ceiling" if it said that the strong band cannot be reached for this event or at this locus, and gave the "complete argument" if it also gave both structural reasons; "verdict not strong" counts runs whose verdict is not strong and which nowhere call the evidence strong. Fisher's exact test, two-sided, fifteen-run cells, with against without the fields: qwen3.5:4b stated 5/15 against 0/15, p = 0.042, complete 4/15 against 0/15, p = 0.100; qwen2.5:7b stated 3/15 against 0/15, p = 0.224. Record: repository, benchmark/runs/phase10_rerun_2026-09-25/blind/.</w:t>
      </w:r>
    </w:p>
    <w:p>
      <w:pPr>
        <w:keepNext w:val="false"/>
        <w:spacing w:after="140" w:line="276"/>
        <w:jc w:val="both"/>
      </w:pPr>
      <w:r>
        <w:t xml:space="preserve">Without the fields no run of any model stated the ceiling: none of twenty. With them twelve of twenty did, each with the complete argument — both frontier models in every run, the four-billion-parameter model in two of five and the seven-billion-parameter model in none. Every frontier run called the summary tool and so received the fields; the local models did so in seven runs of ten. In the pre-registered extension, the four-billion-parameter model stated the ceiling in five of fifteen runs with the fields and none without (p = 0.042), four of the five with the complete argument (p = 0.10). The seven-billion-parameter model stated it in three of fifteen (p = 0.22) and never completed it, although the fields reached it in eleven; one of its runs named both structural limits yet implied that the strong band remained within reach, and another called the evidence strong in its first sentence and moderate later.</w:t>
      </w:r>
    </w:p>
    <w:p>
      <w:pPr>
        <w:keepNext w:val="false"/>
        <w:spacing w:after="140" w:line="276"/>
        <w:jc w:val="both"/>
      </w:pPr>
      <w:r>
        <w:t xml:space="preserve">The fields also changed the frontier models' verdicts. Without them, claude-sonnet-5 called the evidence moderate in all five runs; with them it called the evidence strong in all five while stating the ceiling — "I would not downgrade it just because it landed in the 'moderate' numeric band" — and claude-opus-5 called it strong in two runs of five in either condition. Told that the band cannot express the event, the capable models re-rated the evidence above the band the tool reported. For a balanced translocation that is defensible — it is the argument this thesis makes — but it is an override of the scoring function, and whether an assistant should make it, and how the override is shown to a clinician, are design questions the experiment raises rather than answers.</w:t>
      </w:r>
    </w:p>
    <w:p>
      <w:pPr>
        <w:keepNext w:val="false"/>
        <w:spacing w:after="140" w:line="276"/>
        <w:jc w:val="both"/>
      </w:pPr>
      <w:r>
        <w:t xml:space="preserve">The result supports a more precise claim than the first comparison appeared to. Exposing a quantity was necessary for every model: without the fields, no run stated the ceiling. It was sufficient for the frontier models, which always called the tool that carries the quantity and always used it, and insufficient for the local ones, which did both unreliably. What a model can reach bounds what it can say; for a capable model it nearly determines it. Two qualifications remain. The scoring function itself is unchanged, so a real balanced translocation still attains at most 57.5 and still reads as moderate. And the case prompt is a reconstruction, so the rerun repeats the first comparison's design rather than its exact inputs.</w:t>
      </w:r>
    </w:p>
    <w:p>
      <w:pPr>
        <w:pStyle w:val="Heading2"/>
        <w:keepNext/>
        <w:spacing w:after="160" w:before="320"/>
      </w:pPr>
      <w:r>
        <w:t xml:space="preserve">The Instrument</w:t>
      </w:r>
    </w:p>
    <w:p>
      <w:pPr>
        <w:keepNext w:val="false"/>
        <w:spacing w:after="140" w:line="276"/>
        <w:jc w:val="both"/>
      </w:pPr>
      <w:r>
        <w:t xml:space="preserve">The system is delivered as a local browser interface started by a single command, binding to the loopback address and requiring no build step. The interface and the four evidence layers need no network access; the image tools, the gene lookup and the chat panel's cloud models do. For every image the viewer loads the genome and a gene annotation track from the internet, and in a dry run on 29 September one of four panels timed out while the track was still loading. At startup it asserts that the two servers expose exactly eleven and four tools and refuses to start otherwise, so drift between the interface and the tool surface fails loudly.</w:t>
      </w:r>
    </w:p>
    <w:p>
      <w:pPr>
        <w:keepNext w:val="false"/>
        <w:spacing w:after="140" w:line="276"/>
        <w:jc w:val="both"/>
      </w:pPr>
      <w:r>
        <w:t xml:space="preserve">Every tool call passes through a single recorder that captures the tool name, the arguments as passed, the wall duration and the complete raw return. The recorder is the sole path to a tool within the interface, so every measurement the evidence panel shows comes from a recorded call; each layer count and the combined score carries a button linking to the call that produced it, and a list gives every call of the session. The attainable ceiling is not a tool return: the interface derives it from the scoring tiers, read from the scoring code at startup, and the observed fractions, over the layers the score counts.</w:t>
      </w:r>
    </w:p>
    <w:p>
      <w:pPr>
        <w:keepNext w:val="false"/>
        <w:spacing w:after="140" w:line="276"/>
        <w:jc w:val="both"/>
      </w:pPr>
      <w:r>
        <w:t xml:space="preserve">The filter chain is displayed with per-step counts both cumulatively and independently, because a step's cumulative effect depends on its position: the mask step removes nothing cumulatively while removing records from the unfiltered set, having been reached after an earlier step had already caught the affected junctions. Each threshold is labelled with its provenance. A withheld score is rendered as a distinct state rather than as a low number. The attainable ceiling is displayed with its basis. A panel states what the tool cannot do, including the measured sensitivity and the depth layer's false-positive rate, and reads those figures from the committed records, showing no number where a record is missing. Candidate browsing and manual coordinate entry are given equal standing, the latter being the case of a clinician holding a karyotype. At the four implants the caller missed, that path returns what the reads at the true coordinates contain — at most eleven discordant pairs, with either a weak score of 22.5 or a withheld one — and every such call carries a provenance label stating that the coordinate was supplied by the user rather than drawn from a candidate set.</w:t>
      </w:r>
    </w:p>
    <w:p>
      <w:pPr>
        <w:keepNext w:val="false"/>
        <w:spacing w:after="140" w:line="276"/>
        <w:jc w:val="both"/>
      </w:pPr>
      <w:r>
        <w:t xml:space="preserve">A chat panel adds a language model as a second consumer of the same recorder rather than as a second path to the tools. The model's prose is shown apart from tool returns; every number in its final answer is checked against the returns of the same turn, a number no tool returned is shown but marked, and the model's intermediate text is shown unchecked. The check concerns numbers only: in the dry run a local model reported all seven of its numbers as the tools had returned them, yet called evidence the tool rated moderate strong.</w:t>
      </w:r>
    </w:p>
    <w:p>
      <w:pPr>
        <w:keepNext w:val="false"/>
        <w:spacing w:after="140" w:line="276"/>
        <w:jc w:val="both"/>
      </w:pPr>
      <w:r>
        <w:t xml:space="preserve">The system requires three Python packages, with a fourth optional for the frontier-model interface and one optional external binary for image generation. It requires no reference genome — no sequence file is ever opened, since alignment headers are self-describing — and neither the caller nor the command-line alignment utilities are invoked at runtime. A clean-environment installation was verified by performing one, on a different interpreter version without administrative privileges, succeeding on the third attempt; the two preceding failures identified a missing bootstrap path and a read-sampling defect that would otherwise have shipped inside the demonstration data.</w:t>
      </w:r>
    </w:p>
    <w:p>
      <w:pPr>
        <w:pStyle w:val="Heading2"/>
        <w:keepNext/>
        <w:spacing w:after="160" w:before="320"/>
      </w:pPr>
      <w:r>
        <w:t xml:space="preserve">Deployability</w:t>
      </w:r>
    </w:p>
    <w:p>
      <w:pPr>
        <w:keepNext w:val="false"/>
        <w:spacing w:after="140" w:line="276"/>
        <w:jc w:val="both"/>
      </w:pPr>
      <w:r>
        <w:t xml:space="preserve">A system that only runs on the machine that built it is not a result a clinician can use, so deployability was measured rather than assumed. The dependency inventory was derived from the code rather than from what had been installed during development, and three assumptions carried through the project proved wrong: no reference genome is required, since no sequence file is ever opened and alignment headers are self-describing; the command-line alignment and variant utilities are never invoked, all such work being performed in-process through the Python bindings; and the structural variant caller is not part of the runtime at all, appearing only as an upstream producer of candidate files. The runtime requires three Python packages, plus one optional package for the frontier-model interface and one optional external binary for image generation.</w:t>
      </w:r>
    </w:p>
    <w:p>
      <w:pPr>
        <w:keepNext w:val="false"/>
        <w:spacing w:after="140" w:line="276"/>
        <w:jc w:val="both"/>
      </w:pPr>
      <w:r>
        <w:t xml:space="preserve">Installation was then verified by performing one into a clean environment on a different interpreter version without administrative privileges, and succeeded on the third attempt. Both preceding failures were informative. The first was an absent bootstrap path in the installation script, whose otherwise correct advice required privileges the target user does not have — precisely the situation of a supervisor installing on a personal machine. The second was a defect that would otherwise have shipped inside the demonstration data: the layer-applicability tool samples the first thousand reads of the alignment, and on a region-sliced file those reads lie ten kilobases from the breakpoint and carry no supplementary alignment tags, so the split-read layer was judged inapplicable, left the normalisation denominator, and the same locus scored 43.3† instead of 47.5† with nothing on screen indicating why.</w:t>
      </w:r>
    </w:p>
    <w:p>
      <w:pPr>
        <w:keepNext w:val="false"/>
        <w:spacing w:after="140" w:line="276"/>
        <w:jc w:val="both"/>
      </w:pPr>
      <w:r>
        <w:t xml:space="preserve">That defect is the third member of a family reported elsewhere in this chapter, and the one that would have been most visible to a first-time user, since the demonstration bundle is the artifact a reader encounters first. It was found only by comparing the sliced file against the full one rather than assuming that a slice of an alignment behaves as the alignment does.</w:t>
      </w:r>
    </w:p>
    <w:p>
      <w:pPr>
        <w:keepNext w:val="false"/>
        <w:spacing w:after="140" w:line="276"/>
        <w:jc w:val="both"/>
      </w:pPr>
      <w:r>
        <w:t xml:space="preserve">A demonstration bundle of 1.6 megabytes, constructed from public data by a committed build script and rebuilt from the rebuilt implants — its documentation now measures the demonstration locus when the bundle is built (40.0, moderate, three of four layers carrying signal) instead of quoting a figure — exercises the filter chain, all four evidence layers at a candidate, manual coordinate entry, and a withheld score. Installation and usage documentation was written in Lithuanian and is given in Appendices 1 and 2.</w:t>
      </w:r>
    </w:p>
    <w:p>
      <w:pPr>
        <w:pStyle w:val="Heading2"/>
        <w:keepNext/>
        <w:spacing w:after="160" w:before="320"/>
      </w:pPr>
      <w:r>
        <w:t xml:space="preserve">Clinical Validation (Task 5, in progress)</w:t>
      </w:r>
    </w:p>
    <w:p>
      <w:pPr>
        <w:keepNext w:val="false"/>
        <w:spacing w:after="140" w:line="276"/>
        <w:jc w:val="both"/>
      </w:pPr>
      <w:r>
        <w:t xml:space="preserve">The candidate shortlists for SAMPLE_A and SAMPLE_B — seventeen and nineteen junctions — were produced under blinding, and reproduced exactly after the reinstall: the filter chain was fixed before any result was inspected, no candidate coordinate has been examined, no gene has been looked up, and no comparison has been made against any prior clinical information. Unblinding against the independently established result is pending and will be reported here. Until it has taken place, no claim is made about whether the chain identifies the rearrangement present in either sample, and the sensitivity figure in the preceding section is the only quantitative statement about detection this work supports.</w:t>
      </w:r>
    </w:p>
    <w:p>
      <w:pPr>
        <w:pStyle w:val="Heading2"/>
        <w:keepNext/>
        <w:spacing w:after="160" w:before="320"/>
      </w:pPr>
      <w:r>
        <w:t xml:space="preserve">Transcriptome and Phenotype Integration (Task 6, not implemented)</w:t>
      </w:r>
    </w:p>
    <w:p>
      <w:pPr>
        <w:keepNext w:val="false"/>
        <w:spacing w:after="140" w:line="276"/>
        <w:jc w:val="both"/>
      </w:pPr>
      <w:r>
        <w:t xml:space="preserve">The design set out in Methods specifies breakpoint-to-gene linking, transcriptome evidence and phenotype-driven prioritization as further layers within the same case object, on the reasoning that a breakpoint near a candidate gene becomes considerably more convincing when expression data independently shows an effect, and that this matters most for balanced rearrangements where genomic structure alone establishes nothing about downstream consequence. No implementation exists and no results are reported.</w:t>
      </w:r>
    </w:p>
    <w:p>
      <w:pPr>
        <w:pStyle w:val="Heading1"/>
        <w:pageBreakBefore/>
        <w:spacing w:after="240" w:before="360"/>
      </w:pPr>
      <w:r>
        <w:t xml:space="preserve">DISCUSSION</w:t>
      </w:r>
    </w:p>
    <w:p>
      <w:pPr>
        <w:keepNext w:val="false"/>
        <w:spacing w:after="140" w:line="276"/>
        <w:jc w:val="both"/>
      </w:pPr>
      <w:r>
        <w:t xml:space="preserve">The results bear on three questions: what the chain can and cannot find, what its scoring can and cannot express, and what a language model needs in order to reason correctly from either.</w:t>
      </w:r>
    </w:p>
    <w:p>
      <w:pPr>
        <w:keepNext w:val="false"/>
        <w:spacing w:after="140" w:line="276"/>
        <w:jc w:val="both"/>
      </w:pPr>
      <w:r>
        <w:rPr>
          <w:b/>
          <w:bCs/>
        </w:rPr>
        <w:t xml:space="preserve">Where sensitivity is lost is more informative than how much is lost.</w:t>
      </w:r>
      <w:r>
        <w:t xml:space="preserve"> Sixteen of twenty-four implanted junctions survived the complete chain, and every one of the eight losses occurred at discovery rather than at any filter. This is a favourable result for the filter design and an unfavourable one for the pipeline as a whole. It means the thresholds carrying the least external authority — the paired-end and split-read minima, both the author's judgement — cost nothing in sensitivity while together removing 95 per cent of the background junctions that pass the caller's own filter, but it also means that no downstream refinement can recover what the caller never emitted. The losses fall entirely in the low-mappability class, where 106 of the 114 reads genuinely spanning the missed junctions carry mapping quality zero and fewer than half align at the locus at all. The junctions are physically present in the alignment and invisible to the process that must nominate them. Lowering the caller's mapping-quality floor to zero called one of the eight, which the chain then removed, at a sevenfold increase in raw calls, so in this experiment the trade is not available. The one implant whose detection differed between the two constructions differed through alignment rather than through the chain: alternate-haplotype-aware alignment recovered it, and removing that awareness lost it again. Sensitivity in repetitive sequence is therefore partly a property of the alignment the chain receives, which the chain does not control.</w:t>
      </w:r>
    </w:p>
    <w:p>
      <w:pPr>
        <w:keepNext w:val="false"/>
        <w:spacing w:after="140" w:line="276"/>
        <w:jc w:val="both"/>
      </w:pPr>
      <w:r>
        <w:rPr>
          <w:b/>
          <w:bCs/>
        </w:rPr>
        <w:t xml:space="preserve">The multi-layer design is justified by measurement, though more modestly than first measured.</w:t>
      </w:r>
      <w:r>
        <w:t xml:space="preserve"> Nearly two fifths of the reads genuinely spanning an implanted junction carry no supplementary alignment, because their shorter side falls below what the aligner will report, and both the split-read layer and the caller are structurally blind to them. The soft-clip layer recovers about half of those reads; the rest are lost to very short overhangs, low mapping quality, or primary alignments outside the windows examined. An architecture with a single strongest signal would discard the recoverable half; one with several partially redundant signals does not. The same ground truth showed the evidence tool closer to truth than the caller in ten of twelve implants while both miss most spanning reads, and it exposed a class of reads — genuinely spanning, but carrying only a mapping-quality-zero supplementary tag naming a wrong chromosome — on which the verdict about split-read false positives turns: counted as false, the local low-mapping-quality fraction predicts them (r = 0.668); counted as true, only weakly (r = 0.298). The construction check that should have excluded such reads had been run at one implant, where it held; across twelve it did not.</w:t>
      </w:r>
    </w:p>
    <w:p>
      <w:pPr>
        <w:keepNext w:val="false"/>
        <w:spacing w:after="140" w:line="276"/>
        <w:jc w:val="both"/>
      </w:pPr>
      <w:r>
        <w:rPr>
          <w:b/>
          <w:bCs/>
        </w:rPr>
        <w:t xml:space="preserve">The scoring function cannot express the finding the thesis is about.</w:t>
      </w:r>
      <w:r>
        <w:t xml:space="preserve"> A heterozygous balanced translocation cannot reach the strong band, because the depth layer correctly contributes nothing when copy number is conserved and the discordant layer cannot reach its top tier when half the reads at the breakpoint originate from the intact homolog. Every detected breakend scored moderate or weak, and the only breakends reaching all four layers did so through a depth fluctuation at loci where no copy-number change existed — the score can be raised only by a false signal, as the one strong position in the synthetic data with split-read partners off its own chromosome also showed, rated strong as it was through supplementary alignments to a decoy contig until the split-read layer was corrected. This is the same defect as an earlier one reported here, seen from the opposite side: the composite does not distinguish a layer that is inapplicable from one that is unavailable, although the system computes exactly that distinction elsewhere. A third manifestation appeared during deployment testing, where a layer was judged inapplicable because the sampling window used to decide applicability fell outside the region carrying the evidence, silently changing the score of an unchanged locus. In all three cases the arithmetic is correct and the normalisation is defensible; what is missing is any indication to the reader that the denominator has moved. The scoring was deliberately not recalibrated, since adjusting it on twelve implants would repeat the reasoning that produced the problem; whether the band boundaries should change is a clinical judgement that has been put to the supervisor.</w:t>
      </w:r>
    </w:p>
    <w:p>
      <w:pPr>
        <w:keepNext w:val="false"/>
        <w:spacing w:after="140" w:line="276"/>
        <w:jc w:val="both"/>
      </w:pPr>
      <w:r>
        <w:rPr>
          <w:b/>
          <w:bCs/>
        </w:rPr>
        <w:t xml:space="preserve">A model needs the quantity in front of it; what it does with it depends on the model.</w:t>
      </w:r>
      <w:r>
        <w:t xml:space="preserve"> Without the ceiling fields in any tool return, no run of any of four models stated the scoring ceiling. The proposition that a computed ceiling lies below the strong band was unstatable, because one of its terms was absent from the session, although the interface computed it for human readers. With the fields added to one tool return and every model unchanged, both frontier models stated the ceiling with the complete argument in every run, the four-billion-parameter local model in five runs of fifteen and the seven-billion-parameter model in three of fifteen without ever completing it. Part of the local models' shortfall lies upstream of reasoning: a model must first choose to call the tool that carries the quantity, and they often did not. The much larger effect recorded first — nineteen runs in twenty after the change† — resembles the frontier half of the rerun and not its local half; its records are lost and its design probably changed more than the fields, so it is not relied on. Two consequences follow. A limitation that matters clinically cannot be left for a locally hosted model to relay, so the interface displays the attainable ceiling and its basis to the reader directly. And a capable model told the ceiling does not merely report it: it re-rates the evidence above the band the tool reported, which is defensible for a balanced event but is an override of the scoring function, and an override the reader must be able to see.</w:t>
      </w:r>
    </w:p>
    <w:p>
      <w:pPr>
        <w:keepNext w:val="false"/>
        <w:spacing w:after="140" w:line="276"/>
        <w:jc w:val="both"/>
      </w:pPr>
      <w:r>
        <w:rPr>
          <w:b/>
          <w:bCs/>
        </w:rPr>
        <w:t xml:space="preserve">No locally hosted model is usable without supervision, and the alternative carries a different cost.</w:t>
      </w:r>
      <w:r>
        <w:t xml:space="preserve"> The most reliable local model answered every run but confirmed a false clinical premise in two of five† and once reported a withheld score as the absence of a finding†, converting "this locus cannot be assessed" into "there is nothing here" — a false negative wearing the appearance of a result. The model reasoning best about the ceiling failed to answer in five of thirty runs. Frontier models produced no malformed arguments in 341 tool calls across the forty-five runs of the rerun sweep, at a cost of 3.59 United States dollars, so cost is not the barrier; the barrier is that coordinates and read counts leave the machine. The local tier is the only one that never transmits, and it malformed 13 to 26 per cent of its tool calls. The interface is therefore designed so that model errors are visible rather than so that they do not occur, which is the achievable goal at this tier.</w:t>
      </w:r>
    </w:p>
    <w:p>
      <w:pPr>
        <w:keepNext w:val="false"/>
        <w:spacing w:after="140" w:line="276"/>
        <w:jc w:val="both"/>
      </w:pPr>
      <w:r>
        <w:rPr>
          <w:b/>
          <w:bCs/>
        </w:rPr>
        <w:t xml:space="preserve">A methodological observation applies to the work itself.</w:t>
      </w:r>
      <w:r>
        <w:t xml:space="preserve"> In at least seven instances during development the defect lay in the apparatus used to measure the system rather than in the system, and in every instance it was detected by an independent observation disagreeing rather than by the check itself: a scanner that returned clean because its binary was absent and a non-zero exit status went unread; a filter that reported no residual identifiers because it processed nothing; a summary that reported every evidence layer empty because it queried fields by the wrong names; an audit that reported clean on a file its search pattern never matched; an interface that rendered a structured error as four empty layers; a positive control that reported no truncation because execution never reached the condition it was meant to create; and a pattern matcher that scored a response as asserting the scoring ceiling on the strength of a sentence about confirmation. Two published findings were retracted on the same basis, each having attributed to a model a behaviour belonging to the measuring apparatus. A memory model fitted at a coefficient of determination of 0.9998† was nonetheless wrong, because its two candidate predictors were the same variable under the conditions measured; replication could not have separated them and only a contrast designed to do so could. The recovery after the system reinstall added instances of a related kind: a pre-registered threshold that could not be applied because the definition it had been measured under was lost with its record; a construction check run at one implant whose conclusion did not hold at twelve; an ablation that changed more than its variable until a proof with positive controls exposed it; an alignment check that read the aligner's report of zero alternate contigs as a failure; a scan of the primary chromosomes whose finding was generalised to whole files that carry millions of supplementary records on other contigs; and an identifier gate whose firing a pipe concealed, so that a commit went through before the firing was noticed. Five statements follow. An automated check that cannot report failure is indistinguishable from one that found nothing, so a validator requires a positive control that creates the condition and a negative control that confirms silence otherwise, both built from realistic rather than convenient inputs. A check performed at one site is a statement about that site. A number without its definition is not a measurement, and pre-registering a threshold protects nothing unless the definition it was measured under is registered with it. A high goodness of fit is a statement about fit, not about identifiability. And a convention of returning errors as structured values rather than exceptions places a corresponding obligation on every consumer, since a consumer reaching directly for the payload receives silence instead of a failure.</w:t>
      </w:r>
    </w:p>
    <w:p>
      <w:pPr>
        <w:keepNext w:val="false"/>
        <w:spacing w:after="140" w:line="276"/>
        <w:jc w:val="both"/>
      </w:pPr>
      <w:r>
        <w:rPr>
          <w:b/>
          <w:bCs/>
        </w:rPr>
        <w:t xml:space="preserve">Limitations.</w:t>
      </w:r>
      <w:r>
        <w:t xml:space="preserve"> The sensitivity figure is an estimate of performance on simulated reads, which do not reproduce library-preparation artifacts or reference-bias effects and carry none of the individual's own variants on the rearranged haplotype. It rests on twelve implants in one background, with context boundaries set by the author after inspecting their distribution, and the implants' split alignments are represented differently from those of the clinical alignments, which were produced with -M rather than -Y. The rebuilt control is a new experiment rather than a reproduction of the first, whose records were lost. No real rearrangement has been confirmed: the patient analysis was performed blind with the filter chain fixed in advance, and whether the system identifies the rearrangement present in either sample will be established by unblinding. The split-read layer counts same-chromosome supplementary alignments as partners without marking them — correct evidence for an intra-chromosomal event but not for a translocation — while the discordant layer counts only inter-chromosomal mates; and the decoy correction's effect on clinical loci has been measured at two hundred random positions only. The cross-sample recurrence step removes approximately seventy per cent of the candidates reaching it and is valid only if the two individuals are unrelated and were not referred for overlapping indications, which the present work cannot verify. Fourteen of sixteen scoring thresholds are the author's judgement, and the depth layer produces a deletion-consistent observation at twenty-six per cent of ordinary autosomal positions at the depth of these samples, placing its boundary inside the noise distribution; a second counting convention in the scoring documentation enumerates eleven thresholds across four components rather than sixteen across the system, and the denominator in use should be stated wherever the proportion is quoted. Discovery rests on a single caller. The chat panel's check matches numbers against tool returns and cannot detect a wrong verbal rating. The ceiling experiment and the frontier sweep were rerun from reconstructed case prompts, and the ceiling experiment has five runs per condition for each frontier model and fifteen for each local one. Figures marked † rest on records lost in a system reinstall, or never committed, and have not been regenerated. The transcriptome module is specified but not implemented, and the prototype does not replace a full ACMG/AMP classification workflow. Finally, the comparator description for one commercial platform relies solely on vendor material and should be read as provisional.</w:t>
      </w:r>
    </w:p>
    <w:p>
      <w:pPr>
        <w:pStyle w:val="Heading1"/>
        <w:pageBreakBefore/>
        <w:spacing w:after="240" w:before="360"/>
      </w:pPr>
      <w:r>
        <w:t xml:space="preserve">CONCLUSIONS</w:t>
      </w:r>
    </w:p>
    <w:p>
      <w:pPr>
        <w:keepNext w:val="false"/>
        <w:spacing w:after="140" w:line="276"/>
        <w:jc w:val="both"/>
      </w:pPr>
      <w:r>
        <w:t xml:space="preserve">The following conclusions correspond to Tasks 1 to 4. Conclusions for Tasks 5 and 6 are pending completion of that work.</w:t>
      </w:r>
    </w:p>
    <w:p>
      <w:pPr>
        <w:tabs>
          <w:tab w:val="left" w:pos="480"/>
        </w:tabs>
        <w:spacing w:after="100" w:line="276"/>
        <w:ind w:left="480" w:hanging="480"/>
        <w:jc w:val="both"/>
      </w:pPr>
      <w:r>
        <w:t xml:space="preserve">1.</w:t>
      </w:r>
      <w:r>
        <w:tab/>
      </w:r>
      <w:r>
        <w:t xml:space="preserve">Eleven tools measuring four independent read-level signals were implemented and exposed to a language model under an architecture in which the model reaches genomic data only through the tools, so that every figure it reports can be checked against a tool return. The four layers are not redundant: nearly two fifths of the reads spanning a junction are structurally invisible to the split-read signal, and the soft-clip signal recovers about half of them. The system installs on a clean machine without administrative privileges and requires neither a reference genome nor the caller at runtime.</w:t>
      </w:r>
    </w:p>
    <w:p>
      <w:pPr>
        <w:tabs>
          <w:tab w:val="left" w:pos="480"/>
        </w:tabs>
        <w:spacing w:after="100" w:line="276"/>
        <w:ind w:left="480" w:hanging="480"/>
        <w:jc w:val="both"/>
      </w:pPr>
      <w:r>
        <w:t xml:space="preserve">2.</w:t>
      </w:r>
      <w:r>
        <w:tab/>
      </w:r>
      <w:r>
        <w:t xml:space="preserve">Separating discovery from evaluation allows a genome-wide candidate list of about nine thousand inter-chromosomal junctions per sample to be reduced to seventeen and nineteen reviewable candidates, with the origin of every threshold recorded, and an independent rerun reproduced every count of that reduction exactly. Its last step, removing junctions shared between two unrelated samples, removes about seventy per cent of the candidates reaching it and so measures the shared artifact background directly.</w:t>
      </w:r>
    </w:p>
    <w:p>
      <w:pPr>
        <w:tabs>
          <w:tab w:val="left" w:pos="480"/>
        </w:tabs>
        <w:spacing w:after="100" w:line="276"/>
        <w:ind w:left="480" w:hanging="480"/>
        <w:jc w:val="both"/>
      </w:pPr>
      <w:r>
        <w:t xml:space="preserve">3.</w:t>
      </w:r>
      <w:r>
        <w:tab/>
      </w:r>
      <w:r>
        <w:t xml:space="preserve">Of twenty-four balanced translocation junctions implanted at known coordinates, sixteen survive the complete chain — all eight in unique sequence, all eight adjacent to repeats, and none of eight where mapping is ambiguous. Every loss occurs at discovery, where nearly all reads spanning the missed junctions carry mapping quality zero, and no filter threshold removes a true positive at any setting tested.</w:t>
      </w:r>
    </w:p>
    <w:p>
      <w:pPr>
        <w:tabs>
          <w:tab w:val="left" w:pos="480"/>
        </w:tabs>
        <w:spacing w:after="100" w:line="276"/>
        <w:ind w:left="480" w:hanging="480"/>
        <w:jc w:val="both"/>
      </w:pPr>
      <w:r>
        <w:t xml:space="preserve">4.</w:t>
      </w:r>
      <w:r>
        <w:tab/>
      </w:r>
      <w:r>
        <w:t xml:space="preserve">No locally hosted model evaluated here is usable without supervision: local models malformed 13 to 26 per cent of their tool calls and the most reliable confirmed a false clinical premise in two runs of five†, while frontier models produced no malformed tool arguments in 341 calls, but require transmitting patient coordinates off the analysis machine.</w:t>
      </w:r>
    </w:p>
    <w:p>
      <w:pPr>
        <w:tabs>
          <w:tab w:val="left" w:pos="480"/>
        </w:tabs>
        <w:spacing w:after="100" w:line="276"/>
        <w:ind w:left="480" w:hanging="480"/>
        <w:jc w:val="both"/>
      </w:pPr>
      <w:r>
        <w:t xml:space="preserve">5.</w:t>
      </w:r>
      <w:r>
        <w:tab/>
      </w:r>
      <w:r>
        <w:t xml:space="preserve">Exposing a quantity in a tool return is necessary for any model to reason from it and sufficient only for capable ones. With the scoring ceiling absent from every tool return, no run of four models stated it; with it added to one return and the models unchanged, the two frontier models stated it with the complete argument in every run and the two local models in a minority of runs, often because they never called the tool that carried it. A limitation that matters clinically must therefore be shown to the reader by the interface rather than left for a model to relay.</w:t>
      </w:r>
    </w:p>
    <w:p>
      <w:pPr>
        <w:pStyle w:val="Heading1"/>
        <w:pageBreakBefore/>
        <w:spacing w:after="240" w:before="360"/>
      </w:pPr>
      <w:r>
        <w:t xml:space="preserve">RECOMMENDATIONS</w:t>
      </w:r>
    </w:p>
    <w:p>
      <w:pPr>
        <w:keepNext w:val="false"/>
        <w:spacing w:after="140" w:line="276"/>
        <w:jc w:val="both"/>
      </w:pPr>
      <w:r>
        <w:t xml:space="preserve">Three changes would most improve the system as it stands. A second, independent structural variant caller should be added, since every measured loss of sensitivity occurs at discovery and two-caller concordance discriminates artifacts more strongly than cross-sample recurrence, different callers sharing some artifact modes and not others. And the composite score should be revised to distinguish a layer that is inapplicable to the hypothesis from one that is unavailable in the data, since a balanced translocation — the event class this work targets — cannot presently be rated as strong evidence for reasons intrinsic to the event rather than to its support. And the split-read layer's partner statement should separate partners on the queried chromosome from those on other chromosomes, as the discordant layer already does and as decoy partners now are, so that a statement about a translocation rests only on partners that could support one.</w:t>
      </w:r>
    </w:p>
    <w:p>
      <w:pPr>
        <w:keepNext w:val="false"/>
        <w:spacing w:after="140" w:line="276"/>
        <w:jc w:val="both"/>
      </w:pPr>
      <w:r>
        <w:t xml:space="preserve">For any comparable system, two procedural recommendations follow from the experience recorded here. Every automated check should be accompanied by a positive control that creates the condition it detects and a negative control that confirms silence otherwise, both constructed from realistic inputs, before any clean result from that check is accepted. And every record a figure depends on should be committed when it is produced, together with the definition the figure was measured under: in this project, records kept outside version control did not survive a system reinstall, and a pre-registered threshold whose definition had been lost could not be applied.</w:t>
      </w:r>
    </w:p>
    <w:p>
      <w:pPr>
        <w:pStyle w:val="Heading1"/>
        <w:pageBreakBefore/>
        <w:spacing w:after="240" w:before="360"/>
      </w:pPr>
      <w:r>
        <w:t xml:space="preserve">ACKNOWLEDGEMENTS</w:t>
      </w:r>
    </w:p>
    <w:p>
      <w:pPr>
        <w:keepNext w:val="false"/>
        <w:spacing w:after="140" w:line="276"/>
        <w:jc w:val="both"/>
      </w:pPr>
      <w:r>
        <w:t xml:space="preserve">I thank my supervisor, Doc. Dr. Erinija Pranckevičienė, for her guidance throughout this project, for her directness about its limitations, and for arranging access to the clinical sequencing data on which the analysis rests. I thank her collaborator for providing that data. I thank the Institute of Biosciences of the Life Sciences Center, Vilnius University, for the study environment in which this work was carried out.</w:t>
      </w:r>
    </w:p>
    <w:p>
      <w:pPr>
        <w:pStyle w:val="Heading1"/>
        <w:pageBreakBefore/>
        <w:spacing w:after="240" w:before="360"/>
      </w:pPr>
      <w:r>
        <w:t xml:space="preserve">REFERENCES</w:t>
      </w:r>
    </w:p>
    <w:p>
      <w:pPr>
        <w:tabs>
          <w:tab w:val="left" w:pos="480"/>
        </w:tabs>
        <w:spacing w:after="60" w:line="240"/>
        <w:ind w:left="480" w:hanging="480"/>
        <w:jc w:val="left"/>
      </w:pPr>
      <w:r>
        <w:rPr>
          <w:sz w:val="19"/>
          <w:szCs w:val="19"/>
        </w:rPr>
        <w:t xml:space="preserve">1.</w:t>
      </w:r>
      <w:r>
        <w:rPr>
          <w:sz w:val="19"/>
          <w:szCs w:val="19"/>
        </w:rPr>
        <w:tab/>
      </w:r>
      <w:r>
        <w:rPr>
          <w:sz w:val="19"/>
          <w:szCs w:val="19"/>
        </w:rPr>
        <w:t xml:space="preserve">Eilbeck K, Quinlan A, Yandell M. </w:t>
      </w:r>
      <w:r>
        <w:rPr>
          <w:i/>
          <w:iCs/>
          <w:sz w:val="19"/>
          <w:szCs w:val="19"/>
        </w:rPr>
        <w:t xml:space="preserve">Settling the score: variant prioritization and Mendelian disease.</w:t>
      </w:r>
      <w:r>
        <w:rPr>
          <w:sz w:val="19"/>
          <w:szCs w:val="19"/>
        </w:rPr>
        <w:t xml:space="preserve"> Nature Reviews Genetics. 2017. DOI: 10.1038/nrg.2017.52</w:t>
      </w:r>
    </w:p>
    <w:p>
      <w:pPr>
        <w:tabs>
          <w:tab w:val="left" w:pos="480"/>
        </w:tabs>
        <w:spacing w:after="60" w:line="240"/>
        <w:ind w:left="480" w:hanging="480"/>
        <w:jc w:val="left"/>
      </w:pPr>
      <w:r>
        <w:rPr>
          <w:sz w:val="19"/>
          <w:szCs w:val="19"/>
        </w:rPr>
        <w:t xml:space="preserve">2.</w:t>
      </w:r>
      <w:r>
        <w:rPr>
          <w:sz w:val="19"/>
          <w:szCs w:val="19"/>
        </w:rPr>
        <w:tab/>
      </w:r>
      <w:r>
        <w:rPr>
          <w:sz w:val="19"/>
          <w:szCs w:val="19"/>
        </w:rPr>
        <w:t xml:space="preserve">Kopanos C, Tsiolkas V, Kouris A, et al. </w:t>
      </w:r>
      <w:r>
        <w:rPr>
          <w:i/>
          <w:iCs/>
          <w:sz w:val="19"/>
          <w:szCs w:val="19"/>
        </w:rPr>
        <w:t xml:space="preserve">VarSome: the human genomic variant search engine.</w:t>
      </w:r>
      <w:r>
        <w:rPr>
          <w:sz w:val="19"/>
          <w:szCs w:val="19"/>
        </w:rPr>
        <w:t xml:space="preserve"> Bioinformatics. 2019. https://pmc.ncbi.nlm.nih.gov/articles/PMC6546127/</w:t>
      </w:r>
    </w:p>
    <w:p>
      <w:pPr>
        <w:tabs>
          <w:tab w:val="left" w:pos="480"/>
        </w:tabs>
        <w:spacing w:after="60" w:line="240"/>
        <w:ind w:left="480" w:hanging="480"/>
        <w:jc w:val="left"/>
      </w:pPr>
      <w:r>
        <w:rPr>
          <w:sz w:val="19"/>
          <w:szCs w:val="19"/>
        </w:rPr>
        <w:t xml:space="preserve">3.</w:t>
      </w:r>
      <w:r>
        <w:rPr>
          <w:sz w:val="19"/>
          <w:szCs w:val="19"/>
        </w:rPr>
        <w:tab/>
      </w:r>
      <w:r>
        <w:rPr>
          <w:sz w:val="19"/>
          <w:szCs w:val="19"/>
        </w:rPr>
        <w:t xml:space="preserve">VarSome Help Center. </w:t>
      </w:r>
      <w:r>
        <w:rPr>
          <w:i/>
          <w:iCs/>
          <w:sz w:val="19"/>
          <w:szCs w:val="19"/>
        </w:rPr>
        <w:t xml:space="preserve">Phenotype Matching.</w:t>
      </w:r>
      <w:r>
        <w:rPr>
          <w:sz w:val="19"/>
          <w:szCs w:val="19"/>
        </w:rPr>
        <w:t xml:space="preserve"> https://docs.varsome.com/en/phenotype-matching</w:t>
      </w:r>
    </w:p>
    <w:p>
      <w:pPr>
        <w:tabs>
          <w:tab w:val="left" w:pos="480"/>
        </w:tabs>
        <w:spacing w:after="60" w:line="240"/>
        <w:ind w:left="480" w:hanging="480"/>
        <w:jc w:val="left"/>
      </w:pPr>
      <w:r>
        <w:rPr>
          <w:sz w:val="19"/>
          <w:szCs w:val="19"/>
        </w:rPr>
        <w:t xml:space="preserve">4.</w:t>
      </w:r>
      <w:r>
        <w:rPr>
          <w:sz w:val="19"/>
          <w:szCs w:val="19"/>
        </w:rPr>
        <w:tab/>
      </w:r>
      <w:r>
        <w:rPr>
          <w:sz w:val="19"/>
          <w:szCs w:val="19"/>
        </w:rPr>
        <w:t xml:space="preserve">VarSome. </w:t>
      </w:r>
      <w:r>
        <w:rPr>
          <w:i/>
          <w:iCs/>
          <w:sz w:val="19"/>
          <w:szCs w:val="19"/>
        </w:rPr>
        <w:t xml:space="preserve">Structural Variants Browser.</w:t>
      </w:r>
      <w:r>
        <w:rPr>
          <w:sz w:val="19"/>
          <w:szCs w:val="19"/>
        </w:rPr>
        <w:t xml:space="preserve"> https://news.varsome.com/en/structural-variants-browser</w:t>
      </w:r>
    </w:p>
    <w:p>
      <w:pPr>
        <w:tabs>
          <w:tab w:val="left" w:pos="480"/>
        </w:tabs>
        <w:spacing w:after="60" w:line="240"/>
        <w:ind w:left="480" w:hanging="480"/>
        <w:jc w:val="left"/>
      </w:pPr>
      <w:r>
        <w:rPr>
          <w:sz w:val="19"/>
          <w:szCs w:val="19"/>
        </w:rPr>
        <w:t xml:space="preserve">5.</w:t>
      </w:r>
      <w:r>
        <w:rPr>
          <w:sz w:val="19"/>
          <w:szCs w:val="19"/>
        </w:rPr>
        <w:tab/>
      </w:r>
      <w:r>
        <w:rPr>
          <w:sz w:val="19"/>
          <w:szCs w:val="19"/>
        </w:rPr>
        <w:t xml:space="preserve">VarSome Help Center. </w:t>
      </w:r>
      <w:r>
        <w:rPr>
          <w:i/>
          <w:iCs/>
          <w:sz w:val="19"/>
          <w:szCs w:val="19"/>
        </w:rPr>
        <w:t xml:space="preserve">What is VarSome Picks?</w:t>
      </w:r>
      <w:r>
        <w:rPr>
          <w:sz w:val="19"/>
          <w:szCs w:val="19"/>
        </w:rPr>
        <w:t xml:space="preserve"> https://docs.varsome.com/en/varsome-picks</w:t>
      </w:r>
    </w:p>
    <w:p>
      <w:pPr>
        <w:tabs>
          <w:tab w:val="left" w:pos="480"/>
        </w:tabs>
        <w:spacing w:after="60" w:line="240"/>
        <w:ind w:left="480" w:hanging="480"/>
        <w:jc w:val="left"/>
      </w:pPr>
      <w:r>
        <w:rPr>
          <w:sz w:val="19"/>
          <w:szCs w:val="19"/>
        </w:rPr>
        <w:t xml:space="preserve">6.</w:t>
      </w:r>
      <w:r>
        <w:rPr>
          <w:sz w:val="19"/>
          <w:szCs w:val="19"/>
        </w:rPr>
        <w:tab/>
      </w:r>
      <w:r>
        <w:rPr>
          <w:sz w:val="19"/>
          <w:szCs w:val="19"/>
        </w:rPr>
        <w:t xml:space="preserve">Genoox Franklin Help Center. </w:t>
      </w:r>
      <w:r>
        <w:rPr>
          <w:i/>
          <w:iCs/>
          <w:sz w:val="19"/>
          <w:szCs w:val="19"/>
        </w:rPr>
        <w:t xml:space="preserve">Franklin's AI-based variant prioritization engine.</w:t>
      </w:r>
      <w:r>
        <w:rPr>
          <w:sz w:val="19"/>
          <w:szCs w:val="19"/>
        </w:rPr>
        <w:t xml:space="preserve"> https://help.genoox.com/en/articles/4444301-franklin-s-ai-based-variant-prioritization-engine</w:t>
      </w:r>
    </w:p>
    <w:p>
      <w:pPr>
        <w:tabs>
          <w:tab w:val="left" w:pos="480"/>
        </w:tabs>
        <w:spacing w:after="60" w:line="240"/>
        <w:ind w:left="480" w:hanging="480"/>
        <w:jc w:val="left"/>
      </w:pPr>
      <w:r>
        <w:rPr>
          <w:sz w:val="19"/>
          <w:szCs w:val="19"/>
        </w:rPr>
        <w:t xml:space="preserve">7.</w:t>
      </w:r>
      <w:r>
        <w:rPr>
          <w:sz w:val="19"/>
          <w:szCs w:val="19"/>
        </w:rPr>
        <w:tab/>
      </w:r>
      <w:r>
        <w:rPr>
          <w:sz w:val="19"/>
          <w:szCs w:val="19"/>
        </w:rPr>
        <w:t xml:space="preserve">Genoox Franklin Help Center. </w:t>
      </w:r>
      <w:r>
        <w:rPr>
          <w:i/>
          <w:iCs/>
          <w:sz w:val="19"/>
          <w:szCs w:val="19"/>
        </w:rPr>
        <w:t xml:space="preserve">Genes and Regions.</w:t>
      </w:r>
      <w:r>
        <w:rPr>
          <w:sz w:val="19"/>
          <w:szCs w:val="19"/>
        </w:rPr>
        <w:t xml:space="preserve"> https://help.genoox.com/en/articles/4362851-genes-and-regions</w:t>
      </w:r>
    </w:p>
    <w:p>
      <w:pPr>
        <w:tabs>
          <w:tab w:val="left" w:pos="480"/>
        </w:tabs>
        <w:spacing w:after="60" w:line="240"/>
        <w:ind w:left="480" w:hanging="480"/>
        <w:jc w:val="left"/>
      </w:pPr>
      <w:r>
        <w:rPr>
          <w:sz w:val="19"/>
          <w:szCs w:val="19"/>
        </w:rPr>
        <w:t xml:space="preserve">8.</w:t>
      </w:r>
      <w:r>
        <w:rPr>
          <w:sz w:val="19"/>
          <w:szCs w:val="19"/>
        </w:rPr>
        <w:tab/>
      </w:r>
      <w:r>
        <w:rPr>
          <w:sz w:val="19"/>
          <w:szCs w:val="19"/>
        </w:rPr>
        <w:t xml:space="preserve">SOPHiA GENETICS. </w:t>
      </w:r>
      <w:r>
        <w:rPr>
          <w:i/>
          <w:iCs/>
          <w:sz w:val="19"/>
          <w:szCs w:val="19"/>
        </w:rPr>
        <w:t xml:space="preserve">Alamut™ Visual Plus — Variant Annotation and Analysis Software.</w:t>
      </w:r>
      <w:r>
        <w:rPr>
          <w:sz w:val="19"/>
          <w:szCs w:val="19"/>
        </w:rPr>
        <w:t xml:space="preserve"> https://www.sophiagenetics.com/sophia-ddm-for-genomics/alamut-visual-plus/</w:t>
      </w:r>
    </w:p>
    <w:p>
      <w:pPr>
        <w:tabs>
          <w:tab w:val="left" w:pos="480"/>
        </w:tabs>
        <w:spacing w:after="60" w:line="240"/>
        <w:ind w:left="480" w:hanging="480"/>
        <w:jc w:val="left"/>
      </w:pPr>
      <w:r>
        <w:rPr>
          <w:sz w:val="19"/>
          <w:szCs w:val="19"/>
        </w:rPr>
        <w:t xml:space="preserve">9.</w:t>
      </w:r>
      <w:r>
        <w:rPr>
          <w:sz w:val="19"/>
          <w:szCs w:val="19"/>
        </w:rPr>
        <w:tab/>
      </w:r>
      <w:r>
        <w:rPr>
          <w:sz w:val="19"/>
          <w:szCs w:val="19"/>
        </w:rPr>
        <w:t xml:space="preserve">Interactive Biosoftware / SOPHiA GENETICS. </w:t>
      </w:r>
      <w:r>
        <w:rPr>
          <w:i/>
          <w:iCs/>
          <w:sz w:val="19"/>
          <w:szCs w:val="19"/>
        </w:rPr>
        <w:t xml:space="preserve">ACMG/AMP Variant Interpretation Standards and Guidelines Support in Alamut™ Visual Plus.</w:t>
      </w:r>
      <w:r>
        <w:rPr>
          <w:sz w:val="19"/>
          <w:szCs w:val="19"/>
        </w:rPr>
        <w:t xml:space="preserve"> https://www.interactive-biosoftware.com/en/acmg-guidelines/</w:t>
      </w:r>
    </w:p>
    <w:p>
      <w:pPr>
        <w:tabs>
          <w:tab w:val="left" w:pos="480"/>
        </w:tabs>
        <w:spacing w:after="60" w:line="240"/>
        <w:ind w:left="480" w:hanging="480"/>
        <w:jc w:val="left"/>
      </w:pPr>
      <w:r>
        <w:rPr>
          <w:sz w:val="19"/>
          <w:szCs w:val="19"/>
        </w:rPr>
        <w:t xml:space="preserve">10.</w:t>
      </w:r>
      <w:r>
        <w:rPr>
          <w:sz w:val="19"/>
          <w:szCs w:val="19"/>
        </w:rPr>
        <w:tab/>
      </w:r>
      <w:r>
        <w:rPr>
          <w:sz w:val="19"/>
          <w:szCs w:val="19"/>
        </w:rPr>
        <w:t xml:space="preserve">Genomenon. </w:t>
      </w:r>
      <w:r>
        <w:rPr>
          <w:i/>
          <w:iCs/>
          <w:sz w:val="19"/>
          <w:szCs w:val="19"/>
        </w:rPr>
        <w:t xml:space="preserve">Genomenon's automated genomic search engine Mastermind illuminates current trends in genomic literature.</w:t>
      </w:r>
      <w:r>
        <w:rPr>
          <w:sz w:val="19"/>
          <w:szCs w:val="19"/>
        </w:rPr>
        <w:t xml:space="preserve"> https://enlightenbio.com/news-and-features/2018/01/01/genomenons-automated-genomic-search-engine-mastermind-illuminates-current-trends-in-genomic-literature/</w:t>
      </w:r>
    </w:p>
    <w:p>
      <w:pPr>
        <w:tabs>
          <w:tab w:val="left" w:pos="480"/>
        </w:tabs>
        <w:spacing w:after="60" w:line="240"/>
        <w:ind w:left="480" w:hanging="480"/>
        <w:jc w:val="left"/>
      </w:pPr>
      <w:r>
        <w:rPr>
          <w:sz w:val="19"/>
          <w:szCs w:val="19"/>
        </w:rPr>
        <w:t xml:space="preserve">11.</w:t>
      </w:r>
      <w:r>
        <w:rPr>
          <w:sz w:val="19"/>
          <w:szCs w:val="19"/>
        </w:rPr>
        <w:tab/>
      </w:r>
      <w:r>
        <w:rPr>
          <w:sz w:val="19"/>
          <w:szCs w:val="19"/>
        </w:rPr>
        <w:t xml:space="preserve">Piñero J, Ramírez-Anguita JM, Saüch-Pitarch J, Ronzano F, Centeno E, Sanz F, Furlong LI. </w:t>
      </w:r>
      <w:r>
        <w:rPr>
          <w:i/>
          <w:iCs/>
          <w:sz w:val="19"/>
          <w:szCs w:val="19"/>
        </w:rPr>
        <w:t xml:space="preserve">The DisGeNET knowledge platform for disease genomics: 2019 update.</w:t>
      </w:r>
      <w:r>
        <w:rPr>
          <w:sz w:val="19"/>
          <w:szCs w:val="19"/>
        </w:rPr>
        <w:t xml:space="preserve"> Nucleic Acids Research. 2020;48(D1):D845–D855. https://doi.org/10.1093/nar/gkz1021</w:t>
      </w:r>
    </w:p>
    <w:p>
      <w:pPr>
        <w:tabs>
          <w:tab w:val="left" w:pos="480"/>
        </w:tabs>
        <w:spacing w:after="60" w:line="240"/>
        <w:ind w:left="480" w:hanging="480"/>
        <w:jc w:val="left"/>
      </w:pPr>
      <w:r>
        <w:rPr>
          <w:sz w:val="19"/>
          <w:szCs w:val="19"/>
        </w:rPr>
        <w:t xml:space="preserve">12.</w:t>
      </w:r>
      <w:r>
        <w:rPr>
          <w:sz w:val="19"/>
          <w:szCs w:val="19"/>
        </w:rPr>
        <w:tab/>
      </w:r>
      <w:r>
        <w:rPr>
          <w:i/>
          <w:iCs/>
          <w:sz w:val="19"/>
          <w:szCs w:val="19"/>
        </w:rPr>
        <w:t xml:space="preserve">Database article on a disease-centric interaction database related to DisGeNET.</w:t>
      </w:r>
      <w:r>
        <w:rPr>
          <w:sz w:val="19"/>
          <w:szCs w:val="19"/>
        </w:rPr>
        <w:t xml:space="preserve"> Database. 2024. https://academic.oup.com/database/article/doi/10.1093/database/baae122/7951612</w:t>
      </w:r>
    </w:p>
    <w:p>
      <w:pPr>
        <w:tabs>
          <w:tab w:val="left" w:pos="480"/>
        </w:tabs>
        <w:spacing w:after="60" w:line="240"/>
        <w:ind w:left="480" w:hanging="480"/>
        <w:jc w:val="left"/>
      </w:pPr>
      <w:r>
        <w:rPr>
          <w:sz w:val="19"/>
          <w:szCs w:val="19"/>
        </w:rPr>
        <w:t xml:space="preserve">13.</w:t>
      </w:r>
      <w:r>
        <w:rPr>
          <w:sz w:val="19"/>
          <w:szCs w:val="19"/>
        </w:rPr>
        <w:tab/>
      </w:r>
      <w:r>
        <w:rPr>
          <w:sz w:val="19"/>
          <w:szCs w:val="19"/>
        </w:rPr>
        <w:t xml:space="preserve">Danecek P, Auton A, Abecasis G, et al. </w:t>
      </w:r>
      <w:r>
        <w:rPr>
          <w:i/>
          <w:iCs/>
          <w:sz w:val="19"/>
          <w:szCs w:val="19"/>
        </w:rPr>
        <w:t xml:space="preserve">The variant call format and VCFtools.</w:t>
      </w:r>
      <w:r>
        <w:rPr>
          <w:sz w:val="19"/>
          <w:szCs w:val="19"/>
        </w:rPr>
        <w:t xml:space="preserve"> Bioinformatics. 2011;27(15):2156–2158. DOI: 10.1093/bioinformatics/btr330</w:t>
      </w:r>
    </w:p>
    <w:p>
      <w:pPr>
        <w:tabs>
          <w:tab w:val="left" w:pos="480"/>
        </w:tabs>
        <w:spacing w:after="60" w:line="240"/>
        <w:ind w:left="480" w:hanging="480"/>
        <w:jc w:val="left"/>
      </w:pPr>
      <w:r>
        <w:rPr>
          <w:sz w:val="19"/>
          <w:szCs w:val="19"/>
        </w:rPr>
        <w:t xml:space="preserve">14.</w:t>
      </w:r>
      <w:r>
        <w:rPr>
          <w:sz w:val="19"/>
          <w:szCs w:val="19"/>
        </w:rPr>
        <w:tab/>
      </w:r>
      <w:r>
        <w:rPr>
          <w:sz w:val="19"/>
          <w:szCs w:val="19"/>
        </w:rPr>
        <w:t xml:space="preserve">Exomiser documentation. </w:t>
      </w:r>
      <w:r>
        <w:rPr>
          <w:i/>
          <w:iCs/>
          <w:sz w:val="19"/>
          <w:szCs w:val="19"/>
        </w:rPr>
        <w:t xml:space="preserve">Structural Variant Prioritisation.</w:t>
      </w:r>
      <w:r>
        <w:rPr>
          <w:sz w:val="19"/>
          <w:szCs w:val="19"/>
        </w:rPr>
        <w:t xml:space="preserve"> v14.1.0. https://exomiser.readthedocs.io/en/14.1.0/sv_prioritisation.html</w:t>
      </w:r>
    </w:p>
    <w:p>
      <w:pPr>
        <w:tabs>
          <w:tab w:val="left" w:pos="480"/>
        </w:tabs>
        <w:spacing w:after="60" w:line="240"/>
        <w:ind w:left="480" w:hanging="480"/>
        <w:jc w:val="left"/>
      </w:pPr>
      <w:r>
        <w:rPr>
          <w:sz w:val="19"/>
          <w:szCs w:val="19"/>
        </w:rPr>
        <w:t xml:space="preserve">15.</w:t>
      </w:r>
      <w:r>
        <w:rPr>
          <w:sz w:val="19"/>
          <w:szCs w:val="19"/>
        </w:rPr>
        <w:tab/>
      </w:r>
      <w:r>
        <w:rPr>
          <w:sz w:val="19"/>
          <w:szCs w:val="19"/>
        </w:rPr>
        <w:t xml:space="preserve">Cipriani V, Pontikos N, Arno G, et al. </w:t>
      </w:r>
      <w:r>
        <w:rPr>
          <w:i/>
          <w:iCs/>
          <w:sz w:val="19"/>
          <w:szCs w:val="19"/>
        </w:rPr>
        <w:t xml:space="preserve">An improved phenotype-driven tool for rare Mendelian variant prioritization: benchmarking Exomiser on real patient whole-exome data.</w:t>
      </w:r>
      <w:r>
        <w:rPr>
          <w:sz w:val="19"/>
          <w:szCs w:val="19"/>
        </w:rPr>
        <w:t xml:space="preserve"> Genes. 2020;11(4):460. https://doi.org/10.3390/genes11040460 [States explicitly: "Another limitation of Exomiser consists in its current inability of incorporating CNVs in the analysis of SNVs and indels from VCF files."]</w:t>
      </w:r>
    </w:p>
    <w:p>
      <w:pPr>
        <w:tabs>
          <w:tab w:val="left" w:pos="480"/>
        </w:tabs>
        <w:spacing w:after="60" w:line="240"/>
        <w:ind w:left="480" w:hanging="480"/>
        <w:jc w:val="left"/>
      </w:pPr>
      <w:r>
        <w:rPr>
          <w:sz w:val="19"/>
          <w:szCs w:val="19"/>
        </w:rPr>
        <w:t xml:space="preserve">16.</w:t>
      </w:r>
      <w:r>
        <w:rPr>
          <w:sz w:val="19"/>
          <w:szCs w:val="19"/>
        </w:rPr>
        <w:tab/>
      </w:r>
      <w:r>
        <w:rPr>
          <w:sz w:val="19"/>
          <w:szCs w:val="19"/>
        </w:rPr>
        <w:t xml:space="preserve">Lucid Genomics. </w:t>
      </w:r>
      <w:r>
        <w:rPr>
          <w:i/>
          <w:iCs/>
          <w:sz w:val="19"/>
          <w:szCs w:val="19"/>
        </w:rPr>
        <w:t xml:space="preserve">Platform.</w:t>
      </w:r>
      <w:r>
        <w:rPr>
          <w:sz w:val="19"/>
          <w:szCs w:val="19"/>
        </w:rPr>
        <w:t xml:space="preserve"> https://www.lucid-genomics.com/platform</w:t>
      </w:r>
    </w:p>
    <w:p>
      <w:pPr>
        <w:tabs>
          <w:tab w:val="left" w:pos="480"/>
        </w:tabs>
        <w:spacing w:after="60" w:line="240"/>
        <w:ind w:left="480" w:hanging="480"/>
        <w:jc w:val="left"/>
      </w:pPr>
      <w:r>
        <w:rPr>
          <w:sz w:val="19"/>
          <w:szCs w:val="19"/>
        </w:rPr>
        <w:t xml:space="preserve">17.</w:t>
      </w:r>
      <w:r>
        <w:rPr>
          <w:sz w:val="19"/>
          <w:szCs w:val="19"/>
        </w:rPr>
        <w:tab/>
      </w:r>
      <w:r>
        <w:rPr>
          <w:sz w:val="19"/>
          <w:szCs w:val="19"/>
        </w:rPr>
        <w:t xml:space="preserve">Lucid Genomics. </w:t>
      </w:r>
      <w:r>
        <w:rPr>
          <w:i/>
          <w:iCs/>
          <w:sz w:val="19"/>
          <w:szCs w:val="19"/>
        </w:rPr>
        <w:t xml:space="preserve">Home / platform overview.</w:t>
      </w:r>
      <w:r>
        <w:rPr>
          <w:sz w:val="19"/>
          <w:szCs w:val="19"/>
        </w:rPr>
        <w:t xml:space="preserve"> https://www.lucid-genomics.com/home-1</w:t>
      </w:r>
    </w:p>
    <w:p>
      <w:pPr>
        <w:tabs>
          <w:tab w:val="left" w:pos="480"/>
        </w:tabs>
        <w:spacing w:after="60" w:line="240"/>
        <w:ind w:left="480" w:hanging="480"/>
        <w:jc w:val="left"/>
      </w:pPr>
      <w:r>
        <w:rPr>
          <w:sz w:val="19"/>
          <w:szCs w:val="19"/>
        </w:rPr>
        <w:t xml:space="preserve">18.</w:t>
      </w:r>
      <w:r>
        <w:rPr>
          <w:sz w:val="19"/>
          <w:szCs w:val="19"/>
        </w:rPr>
        <w:tab/>
      </w:r>
      <w:r>
        <w:rPr>
          <w:sz w:val="19"/>
          <w:szCs w:val="19"/>
        </w:rPr>
        <w:t xml:space="preserve">Mao D, Liu C, Wang L, et al. </w:t>
      </w:r>
      <w:r>
        <w:rPr>
          <w:i/>
          <w:iCs/>
          <w:sz w:val="19"/>
          <w:szCs w:val="19"/>
        </w:rPr>
        <w:t xml:space="preserve">AI-MARRVEL — A Knowledge-Driven AI System for Diagnosing Mendelian Disorders.</w:t>
      </w:r>
      <w:r>
        <w:rPr>
          <w:sz w:val="19"/>
          <w:szCs w:val="19"/>
        </w:rPr>
        <w:t xml:space="preserve"> NEJM AI. 2024. DOI: 10.1056/aioa2300009</w:t>
      </w:r>
    </w:p>
    <w:p>
      <w:pPr>
        <w:tabs>
          <w:tab w:val="left" w:pos="480"/>
        </w:tabs>
        <w:spacing w:after="60" w:line="240"/>
        <w:ind w:left="480" w:hanging="480"/>
        <w:jc w:val="left"/>
      </w:pPr>
      <w:r>
        <w:rPr>
          <w:sz w:val="19"/>
          <w:szCs w:val="19"/>
        </w:rPr>
        <w:t xml:space="preserve">19.</w:t>
      </w:r>
      <w:r>
        <w:rPr>
          <w:sz w:val="19"/>
          <w:szCs w:val="19"/>
        </w:rPr>
        <w:tab/>
      </w:r>
      <w:r>
        <w:rPr>
          <w:sz w:val="19"/>
          <w:szCs w:val="19"/>
        </w:rPr>
        <w:t xml:space="preserve">Everton Z, Botas J, Kim SY, et al. </w:t>
      </w:r>
      <w:r>
        <w:rPr>
          <w:i/>
          <w:iCs/>
          <w:sz w:val="19"/>
          <w:szCs w:val="19"/>
        </w:rPr>
        <w:t xml:space="preserve">MARRVEL-MCP: An agentic interface for Mendelian disease discovery via tool-augmented context engineering.</w:t>
      </w:r>
      <w:r>
        <w:rPr>
          <w:sz w:val="19"/>
          <w:szCs w:val="19"/>
        </w:rPr>
        <w:t xml:space="preserve"> The American Journal of Human Genetics. 2026. DOI: 10.1016/j.ajhg.2026.04.012</w:t>
      </w:r>
    </w:p>
    <w:p>
      <w:pPr>
        <w:tabs>
          <w:tab w:val="left" w:pos="480"/>
        </w:tabs>
        <w:spacing w:after="60" w:line="240"/>
        <w:ind w:left="480" w:hanging="480"/>
        <w:jc w:val="left"/>
      </w:pPr>
      <w:r>
        <w:rPr>
          <w:sz w:val="19"/>
          <w:szCs w:val="19"/>
        </w:rPr>
        <w:t xml:space="preserve">20.</w:t>
      </w:r>
      <w:r>
        <w:rPr>
          <w:sz w:val="19"/>
          <w:szCs w:val="19"/>
        </w:rPr>
        <w:tab/>
      </w:r>
      <w:r>
        <w:rPr>
          <w:i/>
          <w:iCs/>
          <w:sz w:val="19"/>
          <w:szCs w:val="19"/>
        </w:rPr>
        <w:t xml:space="preserve">Model Context Protocol. Specification.</w:t>
      </w:r>
      <w:r>
        <w:rPr>
          <w:sz w:val="19"/>
          <w:szCs w:val="19"/>
        </w:rPr>
        <w:t xml:space="preserve"> 2026. https://modelcontextprotocol.io/specification</w:t>
      </w:r>
    </w:p>
    <w:p>
      <w:pPr>
        <w:tabs>
          <w:tab w:val="left" w:pos="480"/>
        </w:tabs>
        <w:spacing w:after="60" w:line="240"/>
        <w:ind w:left="480" w:hanging="480"/>
        <w:jc w:val="left"/>
      </w:pPr>
      <w:r>
        <w:rPr>
          <w:sz w:val="19"/>
          <w:szCs w:val="19"/>
        </w:rPr>
        <w:t xml:space="preserve">21.</w:t>
      </w:r>
      <w:r>
        <w:rPr>
          <w:sz w:val="19"/>
          <w:szCs w:val="19"/>
        </w:rPr>
        <w:tab/>
      </w:r>
      <w:r>
        <w:rPr>
          <w:sz w:val="19"/>
          <w:szCs w:val="19"/>
        </w:rPr>
        <w:t xml:space="preserve">Ladewig MS, Jacobsen JOB, Wagner AH, et al. </w:t>
      </w:r>
      <w:r>
        <w:rPr>
          <w:i/>
          <w:iCs/>
          <w:sz w:val="19"/>
          <w:szCs w:val="19"/>
        </w:rPr>
        <w:t xml:space="preserve">GA4GH Phenopackets: a practical introduction.</w:t>
      </w:r>
      <w:r>
        <w:rPr>
          <w:sz w:val="19"/>
          <w:szCs w:val="19"/>
        </w:rPr>
        <w:t xml:space="preserve"> Advanced Genetics. 2023;4(1):2200016. DOI: 10.1002/ggn2.202200016</w:t>
      </w:r>
    </w:p>
    <w:p>
      <w:pPr>
        <w:tabs>
          <w:tab w:val="left" w:pos="480"/>
        </w:tabs>
        <w:spacing w:after="60" w:line="240"/>
        <w:ind w:left="480" w:hanging="480"/>
        <w:jc w:val="left"/>
      </w:pPr>
      <w:r>
        <w:rPr>
          <w:sz w:val="19"/>
          <w:szCs w:val="19"/>
        </w:rPr>
        <w:t xml:space="preserve">22.</w:t>
      </w:r>
      <w:r>
        <w:rPr>
          <w:sz w:val="19"/>
          <w:szCs w:val="19"/>
        </w:rPr>
        <w:tab/>
      </w:r>
      <w:r>
        <w:rPr>
          <w:sz w:val="19"/>
          <w:szCs w:val="19"/>
        </w:rPr>
        <w:t xml:space="preserve">Danis D, Bamshad MJ, Bridges Y, et al. </w:t>
      </w:r>
      <w:r>
        <w:rPr>
          <w:i/>
          <w:iCs/>
          <w:sz w:val="19"/>
          <w:szCs w:val="19"/>
        </w:rPr>
        <w:t xml:space="preserve">A corpus of GA4GH phenopackets: case-level phenotyping for genomic diagnostics and discovery.</w:t>
      </w:r>
      <w:r>
        <w:rPr>
          <w:sz w:val="19"/>
          <w:szCs w:val="19"/>
        </w:rPr>
        <w:t xml:space="preserve"> HGG Advances. 2025;6(1):100371. DOI: 10.1016/j.xhgg.2024.100371</w:t>
      </w:r>
    </w:p>
    <w:p>
      <w:pPr>
        <w:tabs>
          <w:tab w:val="left" w:pos="480"/>
        </w:tabs>
        <w:spacing w:after="60" w:line="240"/>
        <w:ind w:left="480" w:hanging="480"/>
        <w:jc w:val="left"/>
      </w:pPr>
      <w:r>
        <w:rPr>
          <w:sz w:val="19"/>
          <w:szCs w:val="19"/>
        </w:rPr>
        <w:t xml:space="preserve">23.</w:t>
      </w:r>
      <w:r>
        <w:rPr>
          <w:sz w:val="19"/>
          <w:szCs w:val="19"/>
        </w:rPr>
        <w:tab/>
      </w:r>
      <w:r>
        <w:rPr>
          <w:sz w:val="19"/>
          <w:szCs w:val="19"/>
        </w:rPr>
        <w:t xml:space="preserve">Cortés-Ciriano I, Lee JJ-K, Xi R, et al. </w:t>
      </w:r>
      <w:r>
        <w:rPr>
          <w:i/>
          <w:iCs/>
          <w:sz w:val="19"/>
          <w:szCs w:val="19"/>
        </w:rPr>
        <w:t xml:space="preserve">Comprehensive analysis of chromothripsis in 2,658 human cancers using whole-genome sequencing.</w:t>
      </w:r>
      <w:r>
        <w:rPr>
          <w:sz w:val="19"/>
          <w:szCs w:val="19"/>
        </w:rPr>
        <w:t xml:space="preserve"> Nature Genetics. 2020. https://pmc.ncbi.nlm.nih.gov/articles/PMC7058534/</w:t>
      </w:r>
    </w:p>
    <w:p>
      <w:pPr>
        <w:tabs>
          <w:tab w:val="left" w:pos="480"/>
        </w:tabs>
        <w:spacing w:after="60" w:line="240"/>
        <w:ind w:left="480" w:hanging="480"/>
        <w:jc w:val="left"/>
      </w:pPr>
      <w:r>
        <w:rPr>
          <w:sz w:val="19"/>
          <w:szCs w:val="19"/>
        </w:rPr>
        <w:t xml:space="preserve">24.</w:t>
      </w:r>
      <w:r>
        <w:rPr>
          <w:sz w:val="19"/>
          <w:szCs w:val="19"/>
        </w:rPr>
        <w:tab/>
      </w:r>
      <w:r>
        <w:rPr>
          <w:sz w:val="19"/>
          <w:szCs w:val="19"/>
        </w:rPr>
        <w:t xml:space="preserve">Szymańska K, et al. </w:t>
      </w:r>
      <w:r>
        <w:rPr>
          <w:i/>
          <w:iCs/>
          <w:sz w:val="19"/>
          <w:szCs w:val="19"/>
        </w:rPr>
        <w:t xml:space="preserve">Chromothripsis — Explosion in Genetic Science.</w:t>
      </w:r>
      <w:r>
        <w:rPr>
          <w:sz w:val="19"/>
          <w:szCs w:val="19"/>
        </w:rPr>
        <w:t xml:space="preserve"> 2021. https://pmc.ncbi.nlm.nih.gov/articles/PMC8147837/</w:t>
      </w:r>
    </w:p>
    <w:p>
      <w:pPr>
        <w:tabs>
          <w:tab w:val="left" w:pos="480"/>
        </w:tabs>
        <w:spacing w:after="60" w:line="240"/>
        <w:ind w:left="480" w:hanging="480"/>
        <w:jc w:val="left"/>
      </w:pPr>
      <w:r>
        <w:rPr>
          <w:sz w:val="19"/>
          <w:szCs w:val="19"/>
        </w:rPr>
        <w:t xml:space="preserve">25.</w:t>
      </w:r>
      <w:r>
        <w:rPr>
          <w:sz w:val="19"/>
          <w:szCs w:val="19"/>
        </w:rPr>
        <w:tab/>
      </w:r>
      <w:r>
        <w:rPr>
          <w:sz w:val="19"/>
          <w:szCs w:val="19"/>
        </w:rPr>
        <w:t xml:space="preserve">Korbel JO, Campbell PJ. </w:t>
      </w:r>
      <w:r>
        <w:rPr>
          <w:i/>
          <w:iCs/>
          <w:sz w:val="19"/>
          <w:szCs w:val="19"/>
        </w:rPr>
        <w:t xml:space="preserve">Criteria for inference of chromothripsis in cancer genomes.</w:t>
      </w:r>
      <w:r>
        <w:rPr>
          <w:sz w:val="19"/>
          <w:szCs w:val="19"/>
        </w:rPr>
        <w:t xml:space="preserve"> Cell. 2013. https://pmc.ncbi.nlm.nih.gov/articles/PMC3999944/</w:t>
      </w:r>
    </w:p>
    <w:p>
      <w:pPr>
        <w:tabs>
          <w:tab w:val="left" w:pos="480"/>
        </w:tabs>
        <w:spacing w:after="60" w:line="240"/>
        <w:ind w:left="480" w:hanging="480"/>
        <w:jc w:val="left"/>
      </w:pPr>
      <w:r>
        <w:rPr>
          <w:sz w:val="19"/>
          <w:szCs w:val="19"/>
        </w:rPr>
        <w:t xml:space="preserve">26.</w:t>
      </w:r>
      <w:r>
        <w:rPr>
          <w:sz w:val="19"/>
          <w:szCs w:val="19"/>
        </w:rPr>
        <w:tab/>
      </w:r>
      <w:r>
        <w:rPr>
          <w:sz w:val="19"/>
          <w:szCs w:val="19"/>
        </w:rPr>
        <w:t xml:space="preserve">Kinsella M, Patel A, Bafna V. </w:t>
      </w:r>
      <w:r>
        <w:rPr>
          <w:i/>
          <w:iCs/>
          <w:sz w:val="19"/>
          <w:szCs w:val="19"/>
        </w:rPr>
        <w:t xml:space="preserve">The chromothripsis footprint in cancer genomes.</w:t>
      </w:r>
      <w:r>
        <w:rPr>
          <w:sz w:val="19"/>
          <w:szCs w:val="19"/>
        </w:rPr>
        <w:t xml:space="preserve"> BMC Genomics. 2014. https://pmc.ncbi.nlm.nih.gov/articles/PMC4117757/</w:t>
      </w:r>
    </w:p>
    <w:p>
      <w:pPr>
        <w:tabs>
          <w:tab w:val="left" w:pos="480"/>
        </w:tabs>
        <w:spacing w:after="60" w:line="240"/>
        <w:ind w:left="480" w:hanging="480"/>
        <w:jc w:val="left"/>
      </w:pPr>
      <w:r>
        <w:rPr>
          <w:sz w:val="19"/>
          <w:szCs w:val="19"/>
        </w:rPr>
        <w:t xml:space="preserve">27.</w:t>
      </w:r>
      <w:r>
        <w:rPr>
          <w:sz w:val="19"/>
          <w:szCs w:val="19"/>
        </w:rPr>
        <w:tab/>
      </w:r>
      <w:r>
        <w:rPr>
          <w:sz w:val="19"/>
          <w:szCs w:val="19"/>
        </w:rPr>
        <w:t xml:space="preserve">Chow JFC, Cheng HH, Wang J, et al. </w:t>
      </w:r>
      <w:r>
        <w:rPr>
          <w:i/>
          <w:iCs/>
          <w:sz w:val="19"/>
          <w:szCs w:val="19"/>
        </w:rPr>
        <w:t xml:space="preserve">High-resolution mapping of reciprocal translocation breakpoints using long-read sequencing.</w:t>
      </w:r>
      <w:r>
        <w:rPr>
          <w:sz w:val="19"/>
          <w:szCs w:val="19"/>
        </w:rPr>
        <w:t xml:space="preserve"> Genes (Basel). 2020. https://pubmed.ncbi.nlm.nih.gov/31908979/</w:t>
      </w:r>
    </w:p>
    <w:p>
      <w:pPr>
        <w:tabs>
          <w:tab w:val="left" w:pos="480"/>
        </w:tabs>
        <w:spacing w:after="60" w:line="240"/>
        <w:ind w:left="480" w:hanging="480"/>
        <w:jc w:val="left"/>
      </w:pPr>
      <w:r>
        <w:rPr>
          <w:sz w:val="19"/>
          <w:szCs w:val="19"/>
        </w:rPr>
        <w:t xml:space="preserve">28.</w:t>
      </w:r>
      <w:r>
        <w:rPr>
          <w:sz w:val="19"/>
          <w:szCs w:val="19"/>
        </w:rPr>
        <w:tab/>
      </w:r>
      <w:r>
        <w:rPr>
          <w:sz w:val="19"/>
          <w:szCs w:val="19"/>
        </w:rPr>
        <w:t xml:space="preserve">He M, et al. </w:t>
      </w:r>
      <w:r>
        <w:rPr>
          <w:i/>
          <w:iCs/>
          <w:sz w:val="19"/>
          <w:szCs w:val="19"/>
        </w:rPr>
        <w:t xml:space="preserve">Accurate identification of breakpoints in a cryptic balanced chromosomal rearrangement by long-read sequencing.</w:t>
      </w:r>
      <w:r>
        <w:rPr>
          <w:sz w:val="19"/>
          <w:szCs w:val="19"/>
        </w:rPr>
        <w:t xml:space="preserve"> 2023. https://pubmed.ncbi.nlm.nih.gov/36893740/</w:t>
      </w:r>
    </w:p>
    <w:p>
      <w:pPr>
        <w:tabs>
          <w:tab w:val="left" w:pos="480"/>
        </w:tabs>
        <w:spacing w:after="60" w:line="240"/>
        <w:ind w:left="480" w:hanging="480"/>
        <w:jc w:val="left"/>
      </w:pPr>
      <w:r>
        <w:rPr>
          <w:sz w:val="19"/>
          <w:szCs w:val="19"/>
        </w:rPr>
        <w:t xml:space="preserve">29.</w:t>
      </w:r>
      <w:r>
        <w:rPr>
          <w:sz w:val="19"/>
          <w:szCs w:val="19"/>
        </w:rPr>
        <w:tab/>
      </w:r>
      <w:r>
        <w:rPr>
          <w:sz w:val="19"/>
          <w:szCs w:val="19"/>
        </w:rPr>
        <w:t xml:space="preserve">Stephens PJ, Greenman CD, Fu B, et al. </w:t>
      </w:r>
      <w:r>
        <w:rPr>
          <w:i/>
          <w:iCs/>
          <w:sz w:val="19"/>
          <w:szCs w:val="19"/>
        </w:rPr>
        <w:t xml:space="preserve">Breakpoint profiling of 64 cancer genomes reveals numerous complex patterns of somatic rearrangement formed through distinct mechanisms.</w:t>
      </w:r>
      <w:r>
        <w:rPr>
          <w:sz w:val="19"/>
          <w:szCs w:val="19"/>
        </w:rPr>
        <w:t xml:space="preserve"> Cell. 2011. https://pmc.ncbi.nlm.nih.gov/articles/PMC3638133/</w:t>
      </w:r>
    </w:p>
    <w:p>
      <w:pPr>
        <w:tabs>
          <w:tab w:val="left" w:pos="480"/>
        </w:tabs>
        <w:spacing w:after="60" w:line="240"/>
        <w:ind w:left="480" w:hanging="480"/>
        <w:jc w:val="left"/>
      </w:pPr>
      <w:r>
        <w:rPr>
          <w:sz w:val="19"/>
          <w:szCs w:val="19"/>
        </w:rPr>
        <w:t xml:space="preserve">30.</w:t>
      </w:r>
      <w:r>
        <w:rPr>
          <w:sz w:val="19"/>
          <w:szCs w:val="19"/>
        </w:rPr>
        <w:tab/>
      </w:r>
      <w:r>
        <w:rPr>
          <w:sz w:val="19"/>
          <w:szCs w:val="19"/>
        </w:rPr>
        <w:t xml:space="preserve">Talkowski ME, et al. </w:t>
      </w:r>
      <w:r>
        <w:rPr>
          <w:i/>
          <w:iCs/>
          <w:sz w:val="19"/>
          <w:szCs w:val="19"/>
        </w:rPr>
        <w:t xml:space="preserve">Improved structural characterization of chromosomal breakpoints using high resolution custom array-CGH.</w:t>
      </w:r>
      <w:r>
        <w:rPr>
          <w:sz w:val="19"/>
          <w:szCs w:val="19"/>
        </w:rPr>
        <w:t xml:space="preserve"> Molecular Cytogenetics. 2010. https://pubmed.ncbi.nlm.nih.gov/20236111/</w:t>
      </w:r>
    </w:p>
    <w:p>
      <w:pPr>
        <w:tabs>
          <w:tab w:val="left" w:pos="480"/>
        </w:tabs>
        <w:spacing w:after="60" w:line="240"/>
        <w:ind w:left="480" w:hanging="480"/>
        <w:jc w:val="left"/>
      </w:pPr>
      <w:r>
        <w:rPr>
          <w:sz w:val="19"/>
          <w:szCs w:val="19"/>
        </w:rPr>
        <w:t xml:space="preserve">31.</w:t>
      </w:r>
      <w:r>
        <w:rPr>
          <w:sz w:val="19"/>
          <w:szCs w:val="19"/>
        </w:rPr>
        <w:tab/>
      </w:r>
      <w:r>
        <w:rPr>
          <w:sz w:val="19"/>
          <w:szCs w:val="19"/>
        </w:rPr>
        <w:t xml:space="preserve">Henssen AG, Koche R, Zhuang J, et al. </w:t>
      </w:r>
      <w:r>
        <w:rPr>
          <w:i/>
          <w:iCs/>
          <w:sz w:val="19"/>
          <w:szCs w:val="19"/>
        </w:rPr>
        <w:t xml:space="preserve">Long-read sequencing reveals chromothripsis in a patient with Cornelia de Lange syndrome and uncovers complex rearrangements missed by standard methods.</w:t>
      </w:r>
      <w:r>
        <w:rPr>
          <w:sz w:val="19"/>
          <w:szCs w:val="19"/>
        </w:rPr>
        <w:t xml:space="preserve"> Frontiers in Genetics. 2024. https://www.frontiersin.org/journals/genetics/articles/10.3389/fgene.2024.1358334/full</w:t>
      </w:r>
    </w:p>
    <w:p>
      <w:pPr>
        <w:tabs>
          <w:tab w:val="left" w:pos="480"/>
        </w:tabs>
        <w:spacing w:after="60" w:line="240"/>
        <w:ind w:left="480" w:hanging="480"/>
        <w:jc w:val="left"/>
      </w:pPr>
      <w:r>
        <w:rPr>
          <w:sz w:val="19"/>
          <w:szCs w:val="19"/>
        </w:rPr>
        <w:t xml:space="preserve">32.</w:t>
      </w:r>
      <w:r>
        <w:rPr>
          <w:sz w:val="19"/>
          <w:szCs w:val="19"/>
        </w:rPr>
        <w:tab/>
      </w:r>
      <w:r>
        <w:rPr>
          <w:sz w:val="19"/>
          <w:szCs w:val="19"/>
        </w:rPr>
        <w:t xml:space="preserve">Kerstjens-Frederikse WS, et al. </w:t>
      </w:r>
      <w:r>
        <w:rPr>
          <w:i/>
          <w:iCs/>
          <w:sz w:val="19"/>
          <w:szCs w:val="19"/>
        </w:rPr>
        <w:t xml:space="preserve">Breakpoint mapping of a novel de novo translocation t(X;20)(q11.1;p13) by positional cloning and long read sequencing.</w:t>
      </w:r>
      <w:r>
        <w:rPr>
          <w:sz w:val="19"/>
          <w:szCs w:val="19"/>
        </w:rPr>
        <w:t xml:space="preserve"> Molecular Genetics &amp; Genomic Medicine. 2019. https://pubmed.ncbi.nlm.nih.gov/30006036/</w:t>
      </w:r>
    </w:p>
    <w:p>
      <w:pPr>
        <w:tabs>
          <w:tab w:val="left" w:pos="480"/>
        </w:tabs>
        <w:spacing w:after="60" w:line="240"/>
        <w:ind w:left="480" w:hanging="480"/>
        <w:jc w:val="left"/>
      </w:pPr>
      <w:r>
        <w:rPr>
          <w:sz w:val="19"/>
          <w:szCs w:val="19"/>
        </w:rPr>
        <w:t xml:space="preserve">33.</w:t>
      </w:r>
      <w:r>
        <w:rPr>
          <w:sz w:val="19"/>
          <w:szCs w:val="19"/>
        </w:rPr>
        <w:tab/>
      </w:r>
      <w:r>
        <w:rPr>
          <w:sz w:val="19"/>
          <w:szCs w:val="19"/>
        </w:rPr>
        <w:t xml:space="preserve">Park Laboratory. </w:t>
      </w:r>
      <w:r>
        <w:rPr>
          <w:i/>
          <w:iCs/>
          <w:sz w:val="19"/>
          <w:szCs w:val="19"/>
        </w:rPr>
        <w:t xml:space="preserve">ShatterSeek</w:t>
      </w:r>
      <w:r>
        <w:rPr>
          <w:sz w:val="19"/>
          <w:szCs w:val="19"/>
        </w:rPr>
        <w:t xml:space="preserve"> [software]. GitHub repository. https://github.com/parklab/ShatterSeek</w:t>
      </w:r>
    </w:p>
    <w:p>
      <w:pPr>
        <w:tabs>
          <w:tab w:val="left" w:pos="480"/>
        </w:tabs>
        <w:spacing w:after="60" w:line="240"/>
        <w:ind w:left="480" w:hanging="480"/>
        <w:jc w:val="left"/>
      </w:pPr>
      <w:r>
        <w:rPr>
          <w:sz w:val="19"/>
          <w:szCs w:val="19"/>
        </w:rPr>
        <w:t xml:space="preserve">34.</w:t>
      </w:r>
      <w:r>
        <w:rPr>
          <w:sz w:val="19"/>
          <w:szCs w:val="19"/>
        </w:rPr>
        <w:tab/>
      </w:r>
      <w:r>
        <w:rPr>
          <w:sz w:val="19"/>
          <w:szCs w:val="19"/>
        </w:rPr>
        <w:t xml:space="preserve">Wang X, et al. </w:t>
      </w:r>
      <w:r>
        <w:rPr>
          <w:i/>
          <w:iCs/>
          <w:sz w:val="19"/>
          <w:szCs w:val="19"/>
        </w:rPr>
        <w:t xml:space="preserve">PhenoSV: interpretable phenotype-aware model for the prioritization of genes affected by structural variants.</w:t>
      </w:r>
      <w:r>
        <w:rPr>
          <w:sz w:val="19"/>
          <w:szCs w:val="19"/>
        </w:rPr>
        <w:t xml:space="preserve"> Nature Communications. 2023. https://pmc.ncbi.nlm.nih.gov/articles/PMC10684511/</w:t>
      </w:r>
    </w:p>
    <w:p>
      <w:pPr>
        <w:tabs>
          <w:tab w:val="left" w:pos="480"/>
        </w:tabs>
        <w:spacing w:after="60" w:line="240"/>
        <w:ind w:left="480" w:hanging="480"/>
        <w:jc w:val="left"/>
      </w:pPr>
      <w:r>
        <w:rPr>
          <w:sz w:val="19"/>
          <w:szCs w:val="19"/>
        </w:rPr>
        <w:t xml:space="preserve">35.</w:t>
      </w:r>
      <w:r>
        <w:rPr>
          <w:sz w:val="19"/>
          <w:szCs w:val="19"/>
        </w:rPr>
        <w:tab/>
      </w:r>
      <w:r>
        <w:rPr>
          <w:sz w:val="19"/>
          <w:szCs w:val="19"/>
        </w:rPr>
        <w:t xml:space="preserve">Fasching L, et al. </w:t>
      </w:r>
      <w:r>
        <w:rPr>
          <w:i/>
          <w:iCs/>
          <w:sz w:val="19"/>
          <w:szCs w:val="19"/>
        </w:rPr>
        <w:t xml:space="preserve">RNA-seq mapping and structural variant interpretation.</w:t>
      </w:r>
      <w:r>
        <w:rPr>
          <w:sz w:val="19"/>
          <w:szCs w:val="19"/>
        </w:rPr>
        <w:t xml:space="preserve"> https://pmc.ncbi.nlm.nih.gov/articles/PMC6868818/</w:t>
      </w:r>
    </w:p>
    <w:p>
      <w:pPr>
        <w:tabs>
          <w:tab w:val="left" w:pos="480"/>
        </w:tabs>
        <w:spacing w:after="60" w:line="240"/>
        <w:ind w:left="480" w:hanging="480"/>
        <w:jc w:val="left"/>
      </w:pPr>
      <w:r>
        <w:rPr>
          <w:sz w:val="19"/>
          <w:szCs w:val="19"/>
        </w:rPr>
        <w:t xml:space="preserve">36.</w:t>
      </w:r>
      <w:r>
        <w:rPr>
          <w:sz w:val="19"/>
          <w:szCs w:val="19"/>
        </w:rPr>
        <w:tab/>
      </w:r>
      <w:r>
        <w:rPr>
          <w:sz w:val="19"/>
          <w:szCs w:val="19"/>
        </w:rPr>
        <w:t xml:space="preserve">Integrative Genomics Viewer (IGV) [official website]. https://igv.org</w:t>
      </w:r>
    </w:p>
    <w:p>
      <w:pPr>
        <w:tabs>
          <w:tab w:val="left" w:pos="480"/>
        </w:tabs>
        <w:spacing w:after="60" w:line="240"/>
        <w:ind w:left="480" w:hanging="480"/>
        <w:jc w:val="left"/>
      </w:pPr>
      <w:r>
        <w:rPr>
          <w:sz w:val="19"/>
          <w:szCs w:val="19"/>
        </w:rPr>
        <w:t xml:space="preserve">37.</w:t>
      </w:r>
      <w:r>
        <w:rPr>
          <w:sz w:val="19"/>
          <w:szCs w:val="19"/>
        </w:rPr>
        <w:tab/>
      </w:r>
      <w:r>
        <w:rPr>
          <w:sz w:val="19"/>
          <w:szCs w:val="19"/>
        </w:rPr>
        <w:t xml:space="preserve">Robinson JT, Thorvaldsdóttir H, Wenger AM, et al. </w:t>
      </w:r>
      <w:r>
        <w:rPr>
          <w:i/>
          <w:iCs/>
          <w:sz w:val="19"/>
          <w:szCs w:val="19"/>
        </w:rPr>
        <w:t xml:space="preserve">Variant review with the Integrative Genomics Viewer (IGV).</w:t>
      </w:r>
      <w:r>
        <w:rPr>
          <w:sz w:val="19"/>
          <w:szCs w:val="19"/>
        </w:rPr>
        <w:t xml:space="preserve"> Cancer Research. 2017. https://pmc.ncbi.nlm.nih.gov/articles/PMC5678989/</w:t>
      </w:r>
    </w:p>
    <w:p>
      <w:pPr>
        <w:tabs>
          <w:tab w:val="left" w:pos="480"/>
        </w:tabs>
        <w:spacing w:after="60" w:line="240"/>
        <w:ind w:left="480" w:hanging="480"/>
        <w:jc w:val="left"/>
      </w:pPr>
      <w:r>
        <w:rPr>
          <w:sz w:val="19"/>
          <w:szCs w:val="19"/>
        </w:rPr>
        <w:t xml:space="preserve">38.</w:t>
      </w:r>
      <w:r>
        <w:rPr>
          <w:sz w:val="19"/>
          <w:szCs w:val="19"/>
        </w:rPr>
        <w:tab/>
      </w:r>
      <w:r>
        <w:rPr>
          <w:sz w:val="19"/>
          <w:szCs w:val="19"/>
        </w:rPr>
        <w:t xml:space="preserve">Genomics England. </w:t>
      </w:r>
      <w:r>
        <w:rPr>
          <w:i/>
          <w:iCs/>
          <w:sz w:val="19"/>
          <w:szCs w:val="19"/>
        </w:rPr>
        <w:t xml:space="preserve">Visualising Rare Disease – IGV Service Help.</w:t>
      </w:r>
      <w:r>
        <w:rPr>
          <w:sz w:val="19"/>
          <w:szCs w:val="19"/>
        </w:rPr>
        <w:t xml:space="preserve"> https://genomicsengland.gitlab.io/interpretation/igv-docs/Petra/rare-disease/</w:t>
      </w:r>
    </w:p>
    <w:p>
      <w:pPr>
        <w:tabs>
          <w:tab w:val="left" w:pos="480"/>
        </w:tabs>
        <w:spacing w:after="60" w:line="240"/>
        <w:ind w:left="480" w:hanging="480"/>
        <w:jc w:val="left"/>
      </w:pPr>
      <w:r>
        <w:rPr>
          <w:sz w:val="19"/>
          <w:szCs w:val="19"/>
        </w:rPr>
        <w:t xml:space="preserve">39.</w:t>
      </w:r>
      <w:r>
        <w:rPr>
          <w:sz w:val="19"/>
          <w:szCs w:val="19"/>
        </w:rPr>
        <w:tab/>
      </w:r>
      <w:r>
        <w:rPr>
          <w:sz w:val="19"/>
          <w:szCs w:val="19"/>
        </w:rPr>
        <w:t xml:space="preserve">Rausch T, Zichner T, Schlattl A, et al. </w:t>
      </w:r>
      <w:r>
        <w:rPr>
          <w:i/>
          <w:iCs/>
          <w:sz w:val="19"/>
          <w:szCs w:val="19"/>
        </w:rPr>
        <w:t xml:space="preserve">DELLY: structural variant discovery by integrated paired-end and split-read analysis.</w:t>
      </w:r>
      <w:r>
        <w:rPr>
          <w:sz w:val="19"/>
          <w:szCs w:val="19"/>
        </w:rPr>
        <w:t xml:space="preserve"> Bioinformatics. 2012;28(18):i333–i339. DOI: 10.1093/bioinformatics/bts378</w:t>
      </w:r>
    </w:p>
    <w:p>
      <w:pPr>
        <w:tabs>
          <w:tab w:val="left" w:pos="480"/>
        </w:tabs>
        <w:spacing w:after="60" w:line="240"/>
        <w:ind w:left="480" w:hanging="480"/>
        <w:jc w:val="left"/>
      </w:pPr>
      <w:r>
        <w:rPr>
          <w:sz w:val="19"/>
          <w:szCs w:val="19"/>
        </w:rPr>
        <w:t xml:space="preserve">40.</w:t>
      </w:r>
      <w:r>
        <w:rPr>
          <w:sz w:val="19"/>
          <w:szCs w:val="19"/>
        </w:rPr>
        <w:tab/>
      </w:r>
      <w:r>
        <w:rPr>
          <w:sz w:val="19"/>
          <w:szCs w:val="19"/>
        </w:rPr>
        <w:t xml:space="preserve">IGV GitHub issue. </w:t>
      </w:r>
      <w:r>
        <w:rPr>
          <w:i/>
          <w:iCs/>
          <w:sz w:val="19"/>
          <w:szCs w:val="19"/>
        </w:rPr>
        <w:t xml:space="preserve">Suggestions for viewing long-read structural variant data.</w:t>
      </w:r>
      <w:r>
        <w:rPr>
          <w:sz w:val="19"/>
          <w:szCs w:val="19"/>
        </w:rPr>
        <w:t xml:space="preserve"> https://github.com/igvteam/igv/issues/632</w:t>
      </w:r>
    </w:p>
    <w:p>
      <w:pPr>
        <w:tabs>
          <w:tab w:val="left" w:pos="480"/>
        </w:tabs>
        <w:spacing w:after="60" w:line="240"/>
        <w:ind w:left="480" w:hanging="480"/>
        <w:jc w:val="left"/>
      </w:pPr>
      <w:r>
        <w:rPr>
          <w:sz w:val="19"/>
          <w:szCs w:val="19"/>
        </w:rPr>
        <w:t xml:space="preserve">41.</w:t>
      </w:r>
      <w:r>
        <w:rPr>
          <w:sz w:val="19"/>
          <w:szCs w:val="19"/>
        </w:rPr>
        <w:tab/>
      </w:r>
      <w:r>
        <w:rPr>
          <w:sz w:val="19"/>
          <w:szCs w:val="19"/>
        </w:rPr>
        <w:t xml:space="preserve">Genomics England Interpretation Portal Help. </w:t>
      </w:r>
      <w:r>
        <w:rPr>
          <w:i/>
          <w:iCs/>
          <w:sz w:val="19"/>
          <w:szCs w:val="19"/>
        </w:rPr>
        <w:t xml:space="preserve">Using IGV.</w:t>
      </w:r>
      <w:r>
        <w:rPr>
          <w:sz w:val="19"/>
          <w:szCs w:val="19"/>
        </w:rPr>
        <w:t xml:space="preserve"> https://ip-portal-help.genomicsengland.co.uk/1.1/GMS-Interpretation-Portal/gms_more_igv/</w:t>
      </w:r>
    </w:p>
    <w:p>
      <w:pPr>
        <w:tabs>
          <w:tab w:val="left" w:pos="480"/>
        </w:tabs>
        <w:spacing w:after="60" w:line="240"/>
        <w:ind w:left="480" w:hanging="480"/>
        <w:jc w:val="left"/>
      </w:pPr>
      <w:r>
        <w:rPr>
          <w:sz w:val="19"/>
          <w:szCs w:val="19"/>
        </w:rPr>
        <w:t xml:space="preserve">42.</w:t>
      </w:r>
      <w:r>
        <w:rPr>
          <w:sz w:val="19"/>
          <w:szCs w:val="19"/>
        </w:rPr>
        <w:tab/>
      </w:r>
      <w:r>
        <w:rPr>
          <w:sz w:val="19"/>
          <w:szCs w:val="19"/>
        </w:rPr>
        <w:t xml:space="preserve">PacBio. </w:t>
      </w:r>
      <w:r>
        <w:rPr>
          <w:i/>
          <w:iCs/>
          <w:sz w:val="19"/>
          <w:szCs w:val="19"/>
        </w:rPr>
        <w:t xml:space="preserve">IGV 3 improves support for PacBio long reads</w:t>
      </w:r>
      <w:r>
        <w:rPr>
          <w:sz w:val="19"/>
          <w:szCs w:val="19"/>
        </w:rPr>
        <w:t xml:space="preserve"> [blog]. https://www.pacb.com/blog/igv-3-improves-support-pacbio-long-reads/</w:t>
      </w:r>
    </w:p>
    <w:p>
      <w:pPr>
        <w:tabs>
          <w:tab w:val="left" w:pos="480"/>
        </w:tabs>
        <w:spacing w:after="60" w:line="240"/>
        <w:ind w:left="480" w:hanging="480"/>
        <w:jc w:val="left"/>
      </w:pPr>
      <w:r>
        <w:rPr>
          <w:sz w:val="19"/>
          <w:szCs w:val="19"/>
        </w:rPr>
        <w:t xml:space="preserve">43.</w:t>
      </w:r>
      <w:r>
        <w:rPr>
          <w:sz w:val="19"/>
          <w:szCs w:val="19"/>
        </w:rPr>
        <w:tab/>
      </w:r>
      <w:r>
        <w:rPr>
          <w:sz w:val="19"/>
          <w:szCs w:val="19"/>
        </w:rPr>
        <w:t xml:space="preserve">Genomics England. </w:t>
      </w:r>
      <w:r>
        <w:rPr>
          <w:i/>
          <w:iCs/>
          <w:sz w:val="19"/>
          <w:szCs w:val="19"/>
        </w:rPr>
        <w:t xml:space="preserve">Integrative Genome Viewer (IGV).</w:t>
      </w:r>
      <w:r>
        <w:rPr>
          <w:sz w:val="19"/>
          <w:szCs w:val="19"/>
        </w:rPr>
        <w:t xml:space="preserve"> https://re-docs.genomicsengland.co.uk/igv/</w:t>
      </w:r>
    </w:p>
    <w:p>
      <w:pPr>
        <w:tabs>
          <w:tab w:val="left" w:pos="480"/>
        </w:tabs>
        <w:spacing w:after="60" w:line="240"/>
        <w:ind w:left="480" w:hanging="480"/>
        <w:jc w:val="left"/>
      </w:pPr>
      <w:r>
        <w:rPr>
          <w:sz w:val="19"/>
          <w:szCs w:val="19"/>
        </w:rPr>
        <w:t xml:space="preserve">44.</w:t>
      </w:r>
      <w:r>
        <w:rPr>
          <w:sz w:val="19"/>
          <w:szCs w:val="19"/>
        </w:rPr>
        <w:tab/>
      </w:r>
      <w:r>
        <w:rPr>
          <w:sz w:val="19"/>
          <w:szCs w:val="19"/>
        </w:rPr>
        <w:t xml:space="preserve">Richmond PA, et al. </w:t>
      </w:r>
      <w:r>
        <w:rPr>
          <w:i/>
          <w:iCs/>
          <w:sz w:val="19"/>
          <w:szCs w:val="19"/>
        </w:rPr>
        <w:t xml:space="preserve">GeneBreaker: variant simulation to improve the diagnosis of Mendelian rare genetic diseases.</w:t>
      </w:r>
      <w:r>
        <w:rPr>
          <w:sz w:val="19"/>
          <w:szCs w:val="19"/>
        </w:rPr>
        <w:t xml:space="preserve"> https://pubmed.ncbi.nlm.nih.gov/33368787/</w:t>
      </w:r>
    </w:p>
    <w:p>
      <w:pPr>
        <w:tabs>
          <w:tab w:val="left" w:pos="480"/>
        </w:tabs>
        <w:spacing w:after="60" w:line="240"/>
        <w:ind w:left="480" w:hanging="480"/>
        <w:jc w:val="left"/>
      </w:pPr>
      <w:r>
        <w:rPr>
          <w:sz w:val="19"/>
          <w:szCs w:val="19"/>
        </w:rPr>
        <w:t xml:space="preserve">45.</w:t>
      </w:r>
      <w:r>
        <w:rPr>
          <w:sz w:val="19"/>
          <w:szCs w:val="19"/>
        </w:rPr>
        <w:tab/>
      </w:r>
      <w:r>
        <w:rPr>
          <w:i/>
          <w:iCs/>
          <w:sz w:val="19"/>
          <w:szCs w:val="19"/>
        </w:rPr>
        <w:t xml:space="preserve">GeneBreaker</w:t>
      </w:r>
      <w:r>
        <w:rPr>
          <w:sz w:val="19"/>
          <w:szCs w:val="19"/>
        </w:rPr>
        <w:t xml:space="preserve"> [software]. GitHub repository. https://github.com/wassermanlab/GeneBreaker</w:t>
      </w:r>
    </w:p>
    <w:p>
      <w:pPr>
        <w:tabs>
          <w:tab w:val="left" w:pos="480"/>
        </w:tabs>
        <w:spacing w:after="60" w:line="240"/>
        <w:ind w:left="480" w:hanging="480"/>
        <w:jc w:val="left"/>
      </w:pPr>
      <w:r>
        <w:rPr>
          <w:sz w:val="19"/>
          <w:szCs w:val="19"/>
        </w:rPr>
        <w:t xml:space="preserve">46.</w:t>
      </w:r>
      <w:r>
        <w:rPr>
          <w:sz w:val="19"/>
          <w:szCs w:val="19"/>
        </w:rPr>
        <w:tab/>
      </w:r>
      <w:r>
        <w:rPr>
          <w:i/>
          <w:iCs/>
          <w:sz w:val="19"/>
          <w:szCs w:val="19"/>
        </w:rPr>
        <w:t xml:space="preserve">simuG: a general-purpose genome simulator.</w:t>
      </w:r>
      <w:r>
        <w:rPr>
          <w:sz w:val="19"/>
          <w:szCs w:val="19"/>
        </w:rPr>
        <w:t xml:space="preserve"> GigaScience. https://academic.oup.com/gigascience/article/doi/10.1093/gigascience/giaf095/8244708</w:t>
      </w:r>
    </w:p>
    <w:p>
      <w:pPr>
        <w:tabs>
          <w:tab w:val="left" w:pos="480"/>
        </w:tabs>
        <w:spacing w:after="60" w:line="240"/>
        <w:ind w:left="480" w:hanging="480"/>
        <w:jc w:val="left"/>
      </w:pPr>
      <w:r>
        <w:rPr>
          <w:sz w:val="19"/>
          <w:szCs w:val="19"/>
        </w:rPr>
        <w:t xml:space="preserve">47.</w:t>
      </w:r>
      <w:r>
        <w:rPr>
          <w:sz w:val="19"/>
          <w:szCs w:val="19"/>
        </w:rPr>
        <w:tab/>
      </w:r>
      <w:r>
        <w:rPr>
          <w:i/>
          <w:iCs/>
          <w:sz w:val="19"/>
          <w:szCs w:val="19"/>
        </w:rPr>
        <w:t xml:space="preserve">simuG</w:t>
      </w:r>
      <w:r>
        <w:rPr>
          <w:sz w:val="19"/>
          <w:szCs w:val="19"/>
        </w:rPr>
        <w:t xml:space="preserve"> [software]. GitHub repository. https://github.com/yjx1217/simuG</w:t>
      </w:r>
    </w:p>
    <w:p>
      <w:pPr>
        <w:tabs>
          <w:tab w:val="left" w:pos="480"/>
        </w:tabs>
        <w:spacing w:after="60" w:line="240"/>
        <w:ind w:left="480" w:hanging="480"/>
        <w:jc w:val="left"/>
      </w:pPr>
      <w:r>
        <w:rPr>
          <w:sz w:val="19"/>
          <w:szCs w:val="19"/>
        </w:rPr>
        <w:t xml:space="preserve">48.</w:t>
      </w:r>
      <w:r>
        <w:rPr>
          <w:sz w:val="19"/>
          <w:szCs w:val="19"/>
        </w:rPr>
        <w:tab/>
      </w:r>
      <w:r>
        <w:rPr>
          <w:sz w:val="19"/>
          <w:szCs w:val="19"/>
        </w:rPr>
        <w:t xml:space="preserve">Preikšaitienė E, Tumienė B, Maldžienė Ž, et al. </w:t>
      </w:r>
      <w:r>
        <w:rPr>
          <w:i/>
          <w:iCs/>
          <w:sz w:val="19"/>
          <w:szCs w:val="19"/>
        </w:rPr>
        <w:t xml:space="preserve">Features of KAT6B-related disorders in a patient with 10q22.1q22.3 deletion.</w:t>
      </w:r>
      <w:r>
        <w:rPr>
          <w:sz w:val="19"/>
          <w:szCs w:val="19"/>
        </w:rPr>
        <w:t xml:space="preserve"> Ophthalmic Genetics. 2016. DOI: 10.1080/13816810.2016.1227452</w:t>
      </w:r>
    </w:p>
    <w:p>
      <w:pPr>
        <w:tabs>
          <w:tab w:val="left" w:pos="480"/>
        </w:tabs>
        <w:spacing w:after="60" w:line="240"/>
        <w:ind w:left="480" w:hanging="480"/>
        <w:jc w:val="left"/>
      </w:pPr>
      <w:r>
        <w:rPr>
          <w:sz w:val="19"/>
          <w:szCs w:val="19"/>
        </w:rPr>
        <w:t xml:space="preserve">49.</w:t>
      </w:r>
      <w:r>
        <w:rPr>
          <w:sz w:val="19"/>
          <w:szCs w:val="19"/>
        </w:rPr>
        <w:tab/>
      </w:r>
      <w:r>
        <w:rPr>
          <w:sz w:val="19"/>
          <w:szCs w:val="19"/>
        </w:rPr>
        <w:t xml:space="preserve">Krusche P, Trigg L, et al. </w:t>
      </w:r>
      <w:r>
        <w:rPr>
          <w:i/>
          <w:iCs/>
          <w:sz w:val="19"/>
          <w:szCs w:val="19"/>
        </w:rPr>
        <w:t xml:space="preserve">Best practices for benchmarking germline small-variant calls in human genomes.</w:t>
      </w:r>
      <w:r>
        <w:rPr>
          <w:sz w:val="19"/>
          <w:szCs w:val="19"/>
        </w:rPr>
        <w:t xml:space="preserve"> https://pmc.ncbi.nlm.nih.gov/articles/PMC6699627/</w:t>
      </w:r>
    </w:p>
    <w:p>
      <w:pPr>
        <w:tabs>
          <w:tab w:val="left" w:pos="480"/>
        </w:tabs>
        <w:spacing w:after="60" w:line="240"/>
        <w:ind w:left="480" w:hanging="480"/>
        <w:jc w:val="left"/>
      </w:pPr>
      <w:r>
        <w:rPr>
          <w:sz w:val="19"/>
          <w:szCs w:val="19"/>
        </w:rPr>
        <w:t xml:space="preserve">50.</w:t>
      </w:r>
      <w:r>
        <w:rPr>
          <w:sz w:val="19"/>
          <w:szCs w:val="19"/>
        </w:rPr>
        <w:tab/>
      </w:r>
      <w:r>
        <w:rPr>
          <w:sz w:val="19"/>
          <w:szCs w:val="19"/>
        </w:rPr>
        <w:t xml:space="preserve">Global Alliance for Genomics and Health (GA4GH). </w:t>
      </w:r>
      <w:r>
        <w:rPr>
          <w:i/>
          <w:iCs/>
          <w:sz w:val="19"/>
          <w:szCs w:val="19"/>
        </w:rPr>
        <w:t xml:space="preserve">Variant Benchmarking Tools.</w:t>
      </w:r>
      <w:r>
        <w:rPr>
          <w:sz w:val="19"/>
          <w:szCs w:val="19"/>
        </w:rPr>
        <w:t xml:space="preserve"> https://www.ga4gh.org/product/variant-benchmarking-tools/</w:t>
      </w:r>
    </w:p>
    <w:p>
      <w:pPr>
        <w:tabs>
          <w:tab w:val="left" w:pos="480"/>
        </w:tabs>
        <w:spacing w:after="60" w:line="240"/>
        <w:ind w:left="480" w:hanging="480"/>
        <w:jc w:val="left"/>
      </w:pPr>
      <w:r>
        <w:rPr>
          <w:sz w:val="19"/>
          <w:szCs w:val="19"/>
        </w:rPr>
        <w:t xml:space="preserve">51.</w:t>
      </w:r>
      <w:r>
        <w:rPr>
          <w:sz w:val="19"/>
          <w:szCs w:val="19"/>
        </w:rPr>
        <w:tab/>
      </w:r>
      <w:r>
        <w:rPr>
          <w:sz w:val="19"/>
          <w:szCs w:val="19"/>
        </w:rPr>
        <w:t xml:space="preserve">Byrska-Bishop M, Evani US, Zhao X, et al. </w:t>
      </w:r>
      <w:r>
        <w:rPr>
          <w:i/>
          <w:iCs/>
          <w:sz w:val="19"/>
          <w:szCs w:val="19"/>
        </w:rPr>
        <w:t xml:space="preserve">High-coverage whole-genome sequencing of the expanded 1000 Genomes Project cohort including 602 trios.</w:t>
      </w:r>
      <w:r>
        <w:rPr>
          <w:sz w:val="19"/>
          <w:szCs w:val="19"/>
        </w:rPr>
        <w:t xml:space="preserve"> Cell. 2022;185(18):3426–3440.e19. DOI: 10.1016/j.cell.2022.08.004</w:t>
      </w:r>
    </w:p>
    <w:p>
      <w:pPr>
        <w:tabs>
          <w:tab w:val="left" w:pos="480"/>
        </w:tabs>
        <w:spacing w:after="60" w:line="240"/>
        <w:ind w:left="480" w:hanging="480"/>
        <w:jc w:val="left"/>
      </w:pPr>
      <w:r>
        <w:rPr>
          <w:sz w:val="19"/>
          <w:szCs w:val="19"/>
        </w:rPr>
        <w:t xml:space="preserve">52.</w:t>
      </w:r>
      <w:r>
        <w:rPr>
          <w:sz w:val="19"/>
          <w:szCs w:val="19"/>
        </w:rPr>
        <w:tab/>
      </w:r>
      <w:r>
        <w:rPr>
          <w:sz w:val="19"/>
          <w:szCs w:val="19"/>
        </w:rPr>
        <w:t xml:space="preserve">Li H. </w:t>
      </w:r>
      <w:r>
        <w:rPr>
          <w:i/>
          <w:iCs/>
          <w:sz w:val="19"/>
          <w:szCs w:val="19"/>
        </w:rPr>
        <w:t xml:space="preserve">Aligning sequence reads, clone sequences and assembly contigs with BWA-MEM.</w:t>
      </w:r>
      <w:r>
        <w:rPr>
          <w:sz w:val="19"/>
          <w:szCs w:val="19"/>
        </w:rPr>
        <w:t xml:space="preserve"> arXiv:1303.3997. 2013.</w:t>
      </w:r>
    </w:p>
    <w:p>
      <w:pPr>
        <w:tabs>
          <w:tab w:val="left" w:pos="480"/>
        </w:tabs>
        <w:spacing w:after="60" w:line="240"/>
        <w:ind w:left="480" w:hanging="480"/>
        <w:jc w:val="left"/>
      </w:pPr>
      <w:r>
        <w:rPr>
          <w:sz w:val="19"/>
          <w:szCs w:val="19"/>
        </w:rPr>
        <w:t xml:space="preserve">53.</w:t>
      </w:r>
      <w:r>
        <w:rPr>
          <w:sz w:val="19"/>
          <w:szCs w:val="19"/>
        </w:rPr>
        <w:tab/>
      </w:r>
      <w:r>
        <w:rPr>
          <w:sz w:val="19"/>
          <w:szCs w:val="19"/>
        </w:rPr>
        <w:t xml:space="preserve">Huang W, Li L, Myers JR, Marth GT. </w:t>
      </w:r>
      <w:r>
        <w:rPr>
          <w:i/>
          <w:iCs/>
          <w:sz w:val="19"/>
          <w:szCs w:val="19"/>
        </w:rPr>
        <w:t xml:space="preserve">ART: a next-generation sequencing read simulator.</w:t>
      </w:r>
      <w:r>
        <w:rPr>
          <w:sz w:val="19"/>
          <w:szCs w:val="19"/>
        </w:rPr>
        <w:t xml:space="preserve"> Bioinformatics. 2012;28(4):593–594. DOI: 10.1093/bioinformatics/btr708</w:t>
      </w:r>
    </w:p>
    <w:p>
      <w:pPr>
        <w:tabs>
          <w:tab w:val="left" w:pos="480"/>
        </w:tabs>
        <w:spacing w:after="60" w:line="240"/>
        <w:ind w:left="480" w:hanging="480"/>
        <w:jc w:val="left"/>
      </w:pPr>
      <w:r>
        <w:rPr>
          <w:sz w:val="19"/>
          <w:szCs w:val="19"/>
        </w:rPr>
        <w:t xml:space="preserve">54.</w:t>
      </w:r>
      <w:r>
        <w:rPr>
          <w:sz w:val="19"/>
          <w:szCs w:val="19"/>
        </w:rPr>
        <w:tab/>
      </w:r>
      <w:r>
        <w:rPr>
          <w:sz w:val="19"/>
          <w:szCs w:val="19"/>
        </w:rPr>
        <w:t xml:space="preserve">Anthropic. </w:t>
      </w:r>
      <w:r>
        <w:rPr>
          <w:i/>
          <w:iCs/>
          <w:sz w:val="19"/>
          <w:szCs w:val="19"/>
        </w:rPr>
        <w:t xml:space="preserve">System Card: Claude Sonnet 5.</w:t>
      </w:r>
      <w:r>
        <w:rPr>
          <w:sz w:val="19"/>
          <w:szCs w:val="19"/>
        </w:rPr>
        <w:t xml:space="preserve"> 30 June 2026. https://www.anthropic.com/claude-sonnet-5-system-card</w:t>
      </w:r>
    </w:p>
    <w:p>
      <w:pPr>
        <w:tabs>
          <w:tab w:val="left" w:pos="480"/>
        </w:tabs>
        <w:spacing w:after="60" w:line="240"/>
        <w:ind w:left="480" w:hanging="480"/>
        <w:jc w:val="left"/>
      </w:pPr>
      <w:r>
        <w:rPr>
          <w:sz w:val="19"/>
          <w:szCs w:val="19"/>
        </w:rPr>
        <w:t xml:space="preserve">55.</w:t>
      </w:r>
      <w:r>
        <w:rPr>
          <w:sz w:val="19"/>
          <w:szCs w:val="19"/>
        </w:rPr>
        <w:tab/>
      </w:r>
      <w:r>
        <w:rPr>
          <w:sz w:val="19"/>
          <w:szCs w:val="19"/>
        </w:rPr>
        <w:t xml:space="preserve">Anthropic. </w:t>
      </w:r>
      <w:r>
        <w:rPr>
          <w:i/>
          <w:iCs/>
          <w:sz w:val="19"/>
          <w:szCs w:val="19"/>
        </w:rPr>
        <w:t xml:space="preserve">System Card: Claude Opus 5.</w:t>
      </w:r>
      <w:r>
        <w:rPr>
          <w:sz w:val="19"/>
          <w:szCs w:val="19"/>
        </w:rPr>
        <w:t xml:space="preserve"> 24 July 2026. https://www.anthropic.com/claude-opus-5-system-card</w:t>
      </w:r>
    </w:p>
    <w:p>
      <w:pPr>
        <w:tabs>
          <w:tab w:val="left" w:pos="480"/>
        </w:tabs>
        <w:spacing w:after="60" w:line="240"/>
        <w:ind w:left="480" w:hanging="480"/>
        <w:jc w:val="left"/>
      </w:pPr>
      <w:r>
        <w:rPr>
          <w:sz w:val="19"/>
          <w:szCs w:val="19"/>
        </w:rPr>
        <w:t xml:space="preserve">56.</w:t>
      </w:r>
      <w:r>
        <w:rPr>
          <w:sz w:val="19"/>
          <w:szCs w:val="19"/>
        </w:rPr>
        <w:tab/>
      </w:r>
      <w:r>
        <w:rPr>
          <w:i/>
          <w:iCs/>
          <w:sz w:val="19"/>
          <w:szCs w:val="19"/>
        </w:rPr>
        <w:t xml:space="preserve">Ollama</w:t>
      </w:r>
      <w:r>
        <w:rPr>
          <w:sz w:val="19"/>
          <w:szCs w:val="19"/>
        </w:rPr>
        <w:t xml:space="preserve"> [software]. GitHub repository. https://github.com/ollama/ollama</w:t>
      </w:r>
    </w:p>
    <w:p>
      <w:pPr>
        <w:tabs>
          <w:tab w:val="left" w:pos="480"/>
        </w:tabs>
        <w:spacing w:after="60" w:line="240"/>
        <w:ind w:left="480" w:hanging="480"/>
        <w:jc w:val="left"/>
      </w:pPr>
      <w:r>
        <w:rPr>
          <w:sz w:val="19"/>
          <w:szCs w:val="19"/>
        </w:rPr>
        <w:t xml:space="preserve">57.</w:t>
      </w:r>
      <w:r>
        <w:rPr>
          <w:sz w:val="19"/>
          <w:szCs w:val="19"/>
        </w:rPr>
        <w:tab/>
      </w:r>
      <w:r>
        <w:rPr>
          <w:i/>
          <w:iCs/>
          <w:sz w:val="19"/>
          <w:szCs w:val="19"/>
        </w:rPr>
        <w:t xml:space="preserve">pysam</w:t>
      </w:r>
      <w:r>
        <w:rPr>
          <w:sz w:val="19"/>
          <w:szCs w:val="19"/>
        </w:rPr>
        <w:t xml:space="preserve"> [software]. GitHub repository. https://github.com/pysam-developers/pysam</w:t>
      </w:r>
    </w:p>
    <w:p>
      <w:pPr>
        <w:tabs>
          <w:tab w:val="left" w:pos="480"/>
        </w:tabs>
        <w:spacing w:after="60" w:line="240"/>
        <w:ind w:left="480" w:hanging="480"/>
        <w:jc w:val="left"/>
      </w:pPr>
      <w:r>
        <w:rPr>
          <w:sz w:val="19"/>
          <w:szCs w:val="19"/>
        </w:rPr>
        <w:t xml:space="preserve">58.</w:t>
      </w:r>
      <w:r>
        <w:rPr>
          <w:sz w:val="19"/>
          <w:szCs w:val="19"/>
        </w:rPr>
        <w:tab/>
      </w:r>
      <w:r>
        <w:rPr>
          <w:i/>
          <w:iCs/>
          <w:sz w:val="19"/>
          <w:szCs w:val="19"/>
        </w:rPr>
        <w:t xml:space="preserve">FastMCP</w:t>
      </w:r>
      <w:r>
        <w:rPr>
          <w:sz w:val="19"/>
          <w:szCs w:val="19"/>
        </w:rPr>
        <w:t xml:space="preserve"> [software]. GitHub repository. https://github.com/PrefectHQ/fastmcp</w:t>
      </w:r>
    </w:p>
    <w:p>
      <w:pPr>
        <w:tabs>
          <w:tab w:val="left" w:pos="480"/>
        </w:tabs>
        <w:spacing w:after="60" w:line="240"/>
        <w:ind w:left="480" w:hanging="480"/>
        <w:jc w:val="left"/>
      </w:pPr>
      <w:r>
        <w:rPr>
          <w:sz w:val="19"/>
          <w:szCs w:val="19"/>
        </w:rPr>
        <w:t xml:space="preserve">59.</w:t>
      </w:r>
      <w:r>
        <w:rPr>
          <w:sz w:val="19"/>
          <w:szCs w:val="19"/>
        </w:rPr>
        <w:tab/>
      </w:r>
      <w:r>
        <w:rPr>
          <w:sz w:val="19"/>
          <w:szCs w:val="19"/>
        </w:rPr>
        <w:t xml:space="preserve">Danecek P, Bonfield JK, Liddle J, et al. </w:t>
      </w:r>
      <w:r>
        <w:rPr>
          <w:i/>
          <w:iCs/>
          <w:sz w:val="19"/>
          <w:szCs w:val="19"/>
        </w:rPr>
        <w:t xml:space="preserve">Twelve years of SAMtools and BCFtools.</w:t>
      </w:r>
      <w:r>
        <w:rPr>
          <w:sz w:val="19"/>
          <w:szCs w:val="19"/>
        </w:rPr>
        <w:t xml:space="preserve"> GigaScience. 2021;10(2):giab008. DOI: 10.1093/gigascience/giab008</w:t>
      </w:r>
    </w:p>
    <w:p>
      <w:pPr>
        <w:tabs>
          <w:tab w:val="left" w:pos="480"/>
        </w:tabs>
        <w:spacing w:after="60" w:line="240"/>
        <w:ind w:left="480" w:hanging="480"/>
        <w:jc w:val="left"/>
      </w:pPr>
      <w:r>
        <w:rPr>
          <w:sz w:val="19"/>
          <w:szCs w:val="19"/>
        </w:rPr>
        <w:t xml:space="preserve">60.</w:t>
      </w:r>
      <w:r>
        <w:rPr>
          <w:sz w:val="19"/>
          <w:szCs w:val="19"/>
        </w:rPr>
        <w:tab/>
      </w:r>
      <w:r>
        <w:rPr>
          <w:sz w:val="19"/>
          <w:szCs w:val="19"/>
        </w:rPr>
        <w:t xml:space="preserve">Qwen Team. </w:t>
      </w:r>
      <w:r>
        <w:rPr>
          <w:i/>
          <w:iCs/>
          <w:sz w:val="19"/>
          <w:szCs w:val="19"/>
        </w:rPr>
        <w:t xml:space="preserve">Qwen2.5 Technical Report.</w:t>
      </w:r>
      <w:r>
        <w:rPr>
          <w:sz w:val="19"/>
          <w:szCs w:val="19"/>
        </w:rPr>
        <w:t xml:space="preserve"> arXiv:2412.15115. 2024.</w:t>
      </w:r>
    </w:p>
    <w:p>
      <w:pPr>
        <w:tabs>
          <w:tab w:val="left" w:pos="480"/>
        </w:tabs>
        <w:spacing w:after="60" w:line="240"/>
        <w:ind w:left="480" w:hanging="480"/>
        <w:jc w:val="left"/>
      </w:pPr>
      <w:r>
        <w:rPr>
          <w:sz w:val="19"/>
          <w:szCs w:val="19"/>
        </w:rPr>
        <w:t xml:space="preserve">61.</w:t>
      </w:r>
      <w:r>
        <w:rPr>
          <w:sz w:val="19"/>
          <w:szCs w:val="19"/>
        </w:rPr>
        <w:tab/>
      </w:r>
      <w:r>
        <w:rPr>
          <w:sz w:val="19"/>
          <w:szCs w:val="19"/>
        </w:rPr>
        <w:t xml:space="preserve">Grattafiori A, Dubey A, Jauhri A, et al. </w:t>
      </w:r>
      <w:r>
        <w:rPr>
          <w:i/>
          <w:iCs/>
          <w:sz w:val="19"/>
          <w:szCs w:val="19"/>
        </w:rPr>
        <w:t xml:space="preserve">The Llama 3 Herd of Models.</w:t>
      </w:r>
      <w:r>
        <w:rPr>
          <w:sz w:val="19"/>
          <w:szCs w:val="19"/>
        </w:rPr>
        <w:t xml:space="preserve"> arXiv:2407.21783. 2024.</w:t>
      </w:r>
    </w:p>
    <w:p>
      <w:pPr>
        <w:tabs>
          <w:tab w:val="left" w:pos="480"/>
        </w:tabs>
        <w:spacing w:after="60" w:line="240"/>
        <w:ind w:left="480" w:hanging="480"/>
        <w:jc w:val="left"/>
      </w:pPr>
      <w:r>
        <w:rPr>
          <w:sz w:val="19"/>
          <w:szCs w:val="19"/>
        </w:rPr>
        <w:t xml:space="preserve">62.</w:t>
      </w:r>
      <w:r>
        <w:rPr>
          <w:sz w:val="19"/>
          <w:szCs w:val="19"/>
        </w:rPr>
        <w:tab/>
      </w:r>
      <w:r>
        <w:rPr>
          <w:sz w:val="19"/>
          <w:szCs w:val="19"/>
        </w:rPr>
        <w:t xml:space="preserve">Qwen Team. </w:t>
      </w:r>
      <w:r>
        <w:rPr>
          <w:i/>
          <w:iCs/>
          <w:sz w:val="19"/>
          <w:szCs w:val="19"/>
        </w:rPr>
        <w:t xml:space="preserve">Qwen3.5: Towards Native Multimodal Agents.</w:t>
      </w:r>
      <w:r>
        <w:rPr>
          <w:sz w:val="19"/>
          <w:szCs w:val="19"/>
        </w:rPr>
        <w:t xml:space="preserve"> 2026. https://qwen.ai/blog?id=qwen3.5</w:t>
      </w:r>
    </w:p>
    <w:p>
      <w:pPr>
        <w:pStyle w:val="Heading1"/>
        <w:pageBreakBefore/>
        <w:spacing w:after="240" w:before="360"/>
      </w:pPr>
      <w:r>
        <w:t xml:space="preserve">SUMMARY</w:t>
      </w:r>
    </w:p>
    <w:p>
      <w:pPr>
        <w:keepNext w:val="false"/>
        <w:spacing w:after="140" w:line="276"/>
        <w:jc w:val="both"/>
      </w:pPr>
      <w:r>
        <w:rPr>
          <w:b/>
          <w:bCs/>
        </w:rPr>
        <w:t xml:space="preserve">Vilnius University, Life Sciences Center · MSc Systems Biology · Vytautas Rimas</w:t>
      </w:r>
    </w:p>
    <w:p>
      <w:pPr>
        <w:keepNext w:val="false"/>
        <w:spacing w:after="140" w:line="276"/>
        <w:jc w:val="both"/>
      </w:pPr>
      <w:r>
        <w:rPr>
          <w:i/>
          <w:iCs/>
        </w:rPr>
        <w:t xml:space="preserve">An interpretable assistant for structural variant breakpoint evidence in rare disease diagnosis</w:t>
      </w:r>
    </w:p>
    <w:p>
      <w:pPr>
        <w:keepNext w:val="false"/>
        <w:spacing w:after="140" w:line="276"/>
        <w:jc w:val="both"/>
      </w:pPr>
      <w:r>
        <w:t xml:space="preserve">Structural variants, and balanced rearrangements in particular, remain poorly served by automated rare-disease interpretation: they leave no copy-number footprint, their pathogenicity depends on exact breakpoint coordinates, and the strongest published classifiers state explicitly that they do not analyse them. This work develops an assistant that measures read-level evidence for a candidate breakpoint across four signals — discordant read pairs, soft-clipped reads, split reads and read depth — and exposes those measurements to a language model under an architecture in which the model reaches genomic data only through the tools, so that every figure it reports can be checked against a tool return. A separate caller performs discovery. Applied blind to two clinical whole genomes, the chain reduces roughly nine thousand inter-chromosomal junctions per sample to seventeen and nineteen candidates, and a rerun reproduced every count. Sensitivity was measured by implanting twelve balanced translocations at known coordinates into real sequencing data: sixteen of twenty-four junctions survive the complete chain, every loss occurs at discovery, where nearly all spanning reads carry mapping quality zero, and no filter threshold removes a true positive. Nearly two fifths of the reads spanning a junction are invisible to the split-read signal, and the soft-clip signal recovers about half of them. The scoring function cannot rate a heterozygous balanced translocation as strong evidence, for reasons intrinsic to the event. In a controlled ablation scored blind, no run of four models stated that limitation while no tool returned the number it required; with the number added, both frontier models stated it in every run and the local models in a minority, often never calling the tool that returned it. What a model can reach bounds what it can say, so the interface shows such limits to the reader. Clinical validation and transcriptomic and phenotypic extension remain in progress.</w:t>
      </w:r>
    </w:p>
    <w:p>
      <w:pPr>
        <w:pStyle w:val="Heading1"/>
        <w:pageBreakBefore/>
        <w:spacing w:after="240" w:before="360"/>
      </w:pPr>
      <w:r>
        <w:t xml:space="preserve">SUMMARY IN LITHUANIAN</w:t>
      </w:r>
    </w:p>
    <w:p>
      <w:pPr>
        <w:keepNext w:val="false"/>
        <w:spacing w:after="140" w:line="276"/>
        <w:jc w:val="both"/>
      </w:pPr>
      <w:r>
        <w:rPr>
          <w:b/>
          <w:bCs/>
        </w:rPr>
        <w:t xml:space="preserve">Vilniaus universitetas, Gyvybės mokslų centras · Sistemų biologijos magistrantūra · Vytautas Rimas</w:t>
      </w:r>
    </w:p>
    <w:p>
      <w:pPr>
        <w:keepNext w:val="false"/>
        <w:spacing w:after="140" w:line="276"/>
        <w:jc w:val="both"/>
      </w:pPr>
      <w:r>
        <w:rPr>
          <w:i/>
          <w:iCs/>
        </w:rPr>
        <w:t xml:space="preserve">Interpretuojamas asistentas struktūrinių variantų lūžio taškų įrodymams retų ligų diagnostikoje</w:t>
      </w:r>
    </w:p>
    <w:p>
      <w:pPr>
        <w:keepNext w:val="false"/>
        <w:spacing w:after="140" w:line="276"/>
        <w:jc w:val="both"/>
      </w:pPr>
      <w:r>
        <w:t xml:space="preserve">Struktūriniai variantai, ypač subalansuoti persitvarkymai, iki šiol prastai aprėpiami automatinės retų ligų interpretacijos: jie nepalieka kopijų skaičiaus pėdsako, jų patogeniškumas priklauso nuo tikslių lūžio taškų koordinačių, o stipriausi paskelbti klasifikatoriai aiškiai nurodo jų neanalizuojantys. Šiame darbe sukurtas asistentas, matuojantis skaitinių lygmens įrodymus kandidatiniame lūžio taške keturiais nepriklausomais signalais — nesuderintomis skaitinių poromis, minkštai iškirptais skaitiniais, perskeltais skaitiniais ir sekos gyliu — ir pateikiantis šiuos matavimus kalbos modeliui architektūroje, kurioje genomo duomenis modelis pasiekia tik per įrankius, todėl kiekvieną jo pateiktą skaičių galima patikrinti pagal įrankio atsakymą. Kandidatų paiešką atlieka atskira programa. Pritaikius aklai dviem klinikiniams viso genomo mėginiams, grandinė sumažina apie devynis tūkstančius tarpchromosominių jungčių iki septyniolikos ir devyniolikos kandidatų, o nepriklausomas pakartojimas atkūrė kiekvieną skaičių. Jautrumas išmatuotas į realius sekoskaitos duomenis įterpus dvylika subalansuotų translokacijų žinomose koordinatėse: šešiolika iš dvidešimt keturių jungčių išlieka po visos grandinės, visi praradimai įvyksta paieškos etape, kur beveik visi jungtį kertantys skaitiniai turi nulinę kartografavimo kokybę, ir nė vienas filtro slenkstis nepašalina tikros jungties. Beveik dvi penktosios jungtį kertančių skaitinių yra nematomos perskeltų skaitinių signalui, o minkšto iškirpimo signalas atkuria maždaug pusę jų. Vertinimo funkcija negali įvertinti heterozigotinės subalansuotos translokacijos kaip stipraus įrodymo dėl paties įvykio prigimties. Kontroliuojamame, aklai vertintame eksperimente, kol reikalingo skaičiaus nebuvo jokiame įrankio atsakyme, nė vienas iš keturių modelių šios ribos nekonstatavo; skaičių pridėjus ir modelių nekeičiant, abu debesijos modeliai ją konstatavo kiekviename bandyme, o vietiniai — tik mažumoje bandymų, dažnai net neiškvietę jį grąžinančio įrankio. Tai, ką modelis gali pasiekti, riboja tai, ką jis gali pasakyti, todėl tokias ribas sąsaja rodo skaitytojui tiesiogiai. Klinikinis patvirtinimas su nepriklausomai nustatytu persitvarkymu ir išplėtimas transkriptomo bei fenotipo įrodymais dar vykdomi.</w:t>
      </w:r>
    </w:p>
    <w:p>
      <w:pPr>
        <w:pStyle w:val="Heading1"/>
        <w:pageBreakBefore/>
        <w:spacing w:after="240" w:before="360"/>
      </w:pPr>
      <w:r>
        <w:t xml:space="preserve">APPENDICES</w:t>
      </w:r>
    </w:p>
    <w:p>
      <w:pPr>
        <w:keepNext w:val="false"/>
        <w:spacing w:after="140" w:line="276"/>
        <w:jc w:val="both"/>
      </w:pPr>
      <w:r>
        <w:rPr>
          <w:b/>
          <w:bCs/>
        </w:rPr>
        <w:t xml:space="preserve">Appendix 1. Installation guide (in Lithuanian).</w:t>
      </w:r>
      <w:r>
        <w:t xml:space="preserve"> Prerequisites, installation steps, configuration, verification, and failure handling for a clean machine.</w:t>
      </w:r>
    </w:p>
    <w:p>
      <w:pPr>
        <w:keepNext w:val="false"/>
        <w:spacing w:after="140" w:line="276"/>
        <w:jc w:val="both"/>
      </w:pPr>
      <w:r>
        <w:rPr>
          <w:b/>
          <w:bCs/>
        </w:rPr>
        <w:t xml:space="preserve">Appendix 2. User manual (in Lithuanian).</w:t>
      </w:r>
      <w:r>
        <w:t xml:space="preserve"> Producing a candidate set, loading it, reading the filter chain and the four evidence layers, entering a coordinate manually, comparing two samples, and interpreting withheld scores and the scoring ceiling.</w:t>
      </w:r>
    </w:p>
    <w:p>
      <w:pPr>
        <w:keepNext w:val="false"/>
        <w:spacing w:after="140" w:line="276"/>
        <w:jc w:val="left"/>
      </w:pPr>
      <w:r>
        <w:rPr>
          <w:b/>
          <w:bCs/>
        </w:rPr>
        <w:t xml:space="preserve">Appendix 3. Source repository.</w:t>
      </w:r>
      <w:r>
        <w:t xml:space="preserve"> Implementation, test suites, and run records: github.com/DeVytautasr/rare-disease-diagnosis-assistant.</w:t>
      </w:r>
    </w:p>
    <w:p>
      <w:pPr>
        <w:keepNext w:val="false"/>
        <w:spacing w:after="140" w:line="276"/>
        <w:jc w:val="both"/>
      </w:pPr>
      <w:r>
        <w:rPr>
          <w:b/>
          <w:bCs/>
        </w:rPr>
        <w:t xml:space="preserve">Appendix 4. Catalogue of defects.</w:t>
      </w:r>
      <w:r>
        <w:t xml:space="preserve"> The defects found during development, in the systematic audit and on clinical data, each with the condition that exposed it and the regression test added.</w:t>
      </w:r>
    </w:p>
    <w:p>
      <w:pPr>
        <w:keepNext w:val="false"/>
        <w:spacing w:after="140" w:line="276"/>
        <w:jc w:val="both"/>
      </w:pPr>
      <w:r>
        <w:rPr>
          <w:b/>
          <w:bCs/>
        </w:rPr>
        <w:t xml:space="preserve">Appendix 5. Threshold inventory.</w:t>
      </w:r>
      <w:r>
        <w:t xml:space="preserve"> All scoring and filter thresholds with values, provenance labels, and calibration basis where one exists.</w:t>
      </w:r>
    </w:p>
    <w:p>
      <w:pPr>
        <w:keepNext w:val="false"/>
        <w:spacing w:after="140" w:line="276"/>
        <w:jc w:val="both"/>
      </w:pPr>
      <w:r>
        <w:rPr>
          <w:b/>
          <w:bCs/>
        </w:rPr>
        <w:t xml:space="preserve">Appendix 6. Figure map.</w:t>
      </w:r>
      <w:r>
        <w:t xml:space="preserve"> Every numeric claim of this thesis and of the conference abstract, with the committed record and key it comes from and its status — reproduced, replaced by a rebuilt experiment, or record lost (repository file results/FIGURE_MAP.md).</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A1A1A"/>
      <w:sz w:val="32"/>
      <w:szCs w:val="32"/>
    </w:rPr>
  </w:style>
  <w:style w:type="paragraph" w:styleId="Heading2">
    <w:name w:val="Heading 2"/>
    <w:basedOn w:val="Normal"/>
    <w:next w:val="Normal"/>
    <w:qFormat/>
    <w:pPr>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Interpretable Assistant for Rare Disease Diagnosis</dc:title>
  <dc:creator>Vytautas Rimas</dc:creator>
  <cp:lastModifiedBy>Un-named</cp:lastModifiedBy>
  <cp:revision>1</cp:revision>
  <dcterms:created xsi:type="dcterms:W3CDTF">2026-09-29T23:15:21.077Z</dcterms:created>
  <dcterms:modified xsi:type="dcterms:W3CDTF">2026-09-29T23:15:21.087Z</dcterms:modified>
</cp:coreProperties>
</file>

<file path=docProps/custom.xml><?xml version="1.0" encoding="utf-8"?>
<Properties xmlns="http://schemas.openxmlformats.org/officeDocument/2006/custom-properties" xmlns:vt="http://schemas.openxmlformats.org/officeDocument/2006/docPropsVTypes"/>
</file>