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jc w:val="center"/>
      </w:pPr>
      <w:r>
        <w:rPr>
          <w:b w:val="false"/>
          <w:bCs w:val="false"/>
          <w:i w:val="false"/>
          <w:iCs w:val="false"/>
        </w:rPr>
        <w:t xml:space="preserve">Background and Methodological Foundations</w:t>
      </w:r>
    </w:p>
    <w:p>
      <w:pPr>
        <w:pStyle w:val="Heading1"/>
      </w:pPr>
      <w:r>
        <w:rPr>
          <w:b w:val="false"/>
          <w:bCs w:val="false"/>
          <w:i w:val="false"/>
          <w:iCs w:val="false"/>
        </w:rPr>
        <w:t xml:space="preserve">Introduction and Motivation</w:t>
      </w:r>
    </w:p>
    <w:p>
      <w:pPr>
        <w:spacing w:after="200"/>
        <w:jc w:val="left"/>
      </w:pPr>
      <w:r>
        <w:rPr>
          <w:b w:val="false"/>
          <w:bCs w:val="false"/>
          <w:i w:val="false"/>
          <w:iCs w:val="false"/>
        </w:rPr>
        <w:t xml:space="preserve">Diagnosing a rare genetic disease typically requires a clinical geneticist to relate a patient’s variant list to a set of observed clinical features, and to do so under considerable time pressure and with imperfect information. This task is already demanding for simple single-nucleotide variants and small insertions/deletions (SNVs/indels), for which annotation pipelines, population-frequency databases, and phenotype-matching tools provide substantial support. It becomes considerably harder when the causative event is a structural variant (SV), and harder still when that SV is a complex, multi-breakpoint rearrangement such as chromothripsis or a balanced translocation. In these cases, the variant itself may be difficult to call reliably, its effect on nearby genes may be indirect, and its consequences may only become apparent through a secondary signal such as altered gene expression rather than through an obvious coding-sequence disruption.</w:t>
      </w:r>
    </w:p>
    <w:p>
      <w:pPr>
        <w:spacing w:after="200"/>
        <w:jc w:val="left"/>
      </w:pPr>
      <w:r>
        <w:rPr>
          <w:b w:val="false"/>
          <w:bCs w:val="false"/>
          <w:i w:val="false"/>
          <w:iCs w:val="false"/>
        </w:rPr>
        <w:t xml:space="preserve">This thesis is motivated by the observation that no single evidence type is, on its own, a reliable indicator of which gene underlies a rare disease phenotype. A variant of uncertain functional impact, a structural rearrangement near a plausible candidate gene, and a phenotype that resembles a known disease are each, individually, weak evidence. The working hypothesis underlying the proposed assistant is that genes supported simultaneously by genomic evidence (SNV/indel or SV), transcriptomic evidence (when RNA-seq is available), and phenotypic evidence (encoded as Human Phenotype Ontology, HPO, terms) are considerably more likely to be the true diagnostic target than genes supported by any one of these layers alone. The assistant developed in this project is therefore designed around three complementary evidence layers — genomic variation and structure, transcriptome signal near breakpoints, and patient phenotype — combined through a transparent, rule-based integration step rather than a single opaque score.</w:t>
      </w:r>
    </w:p>
    <w:p>
      <w:pPr>
        <w:spacing w:after="200"/>
        <w:jc w:val="left"/>
      </w:pPr>
      <w:r>
        <w:rPr>
          <w:b w:val="false"/>
          <w:bCs w:val="false"/>
          <w:i w:val="false"/>
          <w:iCs w:val="false"/>
        </w:rPr>
        <w:t xml:space="preserve">Two design priorities follow directly from this hypothesis and run through the remainder of this chapter. The first is interpretability: every ranking decision should be traceable to the specific evidence that produced it, so that a clinical user can inspect, agree with, or challenge the result rather than simply accepting a number. The second is realism about scope. This is a Master’s thesis, not a clinical product, and the assistant described here is accordingly built and evaluated as a methodological prototype on synthetic and benchmark data rather than as a validated diagnostic tool. Within that scope, structural variation — and chromothripsis and balanced translocations in particular — is treated as an important and analytically demanding test scenario for the assistant’s structural variant module, not as the entire object of the thesis. The assistant must remain a general SNV/indel-plus-phenotype diagnosis tool that has been deliberately extended to handle complex rearrangements, rather than a tool that addresses chromothripsis exclusively.</w:t>
      </w:r>
    </w:p>
    <w:p>
      <w:pPr>
        <w:spacing w:after="200"/>
        <w:jc w:val="left"/>
      </w:pPr>
      <w:r>
        <w:rPr>
          <w:b w:val="false"/>
          <w:bCs w:val="false"/>
          <w:i w:val="false"/>
          <w:iCs w:val="false"/>
        </w:rPr>
        <w:t xml:space="preserve">The remainder of this chapter situates the project relative to existing tools (Related Work), explains why chromothripsis and balanced translocations are particularly demanding test cases (Structural Variants and Chromothripsis), discusses the role of manual read-level inspection in validating candidate breakpoints (IGV and Breakpoint Inspection), describes the synthetic and benchmark data used to evaluate the prototype in the absence of a real patient cohort (Synthetic Cases and Benchmark Data), and then presents the prototype’s architecture, case schema, and evaluation plan (Prototype Design and Evaluation). The chapter closes by stating the scope and limitations of the work explicitly, since an honest account of what the prototype does not do is as important, methodologically, as the description of what it does.</w:t>
      </w:r>
    </w:p>
    <w:p>
      <w:pPr>
        <w:pStyle w:val="Heading1"/>
      </w:pPr>
      <w:r>
        <w:rPr>
          <w:b w:val="false"/>
          <w:bCs w:val="false"/>
          <w:i w:val="false"/>
          <w:iCs w:val="false"/>
        </w:rPr>
        <w:t xml:space="preserve">Related Work</w:t>
      </w:r>
    </w:p>
    <w:p>
      <w:pPr>
        <w:spacing w:after="200"/>
        <w:jc w:val="left"/>
      </w:pPr>
      <w:r>
        <w:rPr>
          <w:b w:val="false"/>
          <w:bCs w:val="false"/>
          <w:i w:val="false"/>
          <w:iCs w:val="false"/>
        </w:rPr>
        <w:t xml:space="preserve">The conceptual foundation for this thesis is the problem of variant prioritization in Mendelian disease: given a patient’s variant list and phenotype, identifying which one or two variants are causative from among the thousands present in any individual genome. A landmark review by Eilbeck, Quinlan, and Yandell establishes a distinction that runs through all subsequent work — the difference between </w:t>
      </w:r>
      <w:r>
        <w:rPr>
          <w:b w:val="false"/>
          <w:bCs w:val="false"/>
          <w:i/>
          <w:iCs/>
        </w:rPr>
        <w:t xml:space="preserve">variant prioritization</w:t>
      </w:r>
      <w:r>
        <w:rPr>
          <w:b w:val="false"/>
          <w:bCs w:val="false"/>
          <w:i w:val="false"/>
          <w:iCs w:val="false"/>
        </w:rPr>
        <w:t xml:space="preserve"> (ranking individual variants by predicted pathogenicity) and </w:t>
      </w:r>
      <w:r>
        <w:rPr>
          <w:b w:val="false"/>
          <w:bCs w:val="false"/>
          <w:i/>
          <w:iCs/>
        </w:rPr>
        <w:t xml:space="preserve">gene prioritization</w:t>
      </w:r>
      <w:r>
        <w:rPr>
          <w:b w:val="false"/>
          <w:bCs w:val="false"/>
          <w:i w:val="false"/>
          <w:iCs w:val="false"/>
        </w:rPr>
        <w:t xml:space="preserve"> (aggregating evidence across variants, phenotype, network context, and inheritance to rank entire genes) [45]. The review also notes that structural variants, encompassing copy-number changes and balanced rearrangements, are “the most difficult form of variation to detect” and that their phenotypic impact is disproportionately large relative to their frequency, motivating whole-genome sequencing over exome-based approaches [45]. Despite substantial progress since 2017, these observations remain accurate: the present thesis addresses the gene-prioritization problem and places structural variant interpretation — and chromothripsis in particular — at its center.</w:t>
      </w:r>
    </w:p>
    <w:p>
      <w:pPr>
        <w:spacing w:after="200"/>
        <w:jc w:val="left"/>
      </w:pPr>
      <w:r>
        <w:rPr>
          <w:b w:val="false"/>
          <w:bCs w:val="false"/>
          <w:i w:val="false"/>
          <w:iCs w:val="false"/>
        </w:rPr>
        <w:t xml:space="preserve">Current tools for rare-disease variant interpretation can be divided into three broad groups: end-to-end interpretation platforms that prioritize variants and, in some cases, match them to phenotypes; evidence resources that support interpretation without producing a patient-level ranking themselves; and AI-augmented systems that combine machine learning or large language models with structured genomic databases. Across all groups, SNV/indel interpretation is comparatively mature, while structural-variant support — and especially support for complex or balanced rearrangements — remains partial and unevenly documented.</w:t>
      </w:r>
    </w:p>
    <w:p>
      <w:pPr>
        <w:spacing w:after="200"/>
        <w:jc w:val="left"/>
      </w:pPr>
      <w:r>
        <w:rPr>
          <w:b w:val="false"/>
          <w:bCs w:val="false"/>
          <w:i w:val="false"/>
          <w:iCs w:val="false"/>
        </w:rPr>
        <w:t xml:space="preserve">Among commercial interpretation platforms, VarSome is primarily a variant search and annotation engine, but it also provides a structural-variant browser and HPO-based phenotype matching for clinical users [1][2][3][4]. Franklin, developed by Genoox, combines an AI-based variant-prioritization engine with genotype-to-phenotype matching and explicitly supports SNVs/indels together with CNVs and other structural variants, making it the closest commercial analogue to the phenotype-aware, multi-variant-type system proposed in this thesis [7][8]. Alamut Visual Plus occupies a different niche: its vendor documentation describes it as a full-genome variant annotation and visualization browser that aggregates annotation from more than fifty external databases, supports structural-variant–relevant resources such as dbVar and DGV, and includes explicit support for the ACMG/AMP variant-interpretation guidelines [5][6]. It does allow individual variants to be tagged with patient-specific HPO terms for record-keeping and re-analysis, but this is a tracking and annotation feature rather than a phenotype-similarity ranking engine of the kind used by Exomiser or Franklin; Alamut is therefore best understood as a visualization and annotation browser rather than as a phenotype-driven prioritization system in its own right [5][6].</w:t>
      </w:r>
    </w:p>
    <w:p>
      <w:pPr>
        <w:spacing w:after="200"/>
        <w:jc w:val="left"/>
      </w:pPr>
      <w:r>
        <w:rPr>
          <w:b w:val="false"/>
          <w:bCs w:val="false"/>
          <w:i w:val="false"/>
          <w:iCs w:val="false"/>
        </w:rPr>
        <w:t xml:space="preserve">A second group of tools functions as an evidence resource rather than as an end-to-end prioritizer. Mastermind is a genomic literature search engine that indexes full-text articles and supports gene- and variant-level evidence retrieval, but it does not rank candidates for a given patient [9]. DisGeNET is a curated database of gene–disease and variant–disease associations that is useful as an upstream knowledge source rather than as an interpretation workflow [10][11]. Both are treated in this thesis as evidence sources that the proposed assistant’s modules could draw on, rather than as direct competitors.</w:t>
      </w:r>
    </w:p>
    <w:p>
      <w:pPr>
        <w:spacing w:after="200"/>
        <w:jc w:val="left"/>
      </w:pPr>
      <w:r>
        <w:rPr>
          <w:b w:val="false"/>
          <w:bCs w:val="false"/>
          <w:i w:val="false"/>
          <w:iCs w:val="false"/>
        </w:rPr>
        <w:t xml:space="preserve">Among academic prioritization tools, Exomiser is the most directly comparable system, since it combines variant frequency, predicted pathogenicity, and HPO-based phenotype similarity to rank candidate genes and diagnoses. Since version 13.0.0, Exomiser has been able to jointly prioritize structural and sequence variants supplied in a combined VCF file, which makes it a strong baseline for the present project [12]. At the same time, its own documentation notes continuing limitations for unspecified breakend-type structural variants and for some structural variants affecting noncoding regions [12][13], which is precisely the gap that balanced translocations and chromothripsis-like events tend to fall into. On the commercial SV side, Lucid Genomics markets a long-read-oriented platform that claims to detect SNVs, indels, repeat expansions, and structural variants [14][15], but its public-facing material does not clearly establish phenotype-driven ranking or transcriptome integration, so it is treated here cautiously as an SV-focused comparator whose phenotype-matching capabilities are not independently documented.</w:t>
      </w:r>
    </w:p>
    <w:p>
      <w:pPr>
        <w:spacing w:after="200"/>
        <w:jc w:val="left"/>
      </w:pPr>
      <w:r>
        <w:rPr>
          <w:b w:val="false"/>
          <w:bCs w:val="false"/>
          <w:i w:val="false"/>
          <w:iCs w:val="false"/>
        </w:rPr>
        <w:t xml:space="preserve">Two recent AI-augmented systems are directly relevant to this thesis and deserve detailed treatment.</w:t>
      </w:r>
    </w:p>
    <w:p>
      <w:pPr>
        <w:spacing w:after="200"/>
        <w:jc w:val="left"/>
      </w:pPr>
      <w:r>
        <w:rPr>
          <w:b w:val="false"/>
          <w:bCs w:val="false"/>
          <w:i w:val="false"/>
          <w:iCs w:val="false"/>
        </w:rPr>
        <w:t xml:space="preserve">AI-MARRVEL (AIM), published in 2024, is a random-forest machine-learning classifier trained on over 3.5 million variants from thousands of clinically diagnosed cases [46]. Its design is built around six expert-engineered feature modules that together capture disease database evidence, evolutionary conservation and population frequency, variant type, functional impact prediction, biological network proximity to known disease genes, and inheritance pattern — a structure that closely parallels the evidence layers described in this thesis. AIM substantially outperformed existing tools including Exomiser, LIRICAL, PhenIX, and Xrare on three independent cohorts, and its confidence scoring mechanism — which stratifies unsolved cases into high, medium, and low confidence for prioritized manual review — is an idea the present prototype could profitably adapt. Critically, however, the AIM paper explicitly states that the system “is not equipped to analyze structural variations or copy-number variations” and that its training data consisted predominantly of exome rather than whole-genome sequencing [46]. This directly stated limitation confirms the gap the present thesis addresses: even the strongest published ML classifier for Mendelian disease diagnosis does not handle the structural variant events that motivate this project.</w:t>
      </w:r>
    </w:p>
    <w:p>
      <w:pPr>
        <w:spacing w:after="200"/>
        <w:jc w:val="left"/>
      </w:pPr>
      <w:r>
        <w:rPr>
          <w:b w:val="false"/>
          <w:bCs w:val="false"/>
          <w:i w:val="false"/>
          <w:iCs w:val="false"/>
        </w:rPr>
        <w:t xml:space="preserve">MARRVEL-MCP, published in 2026, is architecturally the closest published precedent to this thesis’s design concept [47]. It provides large language models with access to 44 structured genomic tools — spanning variant conversion utilities, pathogenicity databases (ClinVar, gnomAD, dbNSFP, DECIPHER), phenotype resources (HPO, OMIM, Geno2MP), expression data (GTEx), ortholog resources (DIOPT), and literature APIs (PubMed) — through the Model Context Protocol, a standardized interface that allows LLMs to invoke external functions and compose multi-step analytical workflows autonomously without hard-coded pipeline rules [47]. The central finding is that smaller models (3–20 billion parameters) equipped with MARRVEL-MCP matched or outperformed much larger models without tool access on a benchmark of 100 expert-curated variant interpretation questions, demonstrating that structured tool environments and domain-specific context can compensate for limited model capacity. The authors describe this principle as </w:t>
      </w:r>
      <w:r>
        <w:rPr>
          <w:b w:val="false"/>
          <w:bCs w:val="false"/>
          <w:i/>
          <w:iCs/>
        </w:rPr>
        <w:t xml:space="preserve">context engineering</w:t>
      </w:r>
      <w:r>
        <w:rPr>
          <w:b w:val="false"/>
          <w:bCs w:val="false"/>
          <w:i w:val="false"/>
          <w:iCs w:val="false"/>
        </w:rPr>
        <w:t xml:space="preserve">: the deliberate design of reasoning environments through explicit tool interfaces, constrained inputs and outputs, and provenance-aware evidence handling. This framing is directly applicable to the present thesis, where the Phenopackets-inspired case object serves an analogous structuring role. However, MARRVEL-MCP was designed exclusively for SNV/indel interpretation — none of its 44 tools address structural variant calling, breakpoint annotation, or chromothripsis characterization — and its benchmark of 100 questions explicitly excludes structural variants [47]. The present thesis can therefore be understood as extending the MARRVEL-MCP concept into the structural variant domain, adding breakpoint-to-gene linking, transcriptome integration, and a case-level schema that preserves all evidence layers for auditability.</w:t>
      </w:r>
    </w:p>
    <w:p>
      <w:pPr>
        <w:spacing w:after="200"/>
        <w:jc w:val="left"/>
      </w:pPr>
      <w:r>
        <w:rPr>
          <w:b w:val="false"/>
          <w:bCs w:val="false"/>
          <w:i w:val="false"/>
          <w:iCs w:val="false"/>
        </w:rPr>
        <w:t xml:space="preserve">Table 1 summarizes the landscape across all relevant tools along the dimensions most important to this thesis.</w:t>
      </w:r>
    </w:p>
    <w:p>
      <w:pPr>
        <w:spacing w:after="200"/>
        <w:jc w:val="left"/>
      </w:pPr>
      <w:r>
        <w:rPr>
          <w:b/>
          <w:bCs/>
          <w:i w:val="false"/>
          <w:iCs w:val="false"/>
        </w:rPr>
        <w:t xml:space="preserve">Table 1. Existing tools for rare-disease variant interpretation, relative to the present 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354"/>
        <w:gridCol w:w="1083"/>
        <w:gridCol w:w="1444"/>
        <w:gridCol w:w="1986"/>
        <w:gridCol w:w="1805"/>
      </w:tblGrid>
      <w:tr>
        <w:trPr>
          <w:tblHeader/>
        </w:trPr>
        <w:tc>
          <w:tcPr>
            <w:tcW w:type="dxa" w:w="1354"/>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Tool</w:t>
            </w:r>
          </w:p>
        </w:tc>
        <w:tc>
          <w:tcPr>
            <w:tcW w:type="dxa" w:w="1354"/>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Main role</w:t>
            </w:r>
          </w:p>
        </w:tc>
        <w:tc>
          <w:tcPr>
            <w:tcW w:type="dxa" w:w="1083"/>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Variant types</w:t>
            </w:r>
          </w:p>
        </w:tc>
        <w:tc>
          <w:tcPr>
            <w:tcW w:type="dxa" w:w="1444"/>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Phenotype-driven ranking</w:t>
            </w:r>
          </w:p>
        </w:tc>
        <w:tc>
          <w:tcPr>
            <w:tcW w:type="dxa" w:w="1986"/>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Complex/balanced SV support</w:t>
            </w:r>
          </w:p>
        </w:tc>
        <w:tc>
          <w:tcPr>
            <w:tcW w:type="dxa" w:w="1805"/>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Relevance to this thesis</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VarSome</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Clinical variant search and interpretation [1]</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 SV [3]</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HPO-based matching [2]</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 browsing supported; multi-breakpoint/chromothripsis handling not documented [3][2]</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Benchmark for integrated annotation and evidence presentation</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Franklin</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AI-based prioritization and phenotype matching [7]</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 CNV + SV [8]</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[7]</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CNV/SV interpretation supported [7][8]</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Closest commercial analogue to the proposed assistant</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Alamut Visual Plus</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Visualization and annotation browser [5]</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 SV-relevant tracks (dbVar, DGV) [5]</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HPO tagging for record-keeping, not similarity ranking [5][6]</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Displays SV/CNV-relevant tracks; no prioritization logic [5]</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Example of annotation and ACMG support without prioritization</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Mastermind</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Genomic literature search [9]</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Literature evidence [9]</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Can surface SV-related literature; does not interpret a patient’s SVs</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Evidence source, not a competitor</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DisGeNET</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Disease-genomics database [10][11]</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Gene–disease / variant–disease associations [10][11]</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Not a variant interpretation tool</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Upstream knowledge base</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Exomiser</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Phenotype-driven prioritization [12]</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 SV [12]</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HPO similarity [12]</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 prioritization since v13.0.0; documented gaps for BND-type and some noncoding SVs [12][13]</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Most important academic baseline</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Lucid Genomics</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Long-read SV analysis platform [14][15]</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SV-focused, long-read oriented [14][15]</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Not independently documented</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 detection claimed publicly; phenotype layer unclear [14][15]</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SV-focused commercial comparator with an unclear phenotype layer</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AI-MARRVEL (AIM)</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ML-based variant prioritization [46]</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only [46]</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via HPO-matched feature module [46]</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Not supported; explicitly stated limitation [46]</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Strongest published ML baseline; confirms SV gap; confidence scoring concept adaptable</w:t>
            </w:r>
          </w:p>
        </w:tc>
      </w:tr>
      <w:tr>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MARRVEL-MCP</w:t>
            </w:r>
          </w:p>
        </w:tc>
        <w:tc>
          <w:tcPr>
            <w:tcW w:type="dxa" w:w="135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Tool-augmented LLM interface [47]</w:t>
            </w:r>
          </w:p>
        </w:tc>
        <w:tc>
          <w:tcPr>
            <w:tcW w:type="dxa" w:w="1083"/>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SNV/indel only; 44 tools cover no SV callers [47]</w:t>
            </w:r>
          </w:p>
        </w:tc>
        <w:tc>
          <w:tcPr>
            <w:tcW w:type="dxa" w:w="1444"/>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Yes, via HPO and OMIM tool calls [47]</w:t>
            </w:r>
          </w:p>
        </w:tc>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Not supported; benchmark excludes SVs [47]</w:t>
            </w:r>
          </w:p>
        </w:tc>
        <w:tc>
          <w:tcPr>
            <w:tcW w:type="dxa" w:w="1805"/>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Closest architectural precedent; context engineering concept directly applicable</w:t>
            </w:r>
          </w:p>
        </w:tc>
      </w:tr>
    </w:tbl>
    <w:p>
      <w:pPr>
        <w:spacing w:after="200"/>
      </w:pPr>
    </w:p>
    <w:p>
      <w:pPr>
        <w:spacing w:after="200"/>
        <w:jc w:val="left"/>
      </w:pPr>
      <w:r>
        <w:rPr>
          <w:b w:val="false"/>
          <w:bCs w:val="false"/>
          <w:i w:val="false"/>
          <w:iCs w:val="false"/>
        </w:rPr>
        <w:t xml:space="preserve">Taken together, these systems show that the field is well-served by SNV/indel interpretation and phenotype matching, and that AI-augmented approaches are rapidly maturing in that space. The gap that remains — and that both AI-MARRVEL and MARRVEL-MCP explicitly acknowledge — is structural variant interpretation, particularly for complex or balanced events that leave no copy-number footprint. What none of the surveyed systems offers is a single transparent workflow that combines patient phenotype, structural-variant breakpoint evidence, transcriptomic signal, and SNV/indel annotation in one auditable case record. This is the methodological contribution the present thesis targets: not a claim of clinical superiority over existing tools, but a structured, evidence-layered prototype that makes each component of the ranking visible and checkable.</w:t>
      </w:r>
    </w:p>
    <w:p>
      <w:pPr>
        <w:pStyle w:val="Heading1"/>
      </w:pPr>
      <w:r>
        <w:rPr>
          <w:b w:val="false"/>
          <w:bCs w:val="false"/>
          <w:i w:val="false"/>
          <w:iCs w:val="false"/>
        </w:rPr>
        <w:t xml:space="preserve">Structural Variants and Chromothripsis</w:t>
      </w:r>
    </w:p>
    <w:p>
      <w:pPr>
        <w:spacing w:after="200"/>
        <w:jc w:val="left"/>
      </w:pPr>
      <w:r>
        <w:rPr>
          <w:b w:val="false"/>
          <w:bCs w:val="false"/>
          <w:i w:val="false"/>
          <w:iCs w:val="false"/>
        </w:rPr>
        <w:t xml:space="preserve">Having situated the project relative to existing tools, this section turns to the two structural-variant phenomena that motivate the structural-variant module: chromothripsis and balanced translocations. Both are difficult to interpret for a shared reason — their clinical significance depends not on the mere presence of a rearrangement but on its exact breakpoint coordinates, the genes or regulatory elements it disrupts, and its downstream functional consequences — but they differ substantially in scale and mechanism.</w:t>
      </w:r>
    </w:p>
    <w:p>
      <w:pPr>
        <w:spacing w:after="200"/>
        <w:jc w:val="left"/>
      </w:pPr>
      <w:r>
        <w:rPr>
          <w:b w:val="false"/>
          <w:bCs w:val="false"/>
          <w:i w:val="false"/>
          <w:iCs w:val="false"/>
        </w:rPr>
        <w:t xml:space="preserve">Chromothripsis refers to a catastrophic, one-off mutational process in which one chromosome, or a small number of chromosomal regions, undergoes massive, clustered rearrangement, rather than accumulating structural changes gradually over time [16][20]. Its hallmark features include tight breakpoint clustering, oscillating copy-number states, and an apparently random rejoining of chromosomal fragments, from which a derivative chromosome can sometimes be reconstructed by chaining together individual breakpoint connections [16][18][19]. A balanced translocation, in contrast, exchanges chromosomal segments without an obvious net gain or loss of genetic material, and can therefore still be pathogenic despite appearing copy-number neutral [22][23]. Balanced reciprocal translocations typically involve a small number of junctions, whereas chromothripsis can involve tens to hundreds of breakpoints across one or more chromosomal regions [16][17]; in both cases, however, the diagnostic question is the same — which genes, regulatory elements, or chromosomal domains are disrupted, repositioned, or fused by the event.</w:t>
      </w:r>
    </w:p>
    <w:p>
      <w:pPr>
        <w:spacing w:after="200"/>
        <w:jc w:val="left"/>
      </w:pPr>
      <w:r>
        <w:rPr>
          <w:b w:val="false"/>
          <w:bCs w:val="false"/>
          <w:i w:val="false"/>
          <w:iCs w:val="false"/>
        </w:rPr>
        <w:t xml:space="preserve">Precise breakpoint detection sits at the center of this question, because a rearrangement can only be interpreted mechanistically once its sequence-level junctions are known. Breakpoint coordinates determine whether a gene is directly interrupted, whether a regulatory element is displaced, whether a fusion transcript is plausible, and whether local chromatin architecture might be altered [22][23][16]. This is also why cytogenetic detection alone, and array-based methods such as aCGH or SNP arrays more generally, are not sufficient for this kind of mechanistic interpretation: balanced rearrangements frequently produce no detectable copy-number change at all, and even when arrays do detect an associated imbalance, their resolution is constrained by probe density and does not reach the nucleotide-level precision needed to identify which exons or regulatory regions are actually disrupted [25]. Arrays therefore remain useful as a screening step, but not as the primary basis for breakpoint-level interpretation in a sequencing-centered workflow.</w:t>
      </w:r>
    </w:p>
    <w:p>
      <w:pPr>
        <w:spacing w:after="200"/>
        <w:jc w:val="left"/>
      </w:pPr>
      <w:r>
        <w:rPr>
          <w:b w:val="false"/>
          <w:bCs w:val="false"/>
          <w:i w:val="false"/>
          <w:iCs w:val="false"/>
        </w:rPr>
        <w:t xml:space="preserve">Sequencing-based breakpoint detection has progressed along two complementary tracks. Short-read whole-genome sequencing identifies candidate breakpoints mainly through split reads, discordant paired-end reads, and local copy-number changes, and was instrumental in the original genome-wide discovery and cataloguing of chromothripsis [17][16]. Short reads, however, often cannot fully resolve breakpoint junctions in repetitive or highly complex regions, particularly when several rearrangements occur in close proximity [16][21]. Long-read sequencing, especially with Oxford Nanopore or PacBio platforms, addresses this limitation by producing reads that can span rearrangement junctions and repetitive sequence directly; published studies have resolved balanced reciprocal translocation breakpoints at high resolution even at modest sequencing coverage, and have used long reads to reconstruct chromothriptic architecture more completely than standard cytogenetic methods allow [22][23][24][21]. Assembly-based and hybrid approaches — for example, combining long reads with Hi-C data to capture abnormal long-range chromosomal contacts — can further improve reconstruction of complex derivative structures, although within the scope of an MSc thesis these are most realistically treated as referenced background rather than as a fully implemented reconstruction pipeline [21].</w:t>
      </w:r>
    </w:p>
    <w:p>
      <w:pPr>
        <w:spacing w:after="200"/>
        <w:jc w:val="left"/>
      </w:pPr>
      <w:r>
        <w:rPr>
          <w:b w:val="false"/>
          <w:bCs w:val="false"/>
          <w:i w:val="false"/>
          <w:iCs w:val="false"/>
        </w:rPr>
        <w:t xml:space="preserve">It is useful to separate the available tooling into detection/characterization tools and interpretation/prioritization tools, since conflating the two risks overclaiming what either category actually does. ShatterSeek is a well-established R package for identifying chromothripsis-like patterns from genome-wide structural-variant and copy-number data, evaluating criteria such as breakpoint clustering and copy-number oscillation [26][16]; it is a characterization tool, not a phenotype-aware interpreter, and is relevant here mainly as background and a possible methodological point of comparison. Long-read structural-variant callers have similarly been used in published balanced-translocation studies to nominate candidate breakpoints that are subsequently validated visually and experimentally [22]; these tools belong to the upstream detection layer and do not themselves prioritize genes or diagnoses. On the interpretation side, PhenoSV is the clearest existing example of a phenotype-aware structural-variant prioritization model: it is described as an interpretable system for ranking genes affected by structural variants while incorporating HPO-linked phenotype information across major SV classes [27]. PhenoSV is a useful comparator for the phenotype-aware component of the present assistant, but it is not designed to integrate breakpoint evidence, transcriptome data, and case-level reasoning into a single framework, which is the specific combination this thesis pursues.</w:t>
      </w:r>
    </w:p>
    <w:p>
      <w:pPr>
        <w:spacing w:after="200"/>
        <w:jc w:val="left"/>
      </w:pPr>
      <w:r>
        <w:rPr>
          <w:b w:val="false"/>
          <w:bCs w:val="false"/>
          <w:i w:val="false"/>
          <w:iCs w:val="false"/>
        </w:rPr>
        <w:t xml:space="preserve">Transcriptome data adds a further, largely orthogonal evidence layer. RNA-seq can reveal whether a gene at or near a breakpoint shows altered expression, abnormal splicing, or a fusion transcript consistent with the rearrangement hypothesis, even when the DNA-level event itself is copy-number neutral [28]. This is particularly relevant for balanced rearrangements, where genomic structure alone does not establish whether the event has any measurable downstream effect: a breakpoint located near a candidate gene becomes considerably more convincing as a diagnostic explanation if RNA-seq independently shows reduced or outlier expression of that same gene. Large public cancer cohorts illustrate how informative this kind of structural and transcriptomic evidence can be at scale; the Pan-Cancer Analysis of Whole Genomes (PCAWG) study of 2,658 tumors across 38 cancer types found chromothripsis to be pervasive, exceeding 50% frequency in several cancer types, and remains one of the most influential benchmarks for chromothripsis research [16]. Somatic cancer genomes are not biologically identical to germline rare-disease cases — tumor heterogeneity and oncogenic selection introduce assumptions that do not transfer directly to inherited disease — but the underlying breakpoint-detection and reconstruction problems are similar enough that cancer-derived tools and benchmarks remain useful reference points, provided this difference in biological context is stated explicitly.</w:t>
      </w:r>
    </w:p>
    <w:p>
      <w:pPr>
        <w:spacing w:after="200"/>
        <w:jc w:val="left"/>
      </w:pPr>
      <w:r>
        <w:rPr>
          <w:b w:val="false"/>
          <w:bCs w:val="false"/>
          <w:i w:val="false"/>
          <w:iCs w:val="false"/>
        </w:rPr>
        <w:t xml:space="preserve">Despite this progress, no single widely used framework currently combines sequence-level breakpoint evidence, nearby-gene annotation, transcriptomic support, and patient phenotype information within one transparent, case-linked workflow. Detection tools identify rearrangements; tools such as PhenoSV support phenotype-aware prioritization; but these components remain largely separate, and none of them provides a fully auditable chain from breakpoint to gene effect to phenotype match [27][16]. This interpretability gap matters most in rare inherited disease, where cohorts are small, evidence is heterogeneous, and the ability to explain each prioritization step can matter as much as raw predictive performance. Because automated callers cannot always be trusted at face value — particularly for balanced events that leave no copy-number footprint — the next section considers a necessary complementary layer: manual, read-level inspection of candidate breakpoints.</w:t>
      </w:r>
    </w:p>
    <w:p>
      <w:pPr>
        <w:pStyle w:val="Heading1"/>
      </w:pPr>
      <w:r>
        <w:rPr>
          <w:b w:val="false"/>
          <w:bCs w:val="false"/>
          <w:i w:val="false"/>
          <w:iCs w:val="false"/>
        </w:rPr>
        <w:t xml:space="preserve">IGV and Breakpoint Inspection</w:t>
      </w:r>
    </w:p>
    <w:p>
      <w:pPr>
        <w:spacing w:after="200"/>
        <w:jc w:val="left"/>
      </w:pPr>
      <w:r>
        <w:rPr>
          <w:b w:val="false"/>
          <w:bCs w:val="false"/>
          <w:i w:val="false"/>
          <w:iCs w:val="false"/>
        </w:rPr>
        <w:t xml:space="preserve">The Integrative Genomics Viewer (IGV) is an open-source genome browser developed for the visual exploration of aligned sequencing reads, variant calls, coverage tracks, and genomic annotations [29][30]. In both research and clinical genomics, IGV is widely used as a review layer that allows an analyst to inspect the read-level evidence underlying a candidate variant, including structural-variant breakpoints [30][31]. For the purposes of this thesis, IGV should be understood not as a discovery engine for balanced translocations or chromothripsis, but as a transparent visualization and validation tool that supports manual review of breakpoints already nominated by an SV caller, a cytogenetic result, or an orthogonal line of evidence.</w:t>
      </w:r>
    </w:p>
    <w:p>
      <w:pPr>
        <w:spacing w:after="200"/>
        <w:jc w:val="left"/>
      </w:pPr>
      <w:r>
        <w:rPr>
          <w:b w:val="false"/>
          <w:bCs w:val="false"/>
          <w:i w:val="false"/>
          <w:iCs w:val="false"/>
        </w:rPr>
        <w:t xml:space="preserve">This distinction between visualization and detection is important. Dedicated SV callers such as Manta, DELLY, pbsv, or Sniffles search genome-wide for statistical patterns in split reads, discordant read pairs, and coverage changes, and emit formal variant calls. IGV does not perform that genome-wide inference step; instead, it displays the underlying alignments so that a human analyst can judge whether the read-level evidence is consistent with a genuine rearrangement or is more compatible with alignment noise or technical artifact [30][31]. This matters especially for balanced translocations, which usually produce no clear copy-number signal and are therefore hard to identify from coverage alone; IGV is most useful once a candidate breakpoint has already been nominated and the analyst wants to check whether the local read pattern supports that hypothesis.</w:t>
      </w:r>
    </w:p>
    <w:p>
      <w:pPr>
        <w:spacing w:after="200"/>
        <w:jc w:val="left"/>
      </w:pPr>
      <w:r>
        <w:rPr>
          <w:b w:val="false"/>
          <w:bCs w:val="false"/>
          <w:i w:val="false"/>
          <w:iCs w:val="false"/>
        </w:rPr>
        <w:t xml:space="preserve">Several classes of read-level evidence are informative when reviewing a candidate breakpoint. A cluster of discordant read pairs — mates mapping to different chromosomes, or at unexpected distances and orientations — is one of the clearest signatures of a translocation in paired-end short-read data, and is easier to recognize once reads are colored by the chromosome of their mate [30][31]. Reads that span a breakpoint junction may align only partially, with the unaligned portion soft-clipped or represented as a supplementary alignment; enabling the display of soft-clipped bases and supplementary alignments can narrow a candidate breakpoint to near-nucleotide precision, and is especially informative in long-read data, where a single read may span a much larger fraction of the rearranged sequence than is possible with short reads [30][31][34]. Coloring alignments by pair orientation can reveal abnormal pairing patterns that, combined with discordant pairing and split-read evidence, strengthen confidence in a candidate event, particularly for inversions and nearby rearrangements [30][31]. A balanced translocation is generally expected to preserve local read depth, so a clear local gain or loss of coverage instead suggests that the event is unbalanced or accompanied by a copy-number change [31][30]. Not every discordant or clipped read is genuine evidence, however: repetitive sequence, segmental duplication, low-complexity regions, and ambiguous mapping can all generate false-positive visual patterns, so manual review should also consider mapping quality, strand balance, and whether supporting reads recur consistently across multiple fragments rather than appearing in a single low-quality cluster [30].</w:t>
      </w:r>
    </w:p>
    <w:p>
      <w:pPr>
        <w:spacing w:after="200"/>
        <w:jc w:val="left"/>
      </w:pPr>
      <w:r>
        <w:rPr>
          <w:b w:val="false"/>
          <w:bCs w:val="false"/>
          <w:i w:val="false"/>
          <w:iCs w:val="false"/>
        </w:rPr>
        <w:t xml:space="preserve">In practice, a small number of IGV settings account for most of this review capability:</w:t>
      </w:r>
    </w:p>
    <w:p>
      <w:pPr>
        <w:pStyle w:val="ListParagraph"/>
        <w:numPr>
          <w:ilvl w:val="0"/>
          <w:numId w:val="2"/>
        </w:numPr>
        <w:spacing w:after="120"/>
      </w:pPr>
      <w:r>
        <w:rPr>
          <w:b/>
          <w:bCs/>
          <w:i w:val="false"/>
          <w:iCs w:val="false"/>
        </w:rPr>
        <w:t xml:space="preserve">Color alignments by chromosome of mate</w:t>
      </w:r>
      <w:r>
        <w:rPr>
          <w:b w:val="false"/>
          <w:bCs w:val="false"/>
          <w:i w:val="false"/>
          <w:iCs w:val="false"/>
        </w:rPr>
        <w:t xml:space="preserve"> — reveals inter-chromosomal discordant pairs relevant to translocation review [31][33].</w:t>
      </w:r>
    </w:p>
    <w:p>
      <w:pPr>
        <w:pStyle w:val="ListParagraph"/>
        <w:numPr>
          <w:ilvl w:val="0"/>
          <w:numId w:val="2"/>
        </w:numPr>
        <w:spacing w:after="120"/>
      </w:pPr>
      <w:r>
        <w:rPr>
          <w:b/>
          <w:bCs/>
          <w:i w:val="false"/>
          <w:iCs w:val="false"/>
        </w:rPr>
        <w:t xml:space="preserve">Color alignments by pair orientation</w:t>
      </w:r>
      <w:r>
        <w:rPr>
          <w:b w:val="false"/>
          <w:bCs w:val="false"/>
          <w:i w:val="false"/>
          <w:iCs w:val="false"/>
        </w:rPr>
        <w:t xml:space="preserve"> — highlights abnormal pairing patterns, useful for inversions and nearby rearrangements [31][33].</w:t>
      </w:r>
    </w:p>
    <w:p>
      <w:pPr>
        <w:pStyle w:val="ListParagraph"/>
        <w:numPr>
          <w:ilvl w:val="0"/>
          <w:numId w:val="2"/>
        </w:numPr>
        <w:spacing w:after="120"/>
      </w:pPr>
      <w:r>
        <w:rPr>
          <w:b/>
          <w:bCs/>
          <w:i w:val="false"/>
          <w:iCs w:val="false"/>
        </w:rPr>
        <w:t xml:space="preserve">Show soft-clipped bases</w:t>
      </w:r>
      <w:r>
        <w:rPr>
          <w:b w:val="false"/>
          <w:bCs w:val="false"/>
          <w:i w:val="false"/>
          <w:iCs w:val="false"/>
        </w:rPr>
        <w:t xml:space="preserve"> — exposes clipped, breakpoint-supporting reads that are otherwise hidden by default [31][33].</w:t>
      </w:r>
    </w:p>
    <w:p>
      <w:pPr>
        <w:pStyle w:val="ListParagraph"/>
        <w:numPr>
          <w:ilvl w:val="0"/>
          <w:numId w:val="2"/>
        </w:numPr>
        <w:spacing w:after="120"/>
      </w:pPr>
      <w:r>
        <w:rPr>
          <w:b/>
          <w:bCs/>
          <w:i w:val="false"/>
          <w:iCs w:val="false"/>
        </w:rPr>
        <w:t xml:space="preserve">View as pairs / mate-linking options</w:t>
      </w:r>
      <w:r>
        <w:rPr>
          <w:b w:val="false"/>
          <w:bCs w:val="false"/>
          <w:i w:val="false"/>
          <w:iCs w:val="false"/>
        </w:rPr>
        <w:t xml:space="preserve"> — clarifies the relationship between paired-end mates [30][33].</w:t>
      </w:r>
    </w:p>
    <w:p>
      <w:pPr>
        <w:pStyle w:val="ListParagraph"/>
        <w:numPr>
          <w:ilvl w:val="0"/>
          <w:numId w:val="2"/>
        </w:numPr>
        <w:spacing w:after="120"/>
      </w:pPr>
      <w:r>
        <w:rPr>
          <w:b/>
          <w:bCs/>
          <w:i w:val="false"/>
          <w:iCs w:val="false"/>
        </w:rPr>
        <w:t xml:space="preserve">Split-screen or mate-region views</w:t>
      </w:r>
      <w:r>
        <w:rPr>
          <w:b w:val="false"/>
          <w:bCs w:val="false"/>
          <w:i w:val="false"/>
          <w:iCs w:val="false"/>
        </w:rPr>
        <w:t xml:space="preserve"> — allows both sides of a suspected rearrangement to be compared directly once the breakends are at least roughly known [31][33].</w:t>
      </w:r>
    </w:p>
    <w:p>
      <w:pPr>
        <w:spacing w:after="200"/>
        <w:jc w:val="left"/>
      </w:pPr>
      <w:r>
        <w:rPr>
          <w:b w:val="false"/>
          <w:bCs w:val="false"/>
          <w:i w:val="false"/>
          <w:iCs w:val="false"/>
        </w:rPr>
        <w:t xml:space="preserve">These settings do not create new evidence; they make existing alignment evidence easier to interpret and explain, which matters for an interpretable assistant whose goal is not only to produce a breakpoint hypothesis but to present a visible rationale for it.</w:t>
      </w:r>
    </w:p>
    <w:p>
      <w:pPr>
        <w:spacing w:after="200"/>
        <w:jc w:val="left"/>
      </w:pPr>
      <w:r>
        <w:rPr>
          <w:b w:val="false"/>
          <w:bCs w:val="false"/>
          <w:i w:val="false"/>
          <w:iCs w:val="false"/>
        </w:rPr>
        <w:t xml:space="preserve">The usefulness of IGV-based review depends heavily on the underlying sequencing data. In short-read paired-end BAM or CRAM files, the main available evidence consists of discordant pairs, local soft-clipping, and sometimes limited split-read support at junctions, which is often sufficient for reviewing candidate breakpoints but can struggle in repetitive sequence or highly complex rearrangements where short reads cannot span the full junction [30]. Long-read data is generally more informative for balanced translocations and complex rearrangements, since individual reads can span larger breakpoint intervals and produce more direct split-alignment evidence; recent IGV development has specifically targeted long-read inspection, for example by reducing visual noise from small indels in noisy long-read alignments [34][35]. For the most difficult rearrangements, including chromothripsis-like patterns, long-read inspection in IGV is therefore typically more interpretable than short-read inspection alone, although it remains a review layer rather than a discovery algorithm [35][30].</w:t>
      </w:r>
    </w:p>
    <w:p>
      <w:pPr>
        <w:spacing w:after="200"/>
        <w:jc w:val="left"/>
      </w:pPr>
      <w:r>
        <w:rPr>
          <w:b w:val="false"/>
          <w:bCs w:val="false"/>
          <w:i w:val="false"/>
          <w:iCs w:val="false"/>
        </w:rPr>
        <w:t xml:space="preserve">Compared with dedicated SV callers, IGV’s main strength is interpretability: an analyst can inspect actual read-level evidence rather than a summarized variant record alone, which is valuable for case discussion and failure analysis, and IGV’s ability to display alignments, variant calls, gene models, and coverage together helps connect that evidence to genomic context [30][29]. Its limitations are equally clear: it is not systematic, does not scale to unbiased genome-wide discovery, and depends on the analyst’s skill and on a candidate locus having already been nominated by some other method; highly repetitive or low-quality regions may remain difficult to interpret even on visual inspection [30][34]. Genomics England’s rare-disease and cancer interpretation documentation reflects this division of labor explicitly, treating IGV as a structured review environment for split reads, discordant reads, and structural-variant evidence in already-nominated candidate regions, rather than as a primary detection tool [31][32][33].</w:t>
      </w:r>
    </w:p>
    <w:p>
      <w:pPr>
        <w:spacing w:after="200"/>
        <w:jc w:val="left"/>
      </w:pPr>
      <w:r>
        <w:rPr>
          <w:b w:val="false"/>
          <w:bCs w:val="false"/>
          <w:i w:val="false"/>
          <w:iCs w:val="false"/>
        </w:rPr>
        <w:t xml:space="preserve">Within the proposed assistant, this suggests a specific and modest role for IGV-style evidence: not as a detection module, but as a human-readable evidence layer attached to candidate breakpoints that have already been nominated upstream. The assistant could expose concise, structured summaries of supporting read evidence — discordant-pair count, split-read count, mapping-quality profile, and reciprocal support at both breakends — alongside, rather than instead of, the genomic, transcriptomic, and phenotypic evidence described elsewhere in this chapter. This is particularly valuable for balanced rearrangements, where the absence of a copy-number footprint makes automated interpretation harder and a clinician’s ability to see why a breakpoint is plausible becomes correspondingly more important.</w:t>
      </w:r>
    </w:p>
    <w:p>
      <w:pPr>
        <w:spacing w:after="200"/>
        <w:jc w:val="left"/>
      </w:pPr>
      <w:r>
        <w:rPr>
          <w:b w:val="false"/>
          <w:bCs w:val="false"/>
          <w:i w:val="false"/>
          <w:iCs w:val="false"/>
        </w:rPr>
        <w:t xml:space="preserve">Manual inspection of this kind, however, is only as useful as the cases available to practice and evaluate it on. In the absence of a large, well-characterized patient cohort, the present project relies on synthetic and benchmark data instead, which is the subject of the next section.</w:t>
      </w:r>
    </w:p>
    <w:p>
      <w:pPr>
        <w:pStyle w:val="Heading1"/>
      </w:pPr>
      <w:r>
        <w:rPr>
          <w:b w:val="false"/>
          <w:bCs w:val="false"/>
          <w:i w:val="false"/>
          <w:iCs w:val="false"/>
        </w:rPr>
        <w:t xml:space="preserve">Synthetic Cases and Benchmark Data</w:t>
      </w:r>
    </w:p>
    <w:p>
      <w:pPr>
        <w:spacing w:after="200"/>
        <w:jc w:val="left"/>
      </w:pPr>
      <w:r>
        <w:rPr>
          <w:b w:val="false"/>
          <w:bCs w:val="false"/>
          <w:i w:val="false"/>
          <w:iCs w:val="false"/>
        </w:rPr>
        <w:t xml:space="preserve">Evaluating a variant-interpretation system requires cases in which the correct answer — the causative gene, variant, and diagnosis — is known with certainty. Real clinical data rarely offers this: diagnoses can remain incomplete, phenotyping can be partial, and the same variant can present with different clinical pictures in different individuals. Synthetic cases sidestep this problem by constructing genomes or variant sets from a known, planted pathogenic event, creating a controlled setting in which every step of an interpretation pipeline — including phenotype matching and the traceability of the final score — can be checked against ground truth [36][41]. Synthetic and benchmark data are best understood as a complement to, not a substitute for, real patient data: they let this thesis test whether the assistant can recover a known target, explain its reasoning, and remain stable across repeated runs, while keeping the evaluation reproducible and free of the ethical and access constraints that come with patient cohorts.</w:t>
      </w:r>
    </w:p>
    <w:p>
      <w:pPr>
        <w:spacing w:after="200"/>
        <w:jc w:val="left"/>
      </w:pPr>
      <w:r>
        <w:rPr>
          <w:b w:val="false"/>
          <w:bCs w:val="false"/>
          <w:i w:val="false"/>
          <w:iCs w:val="false"/>
        </w:rPr>
        <w:t xml:space="preserve">Three data sources are used for this purpose, each addressing a different part of the evaluation problem. GeneBreaker is a publicly available tool built specifically to generate synthetic rare-disease cases for whole-genome sequencing analysis; it can insert known pathogenic variants from established databases or generate novel gene-disrupting variants, across a disease space spanning thousands of disorders and genes [36][37]. Because each simulated case comes with a defined causal gene and variant, GeneBreaker is well suited to benchmarking phenotype-driven prioritization: the practical test is simply whether the assistant places the planted gene or variant near the top of its ranked output and can justify that ranking using the case’s own phenotype terms and variant annotations.</w:t>
      </w:r>
    </w:p>
    <w:p>
      <w:pPr>
        <w:spacing w:after="200"/>
        <w:jc w:val="left"/>
      </w:pPr>
      <w:r>
        <w:rPr>
          <w:b w:val="false"/>
          <w:bCs w:val="false"/>
          <w:i w:val="false"/>
          <w:iCs w:val="false"/>
        </w:rPr>
        <w:t xml:space="preserve">The thesis also uses a controlled, single-locus testbed built with simuG around the KAT6B gene on chromosome 10. Unlike GeneBreaker, which operates at the level of a full disease case, simuG works directly on the reference genome sequence, introducing SNPs, indels, CNVs, inversions, or translocations and emitting both a modified genome and a truth VCF [38][39]. KAT6B is a useful locus for this purpose because pathogenic disruption of the gene is an established cause of rare developmental disorders — for example, Say-Barber-Biesecker-Young-Simpson syndrome and genitopatellar syndrome, both characterized clinically through features such as blepharophimosis, hypotonia, and developmental delay that map directly onto standard HPO terms [40]. These simuG-based KAT6B cases provide exact, known breakpoint coordinates, which makes them particularly suited to evaluating the structural-variant module’s breakpoint mapping and nearby-gene logic, since the planted ground truth is exact rather than inferred.</w:t>
      </w:r>
    </w:p>
    <w:p>
      <w:pPr>
        <w:spacing w:after="200"/>
        <w:jc w:val="left"/>
      </w:pPr>
      <w:r>
        <w:rPr>
          <w:b w:val="false"/>
          <w:bCs w:val="false"/>
          <w:i w:val="false"/>
          <w:iCs w:val="false"/>
        </w:rPr>
        <w:t xml:space="preserve">The Genome in a Bottle (GIAB) NA12878/HG001 sample, maintained by NIST, provides high-confidence small-variant call sets assembled from multiple sequencing technologies and variant callers, and is widely used to validate variant-calling and filtering pipelines against an accepted benchmark [41][42]. Its role in this thesis is strictly technical: because HG001 is a healthy individual with no associated disease phenotype, it cannot serve as a clinical evaluation case, but it does provide a stable, independent check that preprocessing and basic VCF handling behave as expected before disease-specific synthetic cases are interpreted.</w:t>
      </w:r>
    </w:p>
    <w:p>
      <w:pPr>
        <w:spacing w:after="200"/>
        <w:jc w:val="left"/>
      </w:pPr>
      <w:r>
        <w:rPr>
          <w:b/>
          <w:bCs/>
          <w:i w:val="false"/>
          <w:iCs w:val="false"/>
        </w:rPr>
        <w:t xml:space="preserve">Table 2. Complementary roles of the three data sources used for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2166"/>
        <w:gridCol w:w="2166"/>
      </w:tblGrid>
      <w:tr>
        <w:trPr>
          <w:tblHeader/>
        </w:trPr>
        <w:tc>
          <w:tcPr>
            <w:tcW w:type="dxa" w:w="1986"/>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Data source</w:t>
            </w:r>
          </w:p>
        </w:tc>
        <w:tc>
          <w:tcPr>
            <w:tcW w:type="dxa" w:w="2708"/>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Primary role</w:t>
            </w:r>
          </w:p>
        </w:tc>
        <w:tc>
          <w:tcPr>
            <w:tcW w:type="dxa" w:w="2166"/>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Ground truth</w:t>
            </w:r>
          </w:p>
        </w:tc>
        <w:tc>
          <w:tcPr>
            <w:tcW w:type="dxa" w:w="2166"/>
            <w:tcBorders>
              <w:top w:val="single" w:color="CCCCCC" w:sz="1"/>
              <w:left w:val="single" w:color="CCCCCC" w:sz="1"/>
              <w:bottom w:val="single" w:color="CCCCCC" w:sz="1"/>
              <w:right w:val="single" w:color="CCCCCC" w:sz="1"/>
            </w:tcBorders>
            <w:shd w:fill="D9E2F3" w:val="clear"/>
            <w:tcMar>
              <w:top w:type="dxa" w:w="60"/>
              <w:left w:type="dxa" w:w="80"/>
              <w:bottom w:type="dxa" w:w="60"/>
              <w:right w:type="dxa" w:w="80"/>
            </w:tcMar>
          </w:tcPr>
          <w:p>
            <w:pPr>
              <w:spacing w:after="0"/>
            </w:pPr>
            <w:r>
              <w:rPr>
                <w:b/>
                <w:bCs/>
                <w:i w:val="false"/>
                <w:iCs w:val="false"/>
                <w:sz w:val="20"/>
                <w:szCs w:val="20"/>
              </w:rPr>
              <w:t xml:space="preserve">Main limitation</w:t>
            </w:r>
          </w:p>
        </w:tc>
      </w:tr>
      <w:tr>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GeneBreaker</w:t>
            </w:r>
          </w:p>
        </w:tc>
        <w:tc>
          <w:tcPr>
            <w:tcW w:type="dxa" w:w="2708"/>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Tests variant prioritization and phenotype matching across many simulated diseases [36]</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Known causal gene and variant per case [36]</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Cases do not reflect the full complexity of real patient genomes [36]</w:t>
            </w:r>
          </w:p>
        </w:tc>
      </w:tr>
      <w:tr>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simuG (KAT6B)</w:t>
            </w:r>
          </w:p>
        </w:tc>
        <w:tc>
          <w:tcPr>
            <w:tcW w:type="dxa" w:w="2708"/>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Tests SV/breakpoint annotation and gene-level interpretation at one known locus [38]</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Exact planted variant coordinates and type [38]</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Single-gene scope; not representative of polygenic or multi-hit cases</w:t>
            </w:r>
          </w:p>
        </w:tc>
      </w:tr>
      <w:tr>
        <w:tc>
          <w:tcPr>
            <w:tcW w:type="dxa" w:w="198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GIAB NA12878/HG001</w:t>
            </w:r>
          </w:p>
        </w:tc>
        <w:tc>
          <w:tcPr>
            <w:tcW w:type="dxa" w:w="2708"/>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Validates technical preprocessing against a gold-standard callset [41]</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High-confidence, multi-technology callset [41]</w:t>
            </w:r>
          </w:p>
        </w:tc>
        <w:tc>
          <w:tcPr>
            <w:tcW w:type="dxa" w:w="216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0"/>
            </w:pPr>
            <w:r>
              <w:rPr>
                <w:b w:val="false"/>
                <w:bCs w:val="false"/>
                <w:i w:val="false"/>
                <w:iCs w:val="false"/>
                <w:sz w:val="20"/>
                <w:szCs w:val="20"/>
              </w:rPr>
              <w:t xml:space="preserve">Healthy individual; no disease phenotype; not a diagnostic case</w:t>
            </w:r>
          </w:p>
        </w:tc>
      </w:tr>
    </w:tbl>
    <w:p>
      <w:pPr>
        <w:spacing w:after="200"/>
      </w:pPr>
    </w:p>
    <w:p>
      <w:pPr>
        <w:spacing w:after="200"/>
        <w:jc w:val="left"/>
      </w:pPr>
      <w:r>
        <w:rPr>
          <w:b w:val="false"/>
          <w:bCs w:val="false"/>
          <w:i w:val="false"/>
          <w:iCs w:val="false"/>
        </w:rPr>
        <w:t xml:space="preserve">The same synthetic case inputs can be represented using the GA4GH Phenopacket schema, a standardized, machine-readable format that links HPO terms, variant calls, and diagnostic conclusions in one record [43][44]. Adopting this representation keeps the evaluation suite versionable and reusable, and anticipates the case-object design used by the prototype itself, described in the next section.</w:t>
      </w:r>
    </w:p>
    <w:p>
      <w:pPr>
        <w:spacing w:after="200"/>
        <w:jc w:val="left"/>
      </w:pPr>
      <w:r>
        <w:rPr>
          <w:b w:val="false"/>
          <w:bCs w:val="false"/>
          <w:i w:val="false"/>
          <w:iCs w:val="false"/>
        </w:rPr>
        <w:t xml:space="preserve">These data sources, however carefully constructed, do not reproduce the full complexity of real patient genomes. Real cases often involve multiple variants of uncertain significance, incomplete phenotyping, variable penetrance, or non-Mendelian inheritance, none of which is represented in a GeneBreaker case built around a single, clearly pathogenic variant against a simulated background [36]. The simuG-based KAT6B scenarios provide perfect knowledge of the planted variant in a way that is never available in real sequencing, and GIAB HG001, while technically rigorous, does not exercise the diagnostic-reasoning component of the pipeline at all [41]. Performance measured on these sources should therefore be read as an upper-bound estimate of what the assistant might achieve on real data, not as clinical validation. For an MSc thesis, this is nonetheless a realistic and defensible design: it provides a controlled, reproducible evaluation without requiring a patient cohort, while keeping the project’s scope and its claims aligned with each other.</w:t>
      </w:r>
    </w:p>
    <w:p>
      <w:pPr>
        <w:spacing w:after="200"/>
        <w:jc w:val="left"/>
      </w:pPr>
      <w:r>
        <w:rPr>
          <w:b w:val="false"/>
          <w:bCs w:val="false"/>
          <w:i w:val="false"/>
          <w:iCs w:val="false"/>
        </w:rPr>
        <w:t xml:space="preserve">The cleanest way to combine these resources is to validate technical preprocessing against GIAB HG001, test prioritization breadth using GeneBreaker cases, and test structural-variant interpretation depth using the simuG KAT6B scenarios. This three-part arrangement, together with the Phenopacket-style case representation, sets up the prototype design and evaluation plan described next.</w:t>
      </w:r>
    </w:p>
    <w:p>
      <w:pPr>
        <w:pStyle w:val="Heading1"/>
      </w:pPr>
      <w:r>
        <w:rPr>
          <w:b w:val="false"/>
          <w:bCs w:val="false"/>
          <w:i w:val="false"/>
          <w:iCs w:val="false"/>
        </w:rPr>
        <w:t xml:space="preserve">Prototype Design and Evaluation</w:t>
      </w:r>
    </w:p>
    <w:p>
      <w:pPr>
        <w:spacing w:after="200"/>
        <w:jc w:val="left"/>
      </w:pPr>
      <w:r>
        <w:rPr>
          <w:b w:val="false"/>
          <w:bCs w:val="false"/>
          <w:i w:val="false"/>
          <w:iCs w:val="false"/>
        </w:rPr>
        <w:t xml:space="preserve">The central design premise of the prototype is that interpretability depends not only on the quality of individual computational steps, but on the transparency with which different evidence types are combined and reported. Rather than producing a single ranked list from an opaque scoring function, the assistant is structured as a modular pipeline in which each evidence layer is computed, stored, and reported separately, so that a reviewer can see which combination of variant impact, structural evidence, expression deviation, and phenotype similarity is driving a given candidate’s rank — not merely that it ranks highly. The pipeline takes as input a VCF of called variants, a set of patient HPO terms, available pedigree assumptions, and, optionally, RNA-seq–derived differential-expression or outlier statistics; these inputs populate a single structured case object, which the pipeline’s modules then update in turn before a final integration step produces a ranked, evidence-annotated output.</w:t>
      </w:r>
    </w:p>
    <w:p>
      <w:pPr>
        <w:spacing w:after="200"/>
        <w:jc w:val="left"/>
      </w:pPr>
      <w:r>
        <w:rPr>
          <w:b w:val="false"/>
          <w:bCs w:val="false"/>
          <w:i w:val="false"/>
          <w:iCs w:val="false"/>
        </w:rPr>
        <w:t xml:space="preserve">Four modules populate this case object before integration. The </w:t>
      </w:r>
      <w:r>
        <w:rPr>
          <w:b/>
          <w:bCs/>
          <w:i w:val="false"/>
          <w:iCs w:val="false"/>
        </w:rPr>
        <w:t xml:space="preserve">variant and gene annotation module</w:t>
      </w:r>
      <w:r>
        <w:rPr>
          <w:b w:val="false"/>
          <w:bCs w:val="false"/>
          <w:i w:val="false"/>
          <w:iCs w:val="false"/>
        </w:rPr>
        <w:t xml:space="preserve"> processes SNV/indel records from the input VCF: it filters by call quality, annotates functional impact, filters by population allele frequency against reference databases, cross-references candidate genes against known disease-gene resources, and aggregates variant-level evidence to the gene level. This is the most mature module in the design and serves as the baseline against which the benefit of multi-layer integration is assessed. The </w:t>
      </w:r>
      <w:r>
        <w:rPr>
          <w:b/>
          <w:bCs/>
          <w:i w:val="false"/>
          <w:iCs w:val="false"/>
        </w:rPr>
        <w:t xml:space="preserve">structural variant module</w:t>
      </w:r>
      <w:r>
        <w:rPr>
          <w:b w:val="false"/>
          <w:bCs w:val="false"/>
          <w:i w:val="false"/>
          <w:iCs w:val="false"/>
        </w:rPr>
        <w:t xml:space="preserve"> handles deletions, duplications, inversions, translocations, and, as a particularly demanding scenario, chromothripsis. It identifies breakpoint clusters, locates genes that directly overlap or lie near those breakpoints, and assigns a structural evidence score that distinguishes genes that are directly disrupted from genes that are only nearby. Consistent with a realistic MSc scope, this module reuses existing SV-annotation and -calling tools for the core detection step and concentrates its original contribution on transparent breakpoint-to-gene linking and the encoding of graded evidence strength; chromothripsis and balanced rearrangements are treated as important test scenarios for this module rather than as its only target. Where RNA-seq data are available, the </w:t>
      </w:r>
      <w:r>
        <w:rPr>
          <w:b/>
          <w:bCs/>
          <w:i w:val="false"/>
          <w:iCs w:val="false"/>
        </w:rPr>
        <w:t xml:space="preserve">transcriptome integration module</w:t>
      </w:r>
      <w:r>
        <w:rPr>
          <w:b w:val="false"/>
          <w:bCs w:val="false"/>
          <w:i w:val="false"/>
          <w:iCs w:val="false"/>
        </w:rPr>
        <w:t xml:space="preserve"> attaches per-gene differential-expression or outlier-expression statistics to genes already carrying SNV/indel or SV evidence, flagging genes with statistically significant or extreme expression deviation. This module is especially relevant to structural-variant cases, since a balanced rearrangement may dysregulate a nearby gene’s expression through a positional effect without disrupting its coding sequence at all; when RNA-seq is unavailable, this evidence component is simply left empty and recorded as a known limitation, rather than disabling the overall ranking. The </w:t>
      </w:r>
      <w:r>
        <w:rPr>
          <w:b/>
          <w:bCs/>
          <w:i w:val="false"/>
          <w:iCs w:val="false"/>
        </w:rPr>
        <w:t xml:space="preserve">phenotype-matching module</w:t>
      </w:r>
      <w:r>
        <w:rPr>
          <w:b w:val="false"/>
          <w:bCs w:val="false"/>
          <w:i w:val="false"/>
          <w:iCs w:val="false"/>
        </w:rPr>
        <w:t xml:space="preserve"> computes a semantic similarity score between the patient’s HPO profile and the phenotype profiles associated with candidate genes and diseases in gene–phenotype and gene–disease resources, explicitly accounting for clinical features that are recorded as absent, since a strong mismatch between a candidate disease’s expected phenotype and a patient’s documented absent features should reduce that candidate’s priority.</w:t>
      </w:r>
    </w:p>
    <w:p>
      <w:pPr>
        <w:spacing w:after="200"/>
        <w:jc w:val="left"/>
      </w:pPr>
      <w:r>
        <w:rPr>
          <w:b w:val="false"/>
          <w:bCs w:val="false"/>
          <w:i w:val="false"/>
          <w:iCs w:val="false"/>
        </w:rPr>
        <w:t xml:space="preserve">A final </w:t>
      </w:r>
      <w:r>
        <w:rPr>
          <w:b/>
          <w:bCs/>
          <w:i w:val="false"/>
          <w:iCs w:val="false"/>
        </w:rPr>
        <w:t xml:space="preserve">integration layer</w:t>
      </w:r>
      <w:r>
        <w:rPr>
          <w:b w:val="false"/>
          <w:bCs w:val="false"/>
          <w:i w:val="false"/>
          <w:iCs w:val="false"/>
        </w:rPr>
        <w:t xml:space="preserve"> combines the four resulting evidence components — variant score, SV score, expression score, and phenotype score — into a single per-gene integrated score using a weighted sum or another transparent, rule-based scheme, while keeping each component visible alongside the combined result. This is what allows a reviewer to see, for a given candidate, whether it is supported by strong phenotype similarity but no variant evidence, by a directly disrupting structural variant but a poor phenotype match, or by some other specific combination — rather than only a single aggregate number.</w:t>
      </w:r>
    </w:p>
    <w:p>
      <w:pPr>
        <w:spacing w:after="200"/>
        <w:jc w:val="left"/>
      </w:pPr>
      <w:r>
        <w:rPr>
          <w:b w:val="false"/>
          <w:bCs w:val="false"/>
          <w:i w:val="false"/>
          <w:iCs w:val="false"/>
        </w:rPr>
        <w:t xml:space="preserve">All of this state is stored in one structured </w:t>
      </w:r>
      <w:r>
        <w:rPr>
          <w:b/>
          <w:bCs/>
          <w:i w:val="false"/>
          <w:iCs w:val="false"/>
        </w:rPr>
        <w:t xml:space="preserve">case object</w:t>
      </w:r>
      <w:r>
        <w:rPr>
          <w:b w:val="false"/>
          <w:bCs w:val="false"/>
          <w:i w:val="false"/>
          <w:iCs w:val="false"/>
        </w:rPr>
        <w:t xml:space="preserve">, modeled on the GA4GH Phenopackets standard [43][44], rather than being passed between modules as ad hoc data frames or free text. The proposed fields are: </w:t>
      </w:r>
      <w:r>
        <w:rPr>
          <w:b w:val="false"/>
          <w:bCs w:val="false"/>
          <w:i/>
          <w:iCs/>
        </w:rPr>
        <w:t xml:space="preserve">individual</w:t>
      </w:r>
      <w:r>
        <w:rPr>
          <w:b w:val="false"/>
          <w:bCs w:val="false"/>
          <w:i w:val="false"/>
          <w:iCs w:val="false"/>
        </w:rPr>
        <w:t xml:space="preserve"> (identifier, sex, age group); </w:t>
      </w:r>
      <w:r>
        <w:rPr>
          <w:b w:val="false"/>
          <w:bCs w:val="false"/>
          <w:i/>
          <w:iCs/>
        </w:rPr>
        <w:t xml:space="preserve">phenotypic_features</w:t>
      </w:r>
      <w:r>
        <w:rPr>
          <w:b w:val="false"/>
          <w:bCs w:val="false"/>
          <w:i w:val="false"/>
          <w:iCs w:val="false"/>
        </w:rPr>
        <w:t xml:space="preserve"> (HPO terms with present/absent status, onset, and severity); </w:t>
      </w:r>
      <w:r>
        <w:rPr>
          <w:b w:val="false"/>
          <w:bCs w:val="false"/>
          <w:i/>
          <w:iCs/>
        </w:rPr>
        <w:t xml:space="preserve">genomic_variants</w:t>
      </w:r>
      <w:r>
        <w:rPr>
          <w:b w:val="false"/>
          <w:bCs w:val="false"/>
          <w:i w:val="false"/>
          <w:iCs w:val="false"/>
        </w:rPr>
        <w:t xml:space="preserve"> (SNV/indel records with coordinates and annotations); </w:t>
      </w:r>
      <w:r>
        <w:rPr>
          <w:b w:val="false"/>
          <w:bCs w:val="false"/>
          <w:i/>
          <w:iCs/>
        </w:rPr>
        <w:t xml:space="preserve">structural_variants</w:t>
      </w:r>
      <w:r>
        <w:rPr>
          <w:b w:val="false"/>
          <w:bCs w:val="false"/>
          <w:i w:val="false"/>
          <w:iCs w:val="false"/>
        </w:rPr>
        <w:t xml:space="preserve"> (breakpoint coordinates, event type, and linked genes); </w:t>
      </w:r>
      <w:r>
        <w:rPr>
          <w:b w:val="false"/>
          <w:bCs w:val="false"/>
          <w:i/>
          <w:iCs/>
        </w:rPr>
        <w:t xml:space="preserve">expression_evidence</w:t>
      </w:r>
      <w:r>
        <w:rPr>
          <w:b w:val="false"/>
          <w:bCs w:val="false"/>
          <w:i w:val="false"/>
          <w:iCs w:val="false"/>
        </w:rPr>
        <w:t xml:space="preserve"> (per-gene differential-expression or outlier statistics, when available); </w:t>
      </w:r>
      <w:r>
        <w:rPr>
          <w:b w:val="false"/>
          <w:bCs w:val="false"/>
          <w:i/>
          <w:iCs/>
        </w:rPr>
        <w:t xml:space="preserve">candidate_genes</w:t>
      </w:r>
      <w:r>
        <w:rPr>
          <w:b w:val="false"/>
          <w:bCs w:val="false"/>
          <w:i w:val="false"/>
          <w:iCs w:val="false"/>
        </w:rPr>
        <w:t xml:space="preserve"> (the pipeline’s output, with per-component evidence scores); and </w:t>
      </w:r>
      <w:r>
        <w:rPr>
          <w:b w:val="false"/>
          <w:bCs w:val="false"/>
          <w:i/>
          <w:iCs/>
        </w:rPr>
        <w:t xml:space="preserve">interpretation</w:t>
      </w:r>
      <w:r>
        <w:rPr>
          <w:b w:val="false"/>
          <w:bCs w:val="false"/>
          <w:i w:val="false"/>
          <w:iCs w:val="false"/>
        </w:rPr>
        <w:t xml:space="preserve"> (a short summary together with structured tags such as “likely causal gene” or “uncertain significance”). Keeping the case in this form makes the prototype’s intermediate state inspectable and versioned at every step, prevents evidence from being silently discarded or merged without a record, and gives the final interpretation a well-defined place to be written once all modules have run.</w:t>
      </w:r>
    </w:p>
    <w:p>
      <w:pPr>
        <w:spacing w:after="200"/>
        <w:jc w:val="left"/>
      </w:pPr>
      <w:r>
        <w:rPr>
          <w:b w:val="false"/>
          <w:bCs w:val="false"/>
          <w:i w:val="false"/>
          <w:iCs w:val="false"/>
        </w:rPr>
        <w:t xml:space="preserve">Evaluation is conducted exclusively on the synthetic and benchmark data introduced in the previous section, and is designed to test correctness and interpretability together rather than correctness alone. </w:t>
      </w:r>
      <w:r>
        <w:rPr>
          <w:b/>
          <w:bCs/>
          <w:i w:val="false"/>
          <w:iCs w:val="false"/>
        </w:rPr>
        <w:t xml:space="preserve">Target recovery</w:t>
      </w:r>
      <w:r>
        <w:rPr>
          <w:b w:val="false"/>
          <w:bCs w:val="false"/>
          <w:i w:val="false"/>
          <w:iCs w:val="false"/>
        </w:rPr>
        <w:t xml:space="preserve"> asks whether the known causal variant or gene appears within the top-</w:t>
      </w:r>
      <w:r>
        <w:rPr>
          <w:b w:val="false"/>
          <w:bCs w:val="false"/>
          <w:i/>
          <w:iCs/>
        </w:rPr>
        <w:t xml:space="preserve">k</w:t>
      </w:r>
      <w:r>
        <w:rPr>
          <w:b w:val="false"/>
          <w:bCs w:val="false"/>
          <w:i w:val="false"/>
          <w:iCs w:val="false"/>
        </w:rPr>
        <w:t xml:space="preserve"> ranked candidates (for example, top-1, top-5, or top-10) and is the most direct measure of diagnostic utility. </w:t>
      </w:r>
      <w:r>
        <w:rPr>
          <w:b/>
          <w:bCs/>
          <w:i w:val="false"/>
          <w:iCs w:val="false"/>
        </w:rPr>
        <w:t xml:space="preserve">Evidence traceability</w:t>
      </w:r>
      <w:r>
        <w:rPr>
          <w:b w:val="false"/>
          <w:bCs w:val="false"/>
          <w:i w:val="false"/>
          <w:iCs w:val="false"/>
        </w:rPr>
        <w:t xml:space="preserve"> asks whether the output explicitly shows which modules and evidence types support each candidate; under this design, a correct ranking without a visible justification does not count as a success. </w:t>
      </w:r>
      <w:r>
        <w:rPr>
          <w:b/>
          <w:bCs/>
          <w:i w:val="false"/>
          <w:iCs w:val="false"/>
        </w:rPr>
        <w:t xml:space="preserve">Reproducibility</w:t>
      </w:r>
      <w:r>
        <w:rPr>
          <w:b w:val="false"/>
          <w:bCs w:val="false"/>
          <w:i w:val="false"/>
          <w:iCs w:val="false"/>
        </w:rPr>
        <w:t xml:space="preserve"> asks whether identical inputs produce stable rankings and explanations across repeated runs, which is straightforward to test precisely because the inputs are synthetic or fixed benchmarks. </w:t>
      </w:r>
      <w:r>
        <w:rPr>
          <w:b/>
          <w:bCs/>
          <w:i w:val="false"/>
          <w:iCs w:val="false"/>
        </w:rPr>
        <w:t xml:space="preserve">Baseline comparison</w:t>
      </w:r>
      <w:r>
        <w:rPr>
          <w:b w:val="false"/>
          <w:bCs w:val="false"/>
          <w:i w:val="false"/>
          <w:iCs w:val="false"/>
        </w:rPr>
        <w:t xml:space="preserve"> measures the structured, multi-layer pipeline against a simpler variant-annotation-plus-basic-HPO-ranking workflow that does not use a structured case object, to assess whether the additional architecture earns its complexity. Finally, </w:t>
      </w:r>
      <w:r>
        <w:rPr>
          <w:b/>
          <w:bCs/>
          <w:i w:val="false"/>
          <w:iCs w:val="false"/>
        </w:rPr>
        <w:t xml:space="preserve">failure analysis</w:t>
      </w:r>
      <w:r>
        <w:rPr>
          <w:b w:val="false"/>
          <w:bCs w:val="false"/>
          <w:i w:val="false"/>
          <w:iCs w:val="false"/>
        </w:rPr>
        <w:t xml:space="preserve"> categorizes unsuccessful cases as technical, schema-related, retrieval-related, or reasoning-related, so that negative results become interpretable findings rather than an undifferentiated failure rate. The primary test set for this evaluation is expected to comprise two to three GeneBreaker-generated Mendelian cases, the simuG-based KAT6B chromosome 10 scenarios, and, where feasible, at least one SV/chromothripsis scenario paired with RNA-seq data to exercise the structural and transcriptome modules together; GIAB HG001 is used only for the technical, non-diagnostic validation described in the previous section.</w:t>
      </w:r>
    </w:p>
    <w:p>
      <w:pPr>
        <w:pStyle w:val="Heading1"/>
      </w:pPr>
      <w:r>
        <w:rPr>
          <w:b w:val="false"/>
          <w:bCs w:val="false"/>
          <w:i w:val="false"/>
          <w:iCs w:val="false"/>
        </w:rPr>
        <w:t xml:space="preserve">Stage 1 Implementation and Validation</w:t>
      </w:r>
    </w:p>
    <w:p>
      <w:pPr>
        <w:spacing w:after="200"/>
        <w:jc w:val="left"/>
      </w:pPr>
      <w:r>
        <w:rPr>
          <w:b w:val="false"/>
          <w:bCs w:val="false"/>
          <w:i w:val="false"/>
          <w:iCs w:val="false"/>
        </w:rPr>
        <w:t xml:space="preserve">The prototype design described in the previous section has been implemented in Stage 1, which focuses on the structural variant module and specifically on read-level BAM inspection for balanced translocation breakpoints. This section describes what was built, how it was validated, and what the validation revealed about the design — including findings that required changing the design itself.</w:t>
      </w:r>
    </w:p>
    <w:p>
      <w:pPr>
        <w:spacing w:after="200"/>
        <w:jc w:val="left"/>
      </w:pPr>
      <w:r>
        <w:rPr>
          <w:b/>
          <w:bCs/>
          <w:i w:val="false"/>
          <w:iCs w:val="false"/>
        </w:rPr>
        <w:t xml:space="preserve">Tools and architecture.</w:t>
      </w:r>
      <w:r>
        <w:rPr>
          <w:b w:val="false"/>
          <w:bCs w:val="false"/>
          <w:i w:val="false"/>
          <w:iCs w:val="false"/>
        </w:rPr>
        <w:t xml:space="preserve"> Eleven tools were implemented in Python using the pysam library and stored in </w:t>
      </w:r>
      <w:r>
        <w:rPr>
          <w:b/>
          <w:bCs/>
          <w:i w:val="false"/>
          <w:iCs w:val="false"/>
        </w:rPr>
        <w:t xml:space="preserve">stage1_igv_assistant/tools/bam_tools.py</w:t>
      </w:r>
      <w:r>
        <w:rPr>
          <w:b w:val="false"/>
          <w:bCs w:val="false"/>
          <w:i w:val="false"/>
          <w:iCs w:val="false"/>
        </w:rPr>
        <w:t xml:space="preserve">. Each tool takes a BAM file path and a genomic coordinate as input and returns structured, JSON-serialisable output. The tools are: </w:t>
      </w:r>
      <w:r>
        <w:rPr>
          <w:b/>
          <w:bCs/>
          <w:i w:val="false"/>
          <w:iCs w:val="false"/>
        </w:rPr>
        <w:t xml:space="preserve">get_bam_stats_at_locus</w:t>
      </w:r>
      <w:r>
        <w:rPr>
          <w:b w:val="false"/>
          <w:bCs w:val="false"/>
          <w:i w:val="false"/>
          <w:iCs w:val="false"/>
        </w:rPr>
        <w:t xml:space="preserve"> (read depth, mean mapping quality, and strand balance — always called first as a quality check); </w:t>
      </w:r>
      <w:r>
        <w:rPr>
          <w:b/>
          <w:bCs/>
          <w:i w:val="false"/>
          <w:iCs w:val="false"/>
        </w:rPr>
        <w:t xml:space="preserve">count_discordant_pairs</w:t>
      </w:r>
      <w:r>
        <w:rPr>
          <w:b w:val="false"/>
          <w:bCs w:val="false"/>
          <w:i w:val="false"/>
          <w:iCs w:val="false"/>
        </w:rPr>
        <w:t xml:space="preserve"> (reads whose mates map to a different chromosome, the primary inter-chromosomal translocation signal in paired-end short-read data); </w:t>
      </w:r>
      <w:r>
        <w:rPr>
          <w:b/>
          <w:bCs/>
          <w:i w:val="false"/>
          <w:iCs w:val="false"/>
        </w:rPr>
        <w:t xml:space="preserve">count_soft_clipped_reads</w:t>
      </w:r>
      <w:r>
        <w:rPr>
          <w:b w:val="false"/>
          <w:bCs w:val="false"/>
          <w:i w:val="false"/>
          <w:iCs w:val="false"/>
        </w:rPr>
        <w:t xml:space="preserve"> (reads with unaligned overhangs piling up near a breakpoint, used to narrow breakpoints to near-nucleotide precision); </w:t>
      </w:r>
      <w:r>
        <w:rPr>
          <w:b/>
          <w:bCs/>
          <w:i w:val="false"/>
          <w:iCs w:val="false"/>
        </w:rPr>
        <w:t xml:space="preserve">get_split_reads</w:t>
      </w:r>
      <w:r>
        <w:rPr>
          <w:b w:val="false"/>
          <w:bCs w:val="false"/>
          <w:i w:val="false"/>
          <w:iCs w:val="false"/>
        </w:rPr>
        <w:t xml:space="preserve"> (reads with supplementary SA tags spanning a junction directly); </w:t>
      </w:r>
      <w:r>
        <w:rPr>
          <w:b/>
          <w:bCs/>
          <w:i w:val="false"/>
          <w:iCs w:val="false"/>
        </w:rPr>
        <w:t xml:space="preserve">get_read_depth_profile</w:t>
      </w:r>
      <w:r>
        <w:rPr>
          <w:b w:val="false"/>
          <w:bCs w:val="false"/>
          <w:i w:val="false"/>
          <w:iCs w:val="false"/>
        </w:rPr>
        <w:t xml:space="preserve"> (sliding-window read depth across a region, detecting copy-number changes); </w:t>
      </w:r>
      <w:r>
        <w:rPr>
          <w:b/>
          <w:bCs/>
          <w:i w:val="false"/>
          <w:iCs w:val="false"/>
        </w:rPr>
        <w:t xml:space="preserve">get_gene_at_locus</w:t>
      </w:r>
      <w:r>
        <w:rPr>
          <w:b w:val="false"/>
          <w:bCs w:val="false"/>
          <w:i w:val="false"/>
          <w:iCs w:val="false"/>
        </w:rPr>
        <w:t xml:space="preserve"> (queries the Ensembl REST API to identify which gene, if any, is disrupted at a breakpoint — the central clinical question); </w:t>
      </w:r>
      <w:r>
        <w:rPr>
          <w:b/>
          <w:bCs/>
          <w:i w:val="false"/>
          <w:iCs w:val="false"/>
        </w:rPr>
        <w:t xml:space="preserve">check_reciprocal_breakpoint</w:t>
      </w:r>
      <w:r>
        <w:rPr>
          <w:b w:val="false"/>
          <w:bCs w:val="false"/>
          <w:i w:val="false"/>
          <w:iCs w:val="false"/>
        </w:rPr>
        <w:t xml:space="preserve"> (verifies both ends of a suspected balanced translocation, confirming that discordant pairs at each breakend point back to the other chromosome); </w:t>
      </w:r>
      <w:r>
        <w:rPr>
          <w:b/>
          <w:bCs/>
          <w:i w:val="false"/>
          <w:iCs w:val="false"/>
        </w:rPr>
        <w:t xml:space="preserve">summarize_breakpoint_evidence</w:t>
      </w:r>
      <w:r>
        <w:rPr>
          <w:b w:val="false"/>
          <w:bCs w:val="false"/>
          <w:i w:val="false"/>
          <w:iCs w:val="false"/>
        </w:rPr>
        <w:t xml:space="preserve"> (integrates all four sequencing evidence layers into one structured report with a 0–100 composite score and an explicit “N/4 layers” count); and </w:t>
      </w:r>
      <w:r>
        <w:rPr>
          <w:b/>
          <w:bCs/>
          <w:i w:val="false"/>
          <w:iCs w:val="false"/>
        </w:rPr>
        <w:t xml:space="preserve">run_igv_screenshot</w:t>
      </w:r>
      <w:r>
        <w:rPr>
          <w:b w:val="false"/>
          <w:bCs w:val="false"/>
          <w:i w:val="false"/>
          <w:iCs w:val="false"/>
        </w:rPr>
        <w:t xml:space="preserve"> (generates a reproducible IGV image of the breakpoint region, described further below). Two further tools were added in response to findings described below: </w:t>
      </w:r>
      <w:r>
        <w:rPr>
          <w:b/>
          <w:bCs/>
          <w:i w:val="false"/>
          <w:iCs w:val="false"/>
        </w:rPr>
        <w:t xml:space="preserve">detect_applicable_layers</w:t>
      </w:r>
      <w:r>
        <w:rPr>
          <w:b w:val="false"/>
          <w:bCs w:val="false"/>
          <w:i w:val="false"/>
          <w:iCs w:val="false"/>
        </w:rPr>
        <w:t xml:space="preserve">, which samples reads from the file to determine empirically which evidence layers the data can inform, and </w:t>
      </w:r>
      <w:r>
        <w:rPr>
          <w:b/>
          <w:bCs/>
          <w:i w:val="false"/>
          <w:iCs w:val="false"/>
        </w:rPr>
        <w:t xml:space="preserve">igv_evidence_panel</w:t>
      </w:r>
      <w:r>
        <w:rPr>
          <w:b w:val="false"/>
          <w:bCs w:val="false"/>
          <w:i w:val="false"/>
          <w:iCs w:val="false"/>
        </w:rPr>
        <w:t xml:space="preserve">, which generates one image per applicable layer at a scale appropriate to that layer. All eleven tools are exposed to the LLM assistant via the FastMCP framework using the same Model Context Protocol used by MARRVEL-MCP [47]. The server is launched with </w:t>
      </w:r>
      <w:r>
        <w:rPr>
          <w:b/>
          <w:bCs/>
          <w:i w:val="false"/>
          <w:iCs w:val="false"/>
        </w:rPr>
        <w:t xml:space="preserve">python -m stage1_igv_assistant.server</w:t>
      </w:r>
      <w:r>
        <w:rPr>
          <w:b w:val="false"/>
          <w:bCs w:val="false"/>
          <w:i w:val="false"/>
          <w:iCs w:val="false"/>
        </w:rPr>
        <w:t xml:space="preserve"> from the repository root. In this architecture the assistant calls tools and writes its interpretation solely from their structured output — it cannot add genomic claims from its training data, which is the principal anti-hallucination guarantee.</w:t>
      </w:r>
    </w:p>
    <w:p>
      <w:pPr>
        <w:spacing w:after="200"/>
        <w:jc w:val="left"/>
      </w:pPr>
      <w:r>
        <w:rPr>
          <w:b w:val="false"/>
          <w:bCs w:val="false"/>
          <w:i w:val="false"/>
          <w:iCs w:val="false"/>
        </w:rPr>
        <w:t xml:space="preserve">A structured case object was implemented in </w:t>
      </w:r>
      <w:r>
        <w:rPr>
          <w:b/>
          <w:bCs/>
          <w:i w:val="false"/>
          <w:iCs w:val="false"/>
        </w:rPr>
        <w:t xml:space="preserve">stage1_igv_assistant/case_object.py</w:t>
      </w:r>
      <w:r>
        <w:rPr>
          <w:b w:val="false"/>
          <w:bCs w:val="false"/>
          <w:i w:val="false"/>
          <w:iCs w:val="false"/>
        </w:rPr>
        <w:t xml:space="preserve">, modelled on the GA4GH Phenopackets standard [43][44]. The </w:t>
      </w:r>
      <w:r>
        <w:rPr>
          <w:b/>
          <w:bCs/>
          <w:i w:val="false"/>
          <w:iCs w:val="false"/>
        </w:rPr>
        <w:t xml:space="preserve">BamCase</w:t>
      </w:r>
      <w:r>
        <w:rPr>
          <w:b w:val="false"/>
          <w:bCs w:val="false"/>
          <w:i w:val="false"/>
          <w:iCs w:val="false"/>
        </w:rPr>
        <w:t xml:space="preserve"> class stores patient clinical information (HPO terms, suspected SV type, cytogenetic result), sequencing metadata (BAM path, genome build, technology, aligner), and a list of </w:t>
      </w:r>
      <w:r>
        <w:rPr>
          <w:b/>
          <w:bCs/>
          <w:i w:val="false"/>
          <w:iCs w:val="false"/>
        </w:rPr>
        <w:t xml:space="preserve">BreakpointEvidence</w:t>
      </w:r>
      <w:r>
        <w:rPr>
          <w:b w:val="false"/>
          <w:bCs w:val="false"/>
          <w:i w:val="false"/>
          <w:iCs w:val="false"/>
        </w:rPr>
        <w:t xml:space="preserve"> records, each of which holds the outputs of all eleven tools alongside an integrated interpretation. Cases can be saved to and loaded from JSON, making the full evidence chain reproducible and auditable. A </w:t>
      </w:r>
      <w:r>
        <w:rPr>
          <w:b/>
          <w:bCs/>
          <w:i w:val="false"/>
          <w:iCs w:val="false"/>
        </w:rPr>
        <w:t xml:space="preserve">SequencingInfo.applicable_evidence_layers</w:t>
      </w:r>
      <w:r>
        <w:rPr>
          <w:b w:val="false"/>
          <w:bCs w:val="false"/>
          <w:i w:val="false"/>
          <w:iCs w:val="false"/>
        </w:rPr>
        <w:t xml:space="preserve"> property encodes the technology-dependent rule: discordant pairs are only valid for paired-end data; split reads are only valid when the aligner emits SA tags. This ensures the assistant does not weight evidence layers that are structurally inapplicable to the input data.</w:t>
      </w:r>
    </w:p>
    <w:p>
      <w:pPr>
        <w:spacing w:after="200"/>
        <w:jc w:val="left"/>
      </w:pPr>
      <w:r>
        <w:rPr>
          <w:b/>
          <w:bCs/>
          <w:i w:val="false"/>
          <w:iCs w:val="false"/>
        </w:rPr>
        <w:t xml:space="preserve">Validation — three datasets, four lessons.</w:t>
      </w:r>
      <w:r>
        <w:rPr>
          <w:b w:val="false"/>
          <w:bCs w:val="false"/>
          <w:i w:val="false"/>
          <w:iCs w:val="false"/>
        </w:rPr>
        <w:t xml:space="preserve"> The tools were validated on three progressively more demanding datasets.</w:t>
      </w:r>
    </w:p>
    <w:p>
      <w:pPr>
        <w:spacing w:after="200"/>
        <w:jc w:val="left"/>
      </w:pPr>
      <w:r>
        <w:rPr>
          <w:b w:val="false"/>
          <w:bCs w:val="false"/>
          <w:i w:val="false"/>
          <w:iCs w:val="false"/>
        </w:rPr>
        <w:t xml:space="preserve">The first was a synthetic balanced translocation (chr1↔chr8) generated in code with exactly known properties: 15 discordant read pairs, 5 soft-clipped reads, and 8 split reads with SA tags, all pointing to the same partner chromosome, with reciprocal reads at the partner locus confirming the second breakend. The </w:t>
      </w:r>
      <w:r>
        <w:rPr>
          <w:b/>
          <w:bCs/>
          <w:i w:val="false"/>
          <w:iCs w:val="false"/>
        </w:rPr>
        <w:t xml:space="preserve">summarize_breakpoint_evidence</w:t>
      </w:r>
      <w:r>
        <w:rPr>
          <w:b w:val="false"/>
          <w:bCs w:val="false"/>
          <w:i w:val="false"/>
          <w:iCs w:val="false"/>
        </w:rPr>
        <w:t xml:space="preserve"> function returned a score of 100/100, “STRONG”, 4/4 layers, and </w:t>
      </w:r>
      <w:r>
        <w:rPr>
          <w:b/>
          <w:bCs/>
          <w:i w:val="false"/>
          <w:iCs w:val="false"/>
        </w:rPr>
        <w:t xml:space="preserve">check_reciprocal_breakpoint</w:t>
      </w:r>
      <w:r>
        <w:rPr>
          <w:b w:val="false"/>
          <w:bCs w:val="false"/>
          <w:i w:val="false"/>
          <w:iCs w:val="false"/>
        </w:rPr>
        <w:t xml:space="preserve"> confirmed the reciprocal verdict. This result required later correction, described below: two of the four contributing layers were in fact scoring on artifacts rather than on planted signal, and the fixture genuinely demonstrated only the discordant-pair and split-read layers. The counts those two layers reported did match ground truth exactly, and the reciprocal verdict was sound.</w:t>
      </w:r>
    </w:p>
    <w:p>
      <w:pPr>
        <w:spacing w:after="200"/>
        <w:jc w:val="left"/>
      </w:pPr>
      <w:r>
        <w:rPr>
          <w:b w:val="false"/>
          <w:bCs w:val="false"/>
          <w:i w:val="false"/>
          <w:iCs w:val="false"/>
        </w:rPr>
        <w:t xml:space="preserve">The second dataset was the HCC1143 cancer cell line BAM (chromosome 21, 19–20 Mb) from a 2018 Illumina alignment pipeline. The tools produced consistent and reproducible output at the documented coordinate chr21:19,089,694, but the signal was weak: the discordant-pair fraction was flat at 0.7–0.8% across the entire region with mates scattered across many different partner chromosomes, and zero SA-tagged reads were found anywhere in the 572,731-read file. The 2018 alignment pipeline did not emit chimeric-alignment records at all, making the split-read evidence layer structurally unable to contribute regardless of what is actually present in the sample. This is a documented limitation of the dataset, not a defect in the tools, and it directly motivates why modern alignment is required.</w:t>
      </w:r>
    </w:p>
    <w:p>
      <w:pPr>
        <w:spacing w:after="200"/>
        <w:jc w:val="left"/>
      </w:pPr>
      <w:r>
        <w:rPr>
          <w:b w:val="false"/>
          <w:bCs w:val="false"/>
          <w:i w:val="false"/>
          <w:iCs w:val="false"/>
        </w:rPr>
        <w:t xml:space="preserve">The third and most informative dataset was the GIAB HG002 PacBio HiFi BAM aligned to GRCh38 (streamed remotely, no full download), validated against a confirmed 3,359-base heterozygous deletion from the NIST CMRG SV v1.00 benchmark (chr1:115,686,862–115,690,222). The same deletion was subsequently validated using the GIAB HG002 Illumina 300x Novoalign-aligned BAM, providing cross-technology replication. Real-data testing surfaced two production bugs. In </w:t>
      </w:r>
      <w:r>
        <w:rPr>
          <w:b/>
          <w:bCs/>
          <w:i w:val="false"/>
          <w:iCs w:val="false"/>
        </w:rPr>
        <w:t xml:space="preserve">count_discordant_pairs</w:t>
      </w:r>
      <w:r>
        <w:rPr>
          <w:b w:val="false"/>
          <w:bCs w:val="false"/>
          <w:i w:val="false"/>
          <w:iCs w:val="false"/>
        </w:rPr>
        <w:t xml:space="preserve">, single-molecule PacBio HiFi reads are unpaired, so the tool’s check of </w:t>
      </w:r>
      <w:r>
        <w:rPr>
          <w:b/>
          <w:bCs/>
          <w:i w:val="false"/>
          <w:iCs w:val="false"/>
        </w:rPr>
        <w:t xml:space="preserve">mate_is_unmapped</w:t>
      </w:r>
      <w:r>
        <w:rPr>
          <w:b w:val="false"/>
          <w:bCs w:val="false"/>
          <w:i w:val="false"/>
          <w:iCs w:val="false"/>
        </w:rPr>
        <w:t xml:space="preserve"> — which defaults to “mapped” on reads that have no mate — caused every read to appear discordant, producing a spurious 100% signal. The fix requires checking </w:t>
      </w:r>
      <w:r>
        <w:rPr>
          <w:b/>
          <w:bCs/>
          <w:i w:val="false"/>
          <w:iCs w:val="false"/>
        </w:rPr>
        <w:t xml:space="preserve">is_paired</w:t>
      </w:r>
      <w:r>
        <w:rPr>
          <w:b w:val="false"/>
          <w:bCs w:val="false"/>
          <w:i w:val="false"/>
          <w:iCs w:val="false"/>
        </w:rPr>
        <w:t xml:space="preserve"> first. In an early version of </w:t>
      </w:r>
      <w:r>
        <w:rPr>
          <w:b/>
          <w:bCs/>
          <w:i w:val="false"/>
          <w:iCs w:val="false"/>
        </w:rPr>
        <w:t xml:space="preserve">get_read_depth_profile</w:t>
      </w:r>
      <w:r>
        <w:rPr>
          <w:b w:val="false"/>
          <w:bCs w:val="false"/>
          <w:i w:val="false"/>
          <w:iCs w:val="false"/>
        </w:rPr>
        <w:t xml:space="preserve">, window overlap was judged using </w:t>
      </w:r>
      <w:r>
        <w:rPr>
          <w:b/>
          <w:bCs/>
          <w:i w:val="false"/>
          <w:iCs w:val="false"/>
        </w:rPr>
        <w:t xml:space="preserve">reference_start</w:t>
      </w:r>
      <w:r>
        <w:rPr>
          <w:b w:val="false"/>
          <w:bCs w:val="false"/>
          <w:i w:val="false"/>
          <w:iCs w:val="false"/>
        </w:rPr>
        <w:t xml:space="preserve"> and </w:t>
      </w:r>
      <w:r>
        <w:rPr>
          <w:b/>
          <w:bCs/>
          <w:i w:val="false"/>
          <w:iCs w:val="false"/>
        </w:rPr>
        <w:t xml:space="preserve">reference_end</w:t>
      </w:r>
      <w:r>
        <w:rPr>
          <w:b w:val="false"/>
          <w:bCs w:val="false"/>
          <w:i w:val="false"/>
          <w:iCs w:val="false"/>
        </w:rPr>
        <w:t xml:space="preserve">, which spans internally across CIGAR deletion operations; a read carrying the deletion appeared to cover the deleted region it does not sequence. The fix uses actual aligned reference positions instead. Both bugs shared the same root cause: short-read, paired-end assumptions misbehave on long-read data in ways that produce convincing-looking false signal rather than obvious errors.</w:t>
      </w:r>
    </w:p>
    <w:p>
      <w:pPr>
        <w:spacing w:after="200"/>
        <w:jc w:val="left"/>
      </w:pPr>
      <w:r>
        <w:rPr>
          <w:b w:val="false"/>
          <w:bCs w:val="false"/>
          <w:i w:val="false"/>
          <w:iCs w:val="false"/>
        </w:rPr>
        <w:t xml:space="preserve">A third issue emerged during calibration. The initial depth-profile threshold (depth-ratio-min-to-mean &lt; 0.6, queried over ±500 bp) missed the confirmed deletion on both real datasets, returning ratios of 0.66–0.71. Widening the query window to ±2,000 bp and raising the threshold to 0.7 brought both datasets within the threshold (ratios 0.609 for PacBio, 0.542 for Illumina), correctly triggering the depth evidence layer. Following this calibration, </w:t>
      </w:r>
      <w:r>
        <w:rPr>
          <w:b/>
          <w:bCs/>
          <w:i w:val="false"/>
          <w:iCs w:val="false"/>
        </w:rPr>
        <w:t xml:space="preserve">summarize_breakpoint_evidence</w:t>
      </w:r>
      <w:r>
        <w:rPr>
          <w:b w:val="false"/>
          <w:bCs w:val="false"/>
          <w:i w:val="false"/>
          <w:iCs w:val="false"/>
        </w:rPr>
        <w:t xml:space="preserve"> returned signal\_layers 3/4 on both real datasets, but the missing layer differs between technologies for principled reasons: on PacBio HiFi the missing layer is discordant pairs, which is correct because HiFi reads are unpaired and discordant-pair scoring is structurally inapplicable; on Illumina 300x (Novoalign-aligned) the missing layer is split reads, because the Novoalign aligner does not emit SA-tagged chimeric alignments, leaving the split-read layer with no signal to score. In both cases the absence reflects a genuine property of the data rather than a tool failure, and the per-layer breakdown makes this transparent to the user. One calibration caveat must be stated honestly, and stating it properly required settling how thresholds are counted at all. A threshold is taken here to mean any numeric cutoff that changes what the assistant reports, whether by altering a component score or by altering the prose a model reads and may quote; strength bands are excluded, since they only rename an already-computed score. On that definition the scoring logic contains fourteen thresholds — eleven that alter a score and three that alter only text — of which two are empirically derived and twelve are the author’s judgement. The depth-ratio cutoff of 0.7 rests on one locus measured across two sequencing technologies, replicated by platform but not across independent genomic positions. The localisation tolerance of one kilobase rests on two real loci with a documented gap on either side: a control position whose regional minimum is an unrelated fluctuation 1,400 bases away and must not count, and the confirmed deletion whose lowest sampled bin lies 800 to 900 bases downstream and must. Its own documentation states the failure modes this leaves open in both directions. The false-positive rate across normal-coverage regions remains unmeasured, and further calibration would be required before applying the tool to clinical data.</w:t>
      </w:r>
    </w:p>
    <w:p>
      <w:pPr>
        <w:spacing w:after="200"/>
        <w:jc w:val="left"/>
      </w:pPr>
      <w:r>
        <w:rPr>
          <w:b w:val="false"/>
          <w:bCs w:val="false"/>
          <w:i w:val="false"/>
          <w:iCs w:val="false"/>
        </w:rPr>
        <w:t xml:space="preserve">The decision to count the three text-only cutoffs is deliberate rather than pedantic. The predominance gate, which determines whether the tool describes a dominant translocation partner, alters no component score — and it is the cutoff that caused a published retraction, because it made the tool assert a dominant partner from a single read and a model quoted that sentence rather than the number behind it. A counting convention admitting only scored outcomes would have placed the most consequential defect in this work outside the category being counted, which is reason enough not to adopt it.</w:t>
      </w:r>
    </w:p>
    <w:p>
      <w:pPr>
        <w:spacing w:after="200"/>
        <w:jc w:val="left"/>
      </w:pPr>
      <w:r>
        <w:rPr>
          <w:b/>
          <w:bCs/>
          <w:i w:val="false"/>
          <w:iCs w:val="false"/>
        </w:rPr>
        <w:t xml:space="preserve">Outstanding validation gap.</w:t>
      </w:r>
      <w:r>
        <w:rPr>
          <w:b w:val="false"/>
          <w:bCs w:val="false"/>
          <w:i w:val="false"/>
          <w:iCs w:val="false"/>
        </w:rPr>
        <w:t xml:space="preserve"> No publicly available, modern-alignment BAM with a confirmed germline balanced translocation was found despite searching the HGSVC2 collection, multiple SRA accessions, and two GIAB HG002 SV benchmarks (v0.6/GRCh37 and CMRG v1.00/GRCh38). GIAB does not curate INV or BND calls in any of its SV benchmarks. The translocation-specific tools — </w:t>
      </w:r>
      <w:r>
        <w:rPr>
          <w:b/>
          <w:bCs/>
          <w:i w:val="false"/>
          <w:iCs w:val="false"/>
        </w:rPr>
        <w:t xml:space="preserve">count_discordant_pairs</w:t>
      </w:r>
      <w:r>
        <w:rPr>
          <w:b w:val="false"/>
          <w:bCs w:val="false"/>
          <w:i w:val="false"/>
          <w:iCs w:val="false"/>
        </w:rPr>
        <w:t xml:space="preserve">, </w:t>
      </w:r>
      <w:r>
        <w:rPr>
          <w:b/>
          <w:bCs/>
          <w:i w:val="false"/>
          <w:iCs w:val="false"/>
        </w:rPr>
        <w:t xml:space="preserve">get_split_reads</w:t>
      </w:r>
      <w:r>
        <w:rPr>
          <w:b w:val="false"/>
          <w:bCs w:val="false"/>
          <w:i w:val="false"/>
          <w:iCs w:val="false"/>
        </w:rPr>
        <w:t xml:space="preserve">, and </w:t>
      </w:r>
      <w:r>
        <w:rPr>
          <w:b/>
          <w:bCs/>
          <w:i w:val="false"/>
          <w:iCs w:val="false"/>
        </w:rPr>
        <w:t xml:space="preserve">check_reciprocal_breakpoint</w:t>
      </w:r>
      <w:r>
        <w:rPr>
          <w:b w:val="false"/>
          <w:bCs w:val="false"/>
          <w:i w:val="false"/>
          <w:iCs w:val="false"/>
        </w:rPr>
        <w:t xml:space="preserve"> — are therefore validated on synthetic data only. Validation on a real balanced translocation BAM requires either patient data from an ongoing collaboration or a newly deposited public dataset. Everything in the implementation is ready to run the moment such data becomes available.</w:t>
      </w:r>
    </w:p>
    <w:p>
      <w:pPr>
        <w:spacing w:after="200"/>
        <w:jc w:val="left"/>
      </w:pPr>
      <w:r>
        <w:rPr>
          <w:b w:val="false"/>
          <w:bCs w:val="false"/>
          <w:i w:val="false"/>
          <w:iCs w:val="false"/>
        </w:rPr>
        <w:t xml:space="preserve">A ninth tool, </w:t>
      </w:r>
      <w:r>
        <w:rPr>
          <w:b/>
          <w:bCs/>
          <w:i w:val="false"/>
          <w:iCs w:val="false"/>
        </w:rPr>
        <w:t xml:space="preserve">run_igv_screenshot</w:t>
      </w:r>
      <w:r>
        <w:rPr>
          <w:b w:val="false"/>
          <w:bCs w:val="false"/>
          <w:i w:val="false"/>
          <w:iCs w:val="false"/>
        </w:rPr>
        <w:t xml:space="preserve">, was added to close the gap between numerical evidence and visual review. It writes an IGV batch script, launches IGV in headless mode, and returns a PNG of the breakpoint region together with the exact batch script used, so the visualization is fully reproducible. Coloring mode is selectable according to the suspected event class. Building this tool surfaced a fourth bug, this time in the specification rather than the implementation: an initial version overrode the </w:t>
      </w:r>
      <w:r>
        <w:rPr>
          <w:b/>
          <w:bCs/>
          <w:i w:val="false"/>
          <w:iCs w:val="false"/>
        </w:rPr>
        <w:t xml:space="preserve">DISPLAY</w:t>
      </w:r>
      <w:r>
        <w:rPr>
          <w:b w:val="false"/>
          <w:bCs w:val="false"/>
          <w:i w:val="false"/>
          <w:iCs w:val="false"/>
        </w:rPr>
        <w:t xml:space="preserve"> environment variable to an empty string on the assumption that headless operation required no X display, which crashed IGV’s AWT rendering thread before any image was produced. Under WSL2, WSLg supplies a working display and the override must simply be omitted. Two operational caveats are recorded in the module README: IGV re-downloads genome annotation on every invocation, producing variable startup latency and occasional failures under rapid repeated calls, and a working X display is required.</w:t>
      </w:r>
    </w:p>
    <w:p>
      <w:pPr>
        <w:spacing w:after="200"/>
        <w:jc w:val="left"/>
      </w:pPr>
      <w:r>
        <w:rPr>
          <w:b/>
          <w:bCs/>
          <w:i w:val="false"/>
          <w:iCs w:val="false"/>
        </w:rPr>
        <w:t xml:space="preserve">End-to-end assistant demonstration.</w:t>
      </w:r>
      <w:r>
        <w:rPr>
          <w:b w:val="false"/>
          <w:bCs w:val="false"/>
          <w:i w:val="false"/>
          <w:iCs w:val="false"/>
        </w:rPr>
        <w:t xml:space="preserve"> The tools were finally exercised as intended: an LLM client connected to the MCP server and investigated a candidate breakpoint using only the exposed tools, with no access to the underlying source code and no ability to execute scripts. The test case was the GIAB HG002 Illumina 300x BAM at chr1:115,686,862, with the sequencing technology and aligner supplied as case metadata but no information about what the tools would find. The assistant called the tools in the documented order, reported the depth transition as beginning in the exact 100-base bin containing the candidate position, identified the soft-clip consensus at 115,686,865 with a 13-read pileup, and correctly refused to treat the zero split-read result as a negative finding — reasoning instead from the tool’s own documented SA-tag caveat that zero is uninformative on a Novoalign-aligned file. Each numeric claim in its report was cited to a specific tool call and field. Notably, the session environment contained repository history referencing the same sample and region from prior development work; the assistant explicitly recorded that it had not read this material and that no part of its report depended on it, which is the anti-hallucination guarantee holding under conditions where the tempting information was directly available.</w:t>
      </w:r>
    </w:p>
    <w:p>
      <w:pPr>
        <w:spacing w:after="200"/>
        <w:jc w:val="left"/>
      </w:pPr>
      <w:r>
        <w:rPr>
          <w:b w:val="false"/>
          <w:bCs w:val="false"/>
          <w:i w:val="false"/>
          <w:iCs w:val="false"/>
        </w:rPr>
        <w:t xml:space="preserve">A second session repeated the investigation with the full nine-tool suite, adding visual output. The assistant reached the same conclusion — a likely heterozygous deletion rather than a translocation — but arrived at it through differential reasoning rather than evidence accumulation alone: it called </w:t>
      </w:r>
      <w:r>
        <w:rPr>
          <w:b/>
          <w:bCs/>
          <w:i w:val="false"/>
          <w:iCs w:val="false"/>
        </w:rPr>
        <w:t xml:space="preserve">check_reciprocal_breakpoint</w:t>
      </w:r>
      <w:r>
        <w:rPr>
          <w:b w:val="false"/>
          <w:bCs w:val="false"/>
          <w:i w:val="false"/>
          <w:iCs w:val="false"/>
        </w:rPr>
        <w:t xml:space="preserve">, found no back-pointing discordant signal on the partner chromosome, and used that absence as positive evidence against a balanced rearrangement. The single discordant pair with a mate on chr12 was correctly dismissed as background rather than treated as a translocation signal, and the depth drop from approximately 450–500× to a minimum of 175× (ratio 0.547) was identified as the strongest component. The session concluded with an IGV screenshot using insert-size coloring, showing the coverage dip flanked by abnormal-insert-size read pairs — visual confirmation a reviewer can inspect independently of the numerical report. Confidence was stated as moderate, with the limiting factor named explicitly: only two of four evidence layers were independently informative on this aligner.</w:t>
      </w:r>
    </w:p>
    <w:p>
      <w:pPr>
        <w:spacing w:after="200"/>
        <w:jc w:val="left"/>
      </w:pPr>
      <w:r>
        <w:rPr>
          <w:b w:val="false"/>
          <w:bCs w:val="false"/>
          <w:i w:val="false"/>
          <w:iCs w:val="false"/>
        </w:rPr>
        <w:t xml:space="preserve">The session also surfaced a third production bug that had escaped several manual review passes. The assistant observed that the four component scores returned by </w:t>
      </w:r>
      <w:r>
        <w:rPr>
          <w:b/>
          <w:bCs/>
          <w:i w:val="false"/>
          <w:iCs w:val="false"/>
        </w:rPr>
        <w:t xml:space="preserve">summarize_breakpoint_evidence</w:t>
      </w:r>
      <w:r>
        <w:rPr>
          <w:b w:val="false"/>
          <w:bCs w:val="false"/>
          <w:i w:val="false"/>
          <w:iCs w:val="false"/>
        </w:rPr>
        <w:t xml:space="preserve"> (15, 15, 0, and 30) summed to 60 while the reported </w:t>
      </w:r>
      <w:r>
        <w:rPr>
          <w:b/>
          <w:bCs/>
          <w:i w:val="false"/>
          <w:iCs w:val="false"/>
        </w:rPr>
        <w:t xml:space="preserve">evidence_score</w:t>
      </w:r>
      <w:r>
        <w:rPr>
          <w:b w:val="false"/>
          <w:bCs w:val="false"/>
          <w:i w:val="false"/>
          <w:iCs w:val="false"/>
        </w:rPr>
        <w:t xml:space="preserve"> was 30, contradicting the function’s own documentation stating that components sum to the composite. Rather than deferring to the headline figure, it reported both numbers and flagged the inconsistency as unresolvable from the information available to it. Investigation confirmed the composite score was computed correctly but the component values were returned on a 0–50 scale and then halved internally, so the exposed breakdown did not reconcile with the total. The components were rescaled to a direct 0–25 range summing without hidden division, and both docstrings were corrected. This bug is instructive for the thesis argument: it was invisible to unit tests, which asserted on the composite rather than the breakdown, and invisible to code review, but immediately apparent to an agent reading the output the way a clinician would — checking whether the reported evidence actually adds up to the reported conclusion. An assistant that cites its sources surfaces inconsistencies that a scripted pipeline propagates silently.</w:t>
      </w:r>
    </w:p>
    <w:p>
      <w:pPr>
        <w:spacing w:after="200"/>
        <w:jc w:val="left"/>
      </w:pPr>
      <w:r>
        <w:rPr>
          <w:b/>
          <w:bCs/>
          <w:i w:val="false"/>
          <w:iCs w:val="false"/>
        </w:rPr>
        <w:t xml:space="preserve">Systematic audit.</w:t>
      </w:r>
      <w:r>
        <w:rPr>
          <w:b w:val="false"/>
          <w:bCs w:val="false"/>
          <w:i w:val="false"/>
          <w:iCs w:val="false"/>
        </w:rPr>
        <w:t xml:space="preserve"> Before extending the system further, the implementation was subjected to a structured audit covering test-suite determinism, per-tool assertion coverage, error handling under malformed input, consistency between documented and actual behaviour, the scientific defensibility of the scoring thresholds, and repository hygiene. The audit was conducted by probing the running system rather than by reading code, and every finding was reproduced against the working tree. It returned five critical defects, twelve substantive concerns, and four housekeeping items.</w:t>
      </w:r>
    </w:p>
    <w:p>
      <w:pPr>
        <w:spacing w:after="200"/>
        <w:jc w:val="left"/>
      </w:pPr>
      <w:r>
        <w:rPr>
          <w:b w:val="false"/>
          <w:bCs w:val="false"/>
          <w:i w:val="false"/>
          <w:iCs w:val="false"/>
        </w:rPr>
        <w:t xml:space="preserve">The most instructive defect concerned the visual layer. The documented default coloring mode for </w:t>
      </w:r>
      <w:r>
        <w:rPr>
          <w:b/>
          <w:bCs/>
          <w:i w:val="false"/>
          <w:iCs w:val="false"/>
        </w:rPr>
        <w:t xml:space="preserve">run_igv_screenshot</w:t>
      </w:r>
      <w:r>
        <w:rPr>
          <w:b w:val="false"/>
          <w:bCs w:val="false"/>
          <w:i w:val="false"/>
          <w:iCs w:val="false"/>
        </w:rPr>
        <w:t xml:space="preserve"> was </w:t>
      </w:r>
      <w:r>
        <w:rPr>
          <w:b/>
          <w:bCs/>
          <w:i w:val="false"/>
          <w:iCs w:val="false"/>
        </w:rPr>
        <w:t xml:space="preserve">MATE_CHROMOSOME</w:t>
      </w:r>
      <w:r>
        <w:rPr>
          <w:b w:val="false"/>
          <w:bCs w:val="false"/>
          <w:i w:val="false"/>
          <w:iCs w:val="false"/>
        </w:rPr>
        <w:t xml:space="preserve">, which both the function signature and the tool description recommended as the correct setting for inspecting translocations. That identifier does not exist in the installed IGV build; the valid enumeration contains </w:t>
      </w:r>
      <w:r>
        <w:rPr>
          <w:b/>
          <w:bCs/>
          <w:i w:val="false"/>
          <w:iCs w:val="false"/>
        </w:rPr>
        <w:t xml:space="preserve">INSERT_SIZE</w:t>
      </w:r>
      <w:r>
        <w:rPr>
          <w:b w:val="false"/>
          <w:bCs w:val="false"/>
          <w:i w:val="false"/>
          <w:iCs w:val="false"/>
        </w:rPr>
        <w:t xml:space="preserve">, </w:t>
      </w:r>
      <w:r>
        <w:rPr>
          <w:b/>
          <w:bCs/>
          <w:i w:val="false"/>
          <w:iCs w:val="false"/>
        </w:rPr>
        <w:t xml:space="preserve">READ_STRAND</w:t>
      </w:r>
      <w:r>
        <w:rPr>
          <w:b w:val="false"/>
          <w:bCs w:val="false"/>
          <w:i w:val="false"/>
          <w:iCs w:val="false"/>
        </w:rPr>
        <w:t xml:space="preserve">, </w:t>
      </w:r>
      <w:r>
        <w:rPr>
          <w:b/>
          <w:bCs/>
          <w:i w:val="false"/>
          <w:iCs w:val="false"/>
        </w:rPr>
        <w:t xml:space="preserve">PAIR_ORIENTATION</w:t>
      </w:r>
      <w:r>
        <w:rPr>
          <w:b w:val="false"/>
          <w:bCs w:val="false"/>
          <w:i w:val="false"/>
          <w:iCs w:val="false"/>
        </w:rPr>
        <w:t xml:space="preserve">, and </w:t>
      </w:r>
      <w:r>
        <w:rPr>
          <w:b/>
          <w:bCs/>
          <w:i w:val="false"/>
          <w:iCs w:val="false"/>
        </w:rPr>
        <w:t xml:space="preserve">UNEXPECTED_PAIR</w:t>
      </w:r>
      <w:r>
        <w:rPr>
          <w:b w:val="false"/>
          <w:bCs w:val="false"/>
          <w:i w:val="false"/>
          <w:iCs w:val="false"/>
        </w:rPr>
        <w:t xml:space="preserve">, the last being the correct choice for inter-chromosomal pairs. Passing the invalid value caused IGV’s batch executor to throw and then hang in its rendering thread until the tool’s own timeout expired, so every call using default settings failed slowly and silently. The condition had persisted undetected because the corresponding unit test asserted only that the generated batch script contained the expected command strings, never that a image was actually produced — the test verified the intention rather than the outcome, and passed continuously while the feature had never once worked end to end. Every documented successful screenshot in the project had used </w:t>
      </w:r>
      <w:r>
        <w:rPr>
          <w:b/>
          <w:bCs/>
          <w:i w:val="false"/>
          <w:iCs w:val="false"/>
        </w:rPr>
        <w:t xml:space="preserve">INSERT_SIZE</w:t>
      </w:r>
      <w:r>
        <w:rPr>
          <w:b w:val="false"/>
          <w:bCs w:val="false"/>
          <w:i w:val="false"/>
          <w:iCs w:val="false"/>
        </w:rPr>
        <w:t xml:space="preserve">, which is appropriate for deletions and was the mode the deletion validation happened to require. The translocation display path, the one most relevant to the thesis, had therefore never been exercised at all.</w:t>
      </w:r>
    </w:p>
    <w:p>
      <w:pPr>
        <w:spacing w:after="200"/>
        <w:jc w:val="left"/>
      </w:pPr>
      <w:r>
        <w:rPr>
          <w:b w:val="false"/>
          <w:bCs w:val="false"/>
          <w:i w:val="false"/>
          <w:iCs w:val="false"/>
        </w:rPr>
        <w:t xml:space="preserve">A second defect had a similar character. Seven of the nine tools raised unhandled exceptions rather than returning structured errors when given a chromosome name absent from the BAM header, a position beyond the end of a contig, or a reversed coordinate range. The cause was narrow exception handling: the call opening the alignment file was wrapped, but the subsequent region query, where such errors actually originate, was not. This mattered because contig naming conventions differ between references — the project’s own HCC1143 validation file uses bare names such as </w:t>
      </w:r>
      <w:r>
        <w:rPr>
          <w:b/>
          <w:bCs/>
          <w:i w:val="false"/>
          <w:iCs w:val="false"/>
        </w:rPr>
        <w:t xml:space="preserve">21</w:t>
      </w:r>
      <w:r>
        <w:rPr>
          <w:b w:val="false"/>
          <w:bCs w:val="false"/>
          <w:i w:val="false"/>
          <w:iCs w:val="false"/>
        </w:rPr>
        <w:t xml:space="preserve">, while every docstring invites the </w:t>
      </w:r>
      <w:r>
        <w:rPr>
          <w:b/>
          <w:bCs/>
          <w:i w:val="false"/>
          <w:iCs w:val="false"/>
        </w:rPr>
        <w:t xml:space="preserve">chr</w:t>
      </w:r>
      <w:r>
        <w:rPr>
          <w:b w:val="false"/>
          <w:bCs w:val="false"/>
          <w:i w:val="false"/>
          <w:iCs w:val="false"/>
        </w:rPr>
        <w:t xml:space="preserve">-prefixed form — so an assistant with no visibility into a file’s naming convention would trigger the crash by making the most natural possible request. A related defect was more serious for the project’s stated aims: </w:t>
      </w:r>
      <w:r>
        <w:rPr>
          <w:b/>
          <w:bCs/>
          <w:i w:val="false"/>
          <w:iCs w:val="false"/>
        </w:rPr>
        <w:t xml:space="preserve">check_reciprocal_breakpoint</w:t>
      </w:r>
      <w:r>
        <w:rPr>
          <w:b w:val="false"/>
          <w:bCs w:val="false"/>
          <w:i w:val="false"/>
          <w:iCs w:val="false"/>
        </w:rPr>
        <w:t xml:space="preserve"> did not inspect the error field of its internal calls, so a failed lookup was reported as a clean negative finding rather than as a failure. A tool that cannot distinguish “no evidence” from “could not look” undermines precisely the guarantee the architecture exists to provide.</w:t>
      </w:r>
    </w:p>
    <w:p>
      <w:pPr>
        <w:spacing w:after="200"/>
        <w:jc w:val="left"/>
      </w:pPr>
      <w:r>
        <w:rPr>
          <w:b w:val="false"/>
          <w:bCs w:val="false"/>
          <w:i w:val="false"/>
          <w:iCs w:val="false"/>
        </w:rPr>
        <w:t xml:space="preserve">The remaining critical findings concerned internal consistency: two different depth-ratio thresholds for the same deletion judgement coexisted in a single returned object, one at the original 0.6 and one at the calibrated 0.7, so a locus falling between them received contradictory signals from adjacent fields; and several server-side wrappers declared default parameter values differing from the functions they wrapped, meaning an assistant calling a tool without explicit arguments received different filtering than the documentation described. All five defects were corrected, contig-name normalisation was added so that either naming convention resolves against the header, and the test suite was extended — it now stands at nineteen tests — including a regression test asserting that component scores sum to the composite — the invariant that had previously failed in production and been caught only by an assistant reading its own output.</w:t>
      </w:r>
    </w:p>
    <w:p>
      <w:pPr>
        <w:spacing w:after="200"/>
        <w:jc w:val="left"/>
      </w:pPr>
      <w:r>
        <w:rPr>
          <w:b w:val="false"/>
          <w:bCs w:val="false"/>
          <w:i w:val="false"/>
          <w:iCs w:val="false"/>
        </w:rPr>
        <w:t xml:space="preserve">The audit also resolved a design question left open by the earlier real-data validation. The </w:t>
      </w:r>
      <w:r>
        <w:rPr>
          <w:b/>
          <w:bCs/>
          <w:i w:val="false"/>
          <w:iCs w:val="false"/>
        </w:rPr>
        <w:t xml:space="preserve">SequencingInfo.applicable_evidence_layers</w:t>
      </w:r>
      <w:r>
        <w:rPr>
          <w:b w:val="false"/>
          <w:bCs w:val="false"/>
          <w:i w:val="false"/>
          <w:iCs w:val="false"/>
        </w:rPr>
        <w:t xml:space="preserve"> property described which layers a given technology can inform, but the scoring function never consulted it: component scores were always normalised over all four layers, so a genuine deletion observed on an aligner that emits no chimeric alignments was structurally incapable of exceeding a moderate rating regardless of how strong the available evidence was. Both real validated datasets were subject to this ceiling. The scoring function now accepts an explicit set of applicable layers and normalises over those alone while also reporting the unnormalised figure, and a tenth tool, </w:t>
      </w:r>
      <w:r>
        <w:rPr>
          <w:b/>
          <w:bCs/>
          <w:i w:val="false"/>
          <w:iCs w:val="false"/>
        </w:rPr>
        <w:t xml:space="preserve">detect_applicable_layers</w:t>
      </w:r>
      <w:r>
        <w:rPr>
          <w:b w:val="false"/>
          <w:bCs w:val="false"/>
          <w:i w:val="false"/>
          <w:iCs w:val="false"/>
        </w:rPr>
        <w:t xml:space="preserve">, samples reads from the file to determine empirically whether pairing and supplementary alignments are present rather than relying on the caller to assert it.</w:t>
      </w:r>
    </w:p>
    <w:p>
      <w:pPr>
        <w:spacing w:after="200"/>
        <w:jc w:val="left"/>
      </w:pPr>
      <w:r>
        <w:rPr>
          <w:b w:val="false"/>
          <w:bCs w:val="false"/>
          <w:i w:val="false"/>
          <w:iCs w:val="false"/>
        </w:rPr>
        <w:t xml:space="preserve">The pattern across the audit defects, and across those found before and after it through real-data use, is consistent: not one was detected by unit testing. The tests encoded the same assumptions as the code, so where an assumption was wrong both agreed — most starkly in the case of the invalid colouring mode, where a passing test asserted that the correct command string had been generated while the command itself had never once succeeded. Defects surfaced instead when the system met a real file, a real external binary, an unconfigured machine, or a reader checking whether the reported numbers were mutually consistent. For a project whose central claim is that evidence should be visible and checkable, this is not incidental — it is the same argument applied one level up, to the implementation itself.</w:t>
      </w:r>
    </w:p>
    <w:p>
      <w:pPr>
        <w:spacing w:after="200"/>
        <w:jc w:val="left"/>
      </w:pPr>
      <w:r>
        <w:rPr>
          <w:b/>
          <w:bCs/>
          <w:i w:val="false"/>
          <w:iCs w:val="false"/>
        </w:rPr>
        <w:t xml:space="preserve">Visual representation of evidence layers.</w:t>
      </w:r>
      <w:r>
        <w:rPr>
          <w:b w:val="false"/>
          <w:bCs w:val="false"/>
          <w:i w:val="false"/>
          <w:iCs w:val="false"/>
        </w:rPr>
        <w:t xml:space="preserve"> Correcting the coloring defect exposed a deeper problem that the enumeration fix could not have revealed. With a valid inter-chromosomal coloring mode in place, the synthetic translocation rendered its discordant pairs clearly, but its split reads did not appear at all. IGV’s pair-based colouring inspects the primary alignment’s actual mate; the fixture’s chimeric reads have a proper local mate and point elsewhere only through their supplementary-alignment tag, so they rendered as ordinary reads. They occupied the visible gap between the two coloured clusters, meaning the image suggested emptiness at precisely the coordinates carrying the strongest junction evidence. The numerical report and the visual output were each internally correct and mutually contradictory. For a system whose premise is that a reviewer can check the assistant’s claims, a claim with no verifiable visual counterpart is a substantive gap rather than a cosmetic one.</w:t>
      </w:r>
    </w:p>
    <w:p>
      <w:pPr>
        <w:spacing w:after="200"/>
        <w:jc w:val="left"/>
      </w:pPr>
      <w:r>
        <w:rPr>
          <w:b w:val="false"/>
          <w:bCs w:val="false"/>
          <w:i w:val="false"/>
          <w:iCs w:val="false"/>
        </w:rPr>
        <w:t xml:space="preserve">The response was to abandon the single-image design. A tool, </w:t>
      </w:r>
      <w:r>
        <w:rPr>
          <w:b/>
          <w:bCs/>
          <w:i w:val="false"/>
          <w:iCs w:val="false"/>
        </w:rPr>
        <w:t xml:space="preserve">igv_evidence_panel</w:t>
      </w:r>
      <w:r>
        <w:rPr>
          <w:b w:val="false"/>
          <w:bCs w:val="false"/>
          <w:i w:val="false"/>
          <w:iCs w:val="false"/>
        </w:rPr>
        <w:t xml:space="preserve">, now generates one image per applicable evidence layer, each with settings appropriate to what that layer measures: pair-anomaly colouring for discordant pairs, supplementary-alignment display with grouping by SA tag for split reads, a coverage-only view at fixed scale for depth, and clip-side sorting for soft-clipped reads. Layers the data cannot inform are skipped with a recorded reason rather than rendered empty. Building this revealed a constraint that had not been anticipated: the layers require different genomic scales. A deletion span is only legible across several kilobases, while a soft-clip pileup is only legible across a few hundred bases, and a shared window serves neither. Windows are therefore computed per layer — roughly ±1.5 kb for pair and junction evidence, ±150 bp for clips, and several kilobases for depth — with the region actually used recorded alongside each image so the assistant can cite it. On the GIAB deletion this changed the soft-clip panel from an uninformative view into a clear staircase pileup at the deletion boundary. One residual imprecision is documented rather than resolved, and it completes a pattern. The pair-anomaly colouring fires on insert-size deviation rather than on literal mate-chromosome difference. On the confirmed intra-chromosomal deletion this produces a dense, visually striking cluster of coloured reads at the breakpoint — while the numerical tool reports a single genuine inter-chromosomal read out of 1,708. The cluster is real structural evidence, being the read pairs that span the deleted segment, but it is not evidence of the quantity the layer is named for. This is the mirror image of the split-read problem described above: there, evidence existed numerically and was invisible in the image; here, the image looks like strong evidence for a layer that found essentially nothing. Report and image can disagree in either direction while both remain individually correct, and neither failure is detectable from one artifact alone. The tutorial accompanying the system therefore instructs a reviewer to read the number rather than the colour, and the panel records the numerical count alongside each image so the two can be compared directly.</w:t>
      </w:r>
    </w:p>
    <w:p>
      <w:pPr>
        <w:spacing w:after="200"/>
        <w:jc w:val="left"/>
      </w:pPr>
      <w:r>
        <w:rPr>
          <w:b/>
          <w:bCs/>
          <w:i w:val="false"/>
          <w:iCs w:val="false"/>
        </w:rPr>
        <w:t xml:space="preserve">Blind generalisation test.</w:t>
      </w:r>
      <w:r>
        <w:rPr>
          <w:b w:val="false"/>
          <w:bCs w:val="false"/>
          <w:i w:val="false"/>
          <w:iCs w:val="false"/>
        </w:rPr>
        <w:t xml:space="preserve"> Every threshold, window, and panel setting in the system had by this point been developed against a single locus — the GIAB deletion at chr1:115,686,862. A system tuned against one example may discriminate that example without discriminating anything else, so a blind test was run in a fresh session: three positions in the same file, presented without indication of which if any carried a variant. Two were arbitrary coordinates on chromosomes with no known event; the third was the calibration locus. The assistant was instructed to treat each independently.</w:t>
      </w:r>
    </w:p>
    <w:p>
      <w:pPr>
        <w:spacing w:after="200"/>
        <w:jc w:val="left"/>
      </w:pPr>
      <w:r>
        <w:rPr>
          <w:b w:val="false"/>
          <w:bCs w:val="false"/>
          <w:i w:val="false"/>
          <w:iCs w:val="false"/>
        </w:rPr>
        <w:t xml:space="preserve">Both control positions were reported as showing no credible evidence with high confidence, and the calibration locus as a probable heterozygous deletion breakpoint with moderate confidence. The discrimination rested on several independent measures rather than one threshold marginally tipping: a thirteen-read soft-clip pileup three bases from the query coordinate against maxima of two and one at the controls, and a depth transition beginning in the bin immediately following the query coordinate and robust to scan width, against depth that was flat at one control and depressed only at an unrelated position fifteen hundred bases away at the other. The assistant’s procedural discipline was also correct: it consulted the gene lookup only at the position where a signal warranted follow-up, and declined the reciprocal-breakpoint check at all three positions because no discordant clustering existed to test.</w:t>
      </w:r>
    </w:p>
    <w:p>
      <w:pPr>
        <w:spacing w:after="200"/>
        <w:jc w:val="left"/>
      </w:pPr>
      <w:r>
        <w:rPr>
          <w:b w:val="false"/>
          <w:bCs w:val="false"/>
          <w:i w:val="false"/>
          <w:iCs w:val="false"/>
        </w:rPr>
        <w:t xml:space="preserve">The blind test nevertheless exposed three defects, two of which had been silently affecting every prior result. The first concerned </w:t>
      </w:r>
      <w:r>
        <w:rPr>
          <w:b/>
          <w:bCs/>
          <w:i w:val="false"/>
          <w:iCs w:val="false"/>
        </w:rPr>
        <w:t xml:space="preserve">get_read_depth_profile</w:t>
      </w:r>
      <w:r>
        <w:rPr>
          <w:b w:val="false"/>
          <w:bCs w:val="false"/>
          <w:i w:val="false"/>
          <w:iCs w:val="false"/>
        </w:rPr>
        <w:t xml:space="preserve">, whose reported mean depth varied by thirty-nine percent for the same region depending on the bin width requested, and ran consistently above the figure </w:t>
      </w:r>
      <w:r>
        <w:rPr>
          <w:b/>
          <w:bCs/>
          <w:i w:val="false"/>
          <w:iCs w:val="false"/>
        </w:rPr>
        <w:t xml:space="preserve">get_bam_stats_at_locus</w:t>
      </w:r>
      <w:r>
        <w:rPr>
          <w:b w:val="false"/>
          <w:bCs w:val="false"/>
          <w:i w:val="false"/>
          <w:iCs w:val="false"/>
        </w:rPr>
        <w:t xml:space="preserve"> reported for equivalent spans. Per-base coverage must be invariant to binning; the function was in fact counting reads overlapping each bin rather than averaging aligned bases across it, so every absolute depth value it had ever produced was a read count carrying a depth label. Ratios computed within a single call compared like against like and therefore remained approximately valid, which is why deletion detection had continued to work and why the defect had gone unnoticed. Recomputing from aligned base coverage brought the two tool families into agreement within one to two percent.</w:t>
      </w:r>
    </w:p>
    <w:p>
      <w:pPr>
        <w:spacing w:after="200"/>
        <w:jc w:val="left"/>
      </w:pPr>
      <w:r>
        <w:rPr>
          <w:b w:val="false"/>
          <w:bCs w:val="false"/>
          <w:i w:val="false"/>
          <w:iCs w:val="false"/>
        </w:rPr>
        <w:t xml:space="preserve">The second defect was that the deletion flag did not test localisation. It compared the minimum depth anywhere in the queried window against the window mean, so at the first control position it returned true on account of a dip fifteen hundred bases downstream while the bins containing the queried coordinate sat at a local maximum. The flag answered whether a depth feature existed somewhere nearby rather than whether one existed at the position under investigation. The function now accepts a focus position, reports where the minimum actually falls and how far that is from the focus, and the scoring function declines to award depth evidence when the two do not coincide. A tolerance of one kilobase was adopted after real data showed the genuine deletion’s coverage declining gradually rather than stepping cleanly at the breakpoint.</w:t>
      </w:r>
    </w:p>
    <w:p>
      <w:pPr>
        <w:spacing w:after="200"/>
        <w:jc w:val="left"/>
      </w:pPr>
      <w:r>
        <w:rPr>
          <w:b w:val="false"/>
          <w:bCs w:val="false"/>
          <w:i w:val="false"/>
          <w:iCs w:val="false"/>
        </w:rPr>
        <w:t xml:space="preserve">The third defect was in the soft-clip tier, which scored on the fraction of clipped reads in the window and consequently assigned all three blind positions an identical score despite pileups of thirteen, two, and one read at a single base. The fraction conflates scattered clipping with a genuine pileup, and it was the pileup count that distinguished the true breakpoint. Rescoring on that count separated the positions as expected.</w:t>
      </w:r>
    </w:p>
    <w:p>
      <w:pPr>
        <w:spacing w:after="200"/>
        <w:jc w:val="left"/>
      </w:pPr>
      <w:r>
        <w:rPr>
          <w:b w:val="false"/>
          <w:bCs w:val="false"/>
          <w:i w:val="false"/>
          <w:iCs w:val="false"/>
        </w:rPr>
        <w:t xml:space="preserve">Correcting these three defects had a consequence for the synthetic validation reported earlier. With localisation enforced and clip scoring corrected, two of the four layers that had contributed to the fixture’s perfect score stopped firing: its soft-clipped reads had never formed a pileup at a common base, and its depth signal had come from deliberate read-free gaps in the construction rather than from any planted event. The synthetic fixture had therefore been demonstrating two layers, not four. A caveat recorded at the time of the original demonstration had noted the depth layer behaving oddly on that fixture but attributed it to the fixture’s construction rather than to the tool — the symptom was seen, assigned to the wrong cause, and the underlying defect survived until an unrelated test found it. Re-running the blind positions after the corrections left all three verdicts unchanged while widening the separation between the true locus and the controls from roughly twofold to sixfold, which is the outcome a genuine improvement in discrimination should produce.</w:t>
      </w:r>
    </w:p>
    <w:p>
      <w:pPr>
        <w:spacing w:after="200"/>
        <w:jc w:val="left"/>
      </w:pPr>
      <w:r>
        <w:rPr>
          <w:b/>
          <w:bCs/>
          <w:i w:val="false"/>
          <w:iCs w:val="false"/>
        </w:rPr>
        <w:t xml:space="preserve">Reproducibility verification.</w:t>
      </w:r>
      <w:r>
        <w:rPr>
          <w:b w:val="false"/>
          <w:bCs w:val="false"/>
          <w:i w:val="false"/>
          <w:iCs w:val="false"/>
        </w:rPr>
        <w:t xml:space="preserve"> Every result reported above was produced in an environment that had been incrementally configured over the course of development, which is not the environment anyone else would encounter. The system was therefore verified from a clean clone: a fresh checkout, a conda environment built solely from the committed specification, and the full test suite executed without any manual intervention. All nineteen tests passed, and the run exercised the real paths rather than synthetic fallbacks — IGV was launched and produced images, a remote alignment file was streamed over HTTPS from NIST, and the live Ensembl API was queried. Two portability defects surfaced only through this exercise. The committed environment specification was pinned to platform-specific build identifiers and to a sequencing-toolkit version predating Apple Silicon, so it would have failed to resolve on any machine that was not Linux on x86; and IGV itself was not installed by any part of the repository, having been placed manually on the development machine early on and thereafter assumed. Both were corrected — the specification was made platform-neutral and verified to resolve on Linux, Intel macOS, and Apple Silicon, and an installation script was added, with the search path made overridable by environment variable. A related defect had appeared slightly earlier and belongs to the same class: the tool server had been registered with an empty environment, so no interpreter path was inherited and the Java runtime required by IGV was unreachable. Every screenshot generated up to that point had in fact been produced by calling the underlying functions directly from an already-configured shell, never through the protocol interface the assistant actually uses. Two execution paths existed, only one had ever been exercised, and it was not the one that matters in deployment.</w:t>
      </w:r>
    </w:p>
    <w:p>
      <w:pPr>
        <w:spacing w:after="200"/>
        <w:jc w:val="left"/>
      </w:pPr>
      <w:r>
        <w:rPr>
          <w:b/>
          <w:bCs/>
          <w:i w:val="false"/>
          <w:iCs w:val="false"/>
        </w:rPr>
        <w:t xml:space="preserve">Model comparison.</w:t>
      </w:r>
      <w:r>
        <w:rPr>
          <w:b w:val="false"/>
          <w:bCs w:val="false"/>
          <w:i w:val="false"/>
          <w:iCs w:val="false"/>
        </w:rPr>
        <w:t xml:space="preserve"> A question left open by the architecture is whether the tool layer is doing the work or the model is. MARRVEL-MCP reports that small models equipped with well-designed tools match or exceed much larger models without them [47], which if it holds here would matter practically: a locally hosted model means patient data never leaves the machine, a consideration of some weight in clinical genomics. Three models were therefore compared against the same server, the same three cases, and the same scoring: </w:t>
      </w:r>
      <w:r>
        <w:rPr>
          <w:b/>
          <w:bCs/>
          <w:i w:val="false"/>
          <w:iCs w:val="false"/>
        </w:rPr>
        <w:t xml:space="preserve">claude-sonnet-5</w:t>
      </w:r>
      <w:r>
        <w:rPr>
          <w:b w:val="false"/>
          <w:bCs w:val="false"/>
          <w:i w:val="false"/>
          <w:iCs w:val="false"/>
        </w:rPr>
        <w:t xml:space="preserve"> through an API harness, and </w:t>
      </w:r>
      <w:r>
        <w:rPr>
          <w:b/>
          <w:bCs/>
          <w:i w:val="false"/>
          <w:iCs w:val="false"/>
        </w:rPr>
        <w:t xml:space="preserve">qwen2.5:7b</w:t>
      </w:r>
      <w:r>
        <w:rPr>
          <w:b w:val="false"/>
          <w:bCs w:val="false"/>
          <w:i w:val="false"/>
          <w:iCs w:val="false"/>
        </w:rPr>
        <w:t xml:space="preserve"> and </w:t>
      </w:r>
      <w:r>
        <w:rPr>
          <w:b/>
          <w:bCs/>
          <w:i w:val="false"/>
          <w:iCs w:val="false"/>
        </w:rPr>
        <w:t xml:space="preserve">llama3.1:8b</w:t>
      </w:r>
      <w:r>
        <w:rPr>
          <w:b w:val="false"/>
          <w:bCs w:val="false"/>
          <w:i w:val="false"/>
          <w:iCs w:val="false"/>
        </w:rPr>
        <w:t xml:space="preserve"> hosted locally on an 8 GB consumer GPU. The cases were a position with a confirmed deletion, a control position with no known variant, and an adversarial variant of the first in which the prompt asserted a balanced translocation that the data does not support. Each was run three times per model.</w:t>
      </w:r>
    </w:p>
    <w:p>
      <w:pPr>
        <w:spacing w:after="200"/>
        <w:jc w:val="left"/>
      </w:pPr>
      <w:r>
        <w:rPr>
          <w:b w:val="false"/>
          <w:bCs w:val="false"/>
          <w:i w:val="false"/>
          <w:iCs w:val="false"/>
        </w:rPr>
        <w:t xml:space="preserve">The local models diverged sharply. </w:t>
      </w:r>
      <w:r>
        <w:rPr>
          <w:b/>
          <w:bCs/>
          <w:i w:val="false"/>
          <w:iCs w:val="false"/>
        </w:rPr>
        <w:t xml:space="preserve">llama3.1:8b</w:t>
      </w:r>
      <w:r>
        <w:rPr>
          <w:b w:val="false"/>
          <w:bCs w:val="false"/>
          <w:i w:val="false"/>
          <w:iCs w:val="false"/>
        </w:rPr>
        <w:t xml:space="preserve"> could not reliably use the tools at all: it initially emitted tool calls as prose rather than in the structured format, and once a parser recovered that, it proved unable to supply correct argument names, inventing parameters and failing to self-correct from validation errors that named the problem explicitly. Three of nine runs reached the turn limit while repeatedly retrying a tool it had already called successfully. </w:t>
      </w:r>
      <w:r>
        <w:rPr>
          <w:b/>
          <w:bCs/>
          <w:i w:val="false"/>
          <w:iCs w:val="false"/>
        </w:rPr>
        <w:t xml:space="preserve">qwen2.5:7b</w:t>
      </w:r>
      <w:r>
        <w:rPr>
          <w:b w:val="false"/>
          <w:bCs w:val="false"/>
          <w:i w:val="false"/>
          <w:iCs w:val="false"/>
        </w:rPr>
        <w:t xml:space="preserve">, given an identical harness and prompt, completed six to ten well-formed calls in every run and reached correct verdicts on the neutral positive and negative cases. The difference between two models of comparable size on identical infrastructure is itself a finding: tool-use reliability is not a function of parameter count alone.</w:t>
      </w:r>
    </w:p>
    <w:p>
      <w:pPr>
        <w:spacing w:after="200"/>
        <w:jc w:val="left"/>
      </w:pPr>
      <w:r>
        <w:rPr>
          <w:b w:val="false"/>
          <w:bCs w:val="false"/>
          <w:i w:val="false"/>
          <w:iCs w:val="false"/>
        </w:rPr>
        <w:t xml:space="preserve">The adversarial case separated the models decisively. </w:t>
      </w:r>
      <w:r>
        <w:rPr>
          <w:b/>
          <w:bCs/>
          <w:i w:val="false"/>
          <w:iCs w:val="false"/>
        </w:rPr>
        <w:t xml:space="preserve">claude-sonnet-5</w:t>
      </w:r>
      <w:r>
        <w:rPr>
          <w:b w:val="false"/>
          <w:bCs w:val="false"/>
          <w:i w:val="false"/>
          <w:iCs w:val="false"/>
        </w:rPr>
        <w:t xml:space="preserve"> rejected the false premise in every run, reporting the deletion evidence its tools returned and stating that a single discordant read is too thin to support a translocation claim. </w:t>
      </w:r>
      <w:r>
        <w:rPr>
          <w:b/>
          <w:bCs/>
          <w:i w:val="false"/>
          <w:iCs w:val="false"/>
        </w:rPr>
        <w:t xml:space="preserve">qwen2.5:7b</w:t>
      </w:r>
      <w:r>
        <w:rPr>
          <w:b w:val="false"/>
          <w:bCs w:val="false"/>
          <w:i w:val="false"/>
          <w:iCs w:val="false"/>
        </w:rPr>
        <w:t xml:space="preserve"> confirmed the premise in five of six runs across all correction stages. It found the same evidence it had reported correctly under neutral framing, then wrote it up as corroborating the asserted rearrangement. More troubling than the confirmation itself was the mechanism: the server instructions contain a rule stating that flat read depth is expected for balanced translocations and must not be read as negative evidence, included to prevent the assistant from dismissing a genuine balanced event. In the adversarial runs the model invoked that rule to explain away every absent signal in turn, converting a safeguard against one error into a licence for a worse one. In a separate session it asserted that an image had been generated and invited review of it, after both generation calls had failed with errors present in its own context.</w:t>
      </w:r>
    </w:p>
    <w:p>
      <w:pPr>
        <w:spacing w:after="200"/>
        <w:jc w:val="left"/>
      </w:pPr>
      <w:r>
        <w:rPr>
          <w:b w:val="false"/>
          <w:bCs w:val="false"/>
          <w:i w:val="false"/>
          <w:iCs w:val="false"/>
        </w:rPr>
        <w:t xml:space="preserve">Two published results from this benchmark had to be retracted, and the retractions are more instructive than the original findings. The first attributed a fabricated claim to </w:t>
      </w:r>
      <w:r>
        <w:rPr>
          <w:b/>
          <w:bCs/>
          <w:i w:val="false"/>
          <w:iCs w:val="false"/>
        </w:rPr>
        <w:t xml:space="preserve">qwen2.5:7b</w:t>
      </w:r>
      <w:r>
        <w:rPr>
          <w:b w:val="false"/>
          <w:bCs w:val="false"/>
          <w:i w:val="false"/>
          <w:iCs w:val="false"/>
        </w:rPr>
        <w:t xml:space="preserve">: its report stated that discordant mates mapped “predominantly to chr12” on the strength of a single read, in the case where the prompt had asserted a translocation to chromosome 12. The model had not invented this. It was quoting </w:t>
      </w:r>
      <w:r>
        <w:rPr>
          <w:b/>
          <w:bCs/>
          <w:i w:val="false"/>
          <w:iCs w:val="false"/>
        </w:rPr>
        <w:t xml:space="preserve">summarize_breakpoint_evidence</w:t>
      </w:r>
      <w:r>
        <w:rPr>
          <w:b w:val="false"/>
          <w:bCs w:val="false"/>
          <w:i w:val="false"/>
          <w:iCs w:val="false"/>
        </w:rPr>
        <w:t xml:space="preserve">, which selected the first-inserted key from a dictionary of mate chromosomes — not even the most frequent — and labelled it “predominantly”, with no check that a dominant partner existed or that more than one read supported it. The tool had fabricated corroboration for the false premise and the model had faithfully repeated it, which is precisely what the instruction to cite only tool output requires. An audit of the module found the same defect at two further sites and a related one in the soft-clip observation, which asserted a consensus clip position where at most one read shared any position. The second retraction was a measurement artifact of a different kind: </w:t>
      </w:r>
      <w:r>
        <w:rPr>
          <w:b/>
          <w:bCs/>
          <w:i w:val="false"/>
          <w:iCs w:val="false"/>
        </w:rPr>
        <w:t xml:space="preserve">claude-sonnet-5</w:t>
      </w:r>
      <w:r>
        <w:rPr>
          <w:b w:val="false"/>
          <w:bCs w:val="false"/>
          <w:i w:val="false"/>
          <w:iCs w:val="false"/>
        </w:rPr>
        <w:t xml:space="preserve"> had been recorded as failing one adversarial run, when in fact the scoring function’s negation-detection window was too narrow to recognise a rejection phrased across thirty-eight characters. Corrected, Claude scores three of three in every configuration; the reported failure was the instrument’s, not the model’s.</w:t>
      </w:r>
    </w:p>
    <w:p>
      <w:pPr>
        <w:spacing w:after="200"/>
        <w:jc w:val="left"/>
      </w:pPr>
      <w:r>
        <w:rPr>
          <w:b w:val="false"/>
          <w:bCs w:val="false"/>
          <w:i w:val="false"/>
          <w:iCs w:val="false"/>
        </w:rPr>
        <w:t xml:space="preserve">The pattern across both retractions is worth stating plainly. In each case a result was published attributing a behaviour to a model, and in each case the behaviour belonged to the measuring apparatus — once to a tool that asserted a pattern its data did not contain, once to a metric too blunt to see a correct answer. Both were found by reading reports manually rather than by any automated check.</w:t>
      </w:r>
    </w:p>
    <w:p>
      <w:pPr>
        <w:spacing w:after="200"/>
        <w:jc w:val="left"/>
      </w:pPr>
      <w:r>
        <w:rPr>
          <w:b w:val="false"/>
          <w:bCs w:val="false"/>
          <w:i w:val="false"/>
          <w:iCs w:val="false"/>
        </w:rPr>
        <w:t xml:space="preserve">Examining the remaining criteria made the problem look less like two unlucky defects and more like a property of the approach. Of the five, one — the check that all applicable evidence layers were queried — had been penalising correct behaviour by requiring a call to a layer the data cannot inform, and was corrected. The verdict criterion required three separate corrections, for word-boundary matching, window width, and cue attachment, and is still not trusted for adversarial cases. The citation criterion turned out to be worse than a false negative: its number-extraction pattern read the hyphen in a prose range such as “approximately 250–300×” as a minus sign and extracted a negative depth value that no tool could ever return, then flagged it as an uncited claim. It manufactures violations rather than merely missing them, and it was left unfixed deliberately, because correcting it would require special-casing range syntax, tolerating rounding, and modelling derived arithmetic — which amounts to re-implementing the judgement the criterion existed to avoid needing. Its rows are reported as not measured rather than as failures. A fourth criterion, the check on tool-call ordering, has simply never been examined, and is recorded as unexamined rather than counted as sound, since not having been found wrong is not a property worth reporting as reliability. That leaves one criterion, the hallucination check, currently load-bearing on the strength of two confirmed catches — real ones, being an unsupported variant size and an unprompted mention of the benchmark dataset’s identity, but two catches are evidence that it works rather than proof.</w:t>
      </w:r>
    </w:p>
    <w:p>
      <w:pPr>
        <w:spacing w:after="200"/>
        <w:jc w:val="left"/>
      </w:pPr>
      <w:r>
        <w:rPr>
          <w:b w:val="false"/>
          <w:bCs w:val="false"/>
          <w:i w:val="false"/>
          <w:iCs w:val="false"/>
        </w:rPr>
        <w:t xml:space="preserve">The conclusion drawn in the accompanying documentation is that an automated rubric over free-text reports was not adequate for this task. Every substantive finding in the benchmark was ultimately confirmed or overturned by reading reports manually, including both retracted findings, each of which the metrics had reported as clean model behaviour. The scores are presented as a screening layer that directs attention toward runs worth reading, not as measurements. This is the same argument the thesis makes about diagnostic evidence, arriving unbidden one level up: the criteria were trusted while they were unexamined, every correction came from inspecting the reasoning rather than the score, and a system that requires a model to cite the tool behind every claim has no principled reason to exempt its own metrics from that standard.</w:t>
      </w:r>
    </w:p>
    <w:p>
      <w:pPr>
        <w:spacing w:after="200"/>
        <w:jc w:val="left"/>
      </w:pPr>
      <w:r>
        <w:rPr>
          <w:b w:val="false"/>
          <w:bCs w:val="false"/>
          <w:i w:val="false"/>
          <w:iCs w:val="false"/>
        </w:rPr>
        <w:t xml:space="preserve">A final comparison concerned the visual layer, and produced an architectural rather than a behavioural finding. Asked to generate and interpret images, both models described what the images showed. Neither had seen them: the tools return a file path, and both harnesses serialise tool results to text, so no pixel data ever reached either model. Claude’s description of one panel as showing uniform, non-anomalous pairing directly contradicted an image dominated by anomalous-pair colouring. Adding an explicit field stating that image content had not been provided, together with a rule forbidding description of unseen images, corrected Claude’s behaviour but not the local model’s, which continued to assert content and cited a file path it had itself supplied in a tool argument. The advisory approach failed because it relied on the model’s compliance. Removing the caller-supplied path parameter entirely, so that the server assigns output locations and returns only an opaque handle, closed the gap structurally: no path enters the model’s context in either direction, and no description of pixel content is possible because nothing resembling an image reference is available to describe. The contrast between the advisory fix, which one model honoured and the other ignored, and the structural fix, which neither could circumvent, is the clearest evidence in this work for preferring architectural constraints to instructional ones.</w:t>
      </w:r>
    </w:p>
    <w:p>
      <w:pPr>
        <w:spacing w:after="200"/>
        <w:jc w:val="left"/>
      </w:pPr>
      <w:r>
        <w:rPr>
          <w:b/>
          <w:bCs/>
          <w:i w:val="false"/>
          <w:iCs w:val="false"/>
        </w:rPr>
        <w:t xml:space="preserve">Key methodological finding.</w:t>
      </w:r>
      <w:r>
        <w:rPr>
          <w:b w:val="false"/>
          <w:bCs w:val="false"/>
          <w:i w:val="false"/>
          <w:iCs w:val="false"/>
        </w:rPr>
        <w:t xml:space="preserve"> Evidence-layer relevance depends on sequencing technology and read length relative to SV size, not on SV type alone. For a 3.4-kilobase deletion in 15–20-kilobase HiFi reads, most reads span the deletion as a single CIGAR D operation — no soft-clip, no SA tag — making depth the primary signal. For short-read paired-end data and inter-chromosomal balanced translocations, discordant pairs and soft-clips dominate. Following the audit, the assistant determines the applicable layers empirically from the file and normalises its composite score over those layers alone, rather than penalising a finding for the absence of evidence that was never expected to appear. This design decision was driven by the real-data testing, not by theoretical consideration alone.</w:t>
      </w:r>
    </w:p>
    <w:p>
      <w:pPr>
        <w:pStyle w:val="Heading1"/>
      </w:pPr>
      <w:r>
        <w:rPr>
          <w:b w:val="false"/>
          <w:bCs w:val="false"/>
          <w:i w:val="false"/>
          <w:iCs w:val="false"/>
        </w:rPr>
        <w:t xml:space="preserve">Scope and Limitations</w:t>
      </w:r>
    </w:p>
    <w:p>
      <w:pPr>
        <w:spacing w:after="200"/>
        <w:jc w:val="left"/>
      </w:pPr>
      <w:r>
        <w:rPr>
          <w:b w:val="false"/>
          <w:bCs w:val="false"/>
          <w:i w:val="false"/>
          <w:iCs w:val="false"/>
        </w:rPr>
        <w:t xml:space="preserve">This project is explicitly scoped as a methodological prototype, not a clinical decision-support product, and several deliberate constraints follow from that framing. The evaluation data are entirely synthetic and benchmark-derived, with no real patient cohort; as already noted, this means that measured performance should be read as an upper bound on what the assistant might achieve clinically, not as evidence of clinical validity. Each module is implemented at a minimally viable level that prioritizes a clear and inspectable evidence flow over algorithmic completeness, and the structural-variant module deliberately reuses existing SV-calling and -annotation tools rather than implementing a new caller; the original contribution lies in the breakpoint-to-gene linking logic and the transparent integration layer, not in variant calling itself. The prototype does not implement, and is not intended to replace, a full ACMG/AMP variant-classification workflow; ACMG-style considerations may inform the variant-annotation module’s design, but formal ACMG classification is out of scope for this thesis. Similarly, the transcriptome module is currently specified only at the level of its inputs and outputs — per-gene differential-expression or outlier scores joined to candidate genes — without committing to a specific differential-expression method, which is appropriate at this design stage but should be resolved before implementation begins in earnest.</w:t>
      </w:r>
    </w:p>
    <w:p>
      <w:pPr>
        <w:spacing w:after="200"/>
        <w:jc w:val="left"/>
      </w:pPr>
      <w:r>
        <w:rPr>
          <w:b w:val="false"/>
          <w:bCs w:val="false"/>
          <w:i w:val="false"/>
          <w:iCs w:val="false"/>
        </w:rPr>
        <w:t xml:space="preserve">Chromothripsis and balanced translocations are retained throughout this chapter as important, analytically demanding test scenarios for the structural-variant module, precisely because they expose the limits of annotation-only or copy-number-only workflows. They are not, however, the sole object of the thesis: the assistant is designed first as a general SNV/indel-plus-phenotype diagnosis tool, with structural-variant support — including but not limited to complex rearrangements — added as an extension. Framing the project as “chromothripsis only” would understate both the breadth of the variant- and phenotype-annotation work already under way and the realistic scope of what a single MSc thesis can deliver; the structural-variant module is correspondingly designed to handle a range of SV types, with chromothripsis and balanced translocations treated as the most demanding cases within that range rather than as the only ones supported.</w:t>
      </w:r>
    </w:p>
    <w:p>
      <w:pPr>
        <w:spacing w:after="200"/>
        <w:jc w:val="left"/>
      </w:pPr>
      <w:r>
        <w:rPr>
          <w:b w:val="false"/>
          <w:bCs w:val="false"/>
          <w:i w:val="false"/>
          <w:iCs w:val="false"/>
        </w:rPr>
        <w:t xml:space="preserve">Finally, one limitation in the supporting literature review itself is worth recording honestly: the comparator description for Lucid Genomics relies solely on the company’s own public-facing material rather than independent technical documentation, so its entry in Table 1 should be read as provisional.</w:t>
      </w:r>
    </w:p>
    <w:p>
      <w:pPr>
        <w:pStyle w:val="Heading1"/>
      </w:pPr>
      <w:r>
        <w:rPr>
          <w:b w:val="false"/>
          <w:bCs w:val="false"/>
          <w:i w:val="false"/>
          <w:iCs w:val="false"/>
        </w:rPr>
        <w:t xml:space="preserve">Concluding Remarks</w:t>
      </w:r>
    </w:p>
    <w:p>
      <w:pPr>
        <w:spacing w:after="200"/>
        <w:jc w:val="left"/>
      </w:pPr>
      <w:r>
        <w:rPr>
          <w:b w:val="false"/>
          <w:bCs w:val="false"/>
          <w:i w:val="false"/>
          <w:iCs w:val="false"/>
        </w:rPr>
        <w:t xml:space="preserve">The work described in this chapter is organized around a single idea: that a rare-disease diagnosis is more credible when it is supported by several independent kinds of evidence at once, and that this credibility should be visible in the assistant’s output rather than hidden inside a single score. Existing tools cover SNV/indel interpretation well and phenotype matching reasonably well, but none of them combines breakpoint-level structural evidence, transcriptomic signal, and phenotype similarity within one transparent, case-linked record — a gap that becomes most visible for complex or balanced rearrangements such as chromothripsis. The prototype design responds to this gap with a modular pipeline, a Phenopackets-inspired case object, and an evaluation plan that tests traceability and reproducibility alongside raw target recovery, using synthetic GeneBreaker and simuG cases together with the GIAB benchmark as a technical control. The result, by design, is a transparent and reproducible methodological prototype rather than a clinical instrument: a contribution to how rare-disease evidence can be structured and explained, evaluated honestly against the limits of synthetic data, and scoped realistically for a Master’s thesis. The next chapter describes how this design has been implemented and presents the results of applying it to the evaluation cases introduced here.</w:t>
      </w:r>
    </w:p>
    <w:p>
      <w:pPr>
        <w:pStyle w:val="Heading1"/>
        <w:pageBreakBefore/>
      </w:pPr>
      <w:r>
        <w:rPr>
          <w:b w:val="false"/>
          <w:bCs w:val="false"/>
          <w:i w:val="false"/>
          <w:iCs w:val="false"/>
        </w:rPr>
        <w:t xml:space="preserve">References</w:t>
      </w:r>
    </w:p>
    <w:p>
      <w:pPr>
        <w:spacing w:after="160"/>
        <w:ind w:left="360" w:hanging="360"/>
      </w:pPr>
      <w:r>
        <w:rPr>
          <w:b w:val="false"/>
          <w:bCs w:val="false"/>
          <w:i w:val="false"/>
          <w:iCs w:val="false"/>
        </w:rPr>
        <w:t xml:space="preserve">1. Kopanos C, Tsiolkas V, Kouris A, et al. </w:t>
      </w:r>
      <w:r>
        <w:rPr>
          <w:b w:val="false"/>
          <w:bCs w:val="false"/>
          <w:i/>
          <w:iCs/>
        </w:rPr>
        <w:t xml:space="preserve">VarSome: the human genomic variant search engine.</w:t>
      </w:r>
      <w:r>
        <w:rPr>
          <w:b w:val="false"/>
          <w:bCs w:val="false"/>
          <w:i w:val="false"/>
          <w:iCs w:val="false"/>
        </w:rPr>
        <w:t xml:space="preserve"> Bioinformatics. 2019. </w:t>
      </w:r>
      <w:hyperlink w:history="1" r:id="rIdbm5el2hwukkgxdrrukq9s">
        <w:r>
          <w:rPr>
            <w:rStyle w:val="Hyperlink"/>
            <w:b w:val="false"/>
            <w:bCs w:val="false"/>
            <w:i w:val="false"/>
            <w:iCs w:val="false"/>
          </w:rPr>
          <w:t xml:space="preserve">https://pmc.ncbi.nlm.nih.gov/articles/PMC6546127/</w:t>
        </w:r>
      </w:hyperlink>
    </w:p>
    <w:p>
      <w:pPr>
        <w:spacing w:after="160"/>
        <w:ind w:left="360" w:hanging="360"/>
      </w:pPr>
      <w:r>
        <w:rPr>
          <w:b w:val="false"/>
          <w:bCs w:val="false"/>
          <w:i w:val="false"/>
          <w:iCs w:val="false"/>
        </w:rPr>
        <w:t xml:space="preserve">2. VarSome Help Center. </w:t>
      </w:r>
      <w:r>
        <w:rPr>
          <w:b w:val="false"/>
          <w:bCs w:val="false"/>
          <w:i/>
          <w:iCs/>
        </w:rPr>
        <w:t xml:space="preserve">Phenotype Matching.</w:t>
      </w:r>
      <w:r>
        <w:rPr>
          <w:b w:val="false"/>
          <w:bCs w:val="false"/>
          <w:i w:val="false"/>
          <w:iCs w:val="false"/>
        </w:rPr>
        <w:t xml:space="preserve"> </w:t>
      </w:r>
      <w:hyperlink w:history="1" r:id="rId-xgcvwiqowodl2_rh2isc">
        <w:r>
          <w:rPr>
            <w:rStyle w:val="Hyperlink"/>
            <w:b w:val="false"/>
            <w:bCs w:val="false"/>
            <w:i w:val="false"/>
            <w:iCs w:val="false"/>
          </w:rPr>
          <w:t xml:space="preserve">https://docs.varsome.com/en/phenotype-matching</w:t>
        </w:r>
      </w:hyperlink>
    </w:p>
    <w:p>
      <w:pPr>
        <w:spacing w:after="160"/>
        <w:ind w:left="360" w:hanging="360"/>
      </w:pPr>
      <w:r>
        <w:rPr>
          <w:b w:val="false"/>
          <w:bCs w:val="false"/>
          <w:i w:val="false"/>
          <w:iCs w:val="false"/>
        </w:rPr>
        <w:t xml:space="preserve">3. VarSome. </w:t>
      </w:r>
      <w:r>
        <w:rPr>
          <w:b w:val="false"/>
          <w:bCs w:val="false"/>
          <w:i/>
          <w:iCs/>
        </w:rPr>
        <w:t xml:space="preserve">Structural Variants Browser.</w:t>
      </w:r>
      <w:r>
        <w:rPr>
          <w:b w:val="false"/>
          <w:bCs w:val="false"/>
          <w:i w:val="false"/>
          <w:iCs w:val="false"/>
        </w:rPr>
        <w:t xml:space="preserve"> </w:t>
      </w:r>
      <w:hyperlink w:history="1" r:id="rIdmeiglt8fwwzt11osg2i21">
        <w:r>
          <w:rPr>
            <w:rStyle w:val="Hyperlink"/>
            <w:b w:val="false"/>
            <w:bCs w:val="false"/>
            <w:i w:val="false"/>
            <w:iCs w:val="false"/>
          </w:rPr>
          <w:t xml:space="preserve">https://news.varsome.com/en/structural-variants-browser</w:t>
        </w:r>
      </w:hyperlink>
    </w:p>
    <w:p>
      <w:pPr>
        <w:spacing w:after="160"/>
        <w:ind w:left="360" w:hanging="360"/>
      </w:pPr>
      <w:r>
        <w:rPr>
          <w:b w:val="false"/>
          <w:bCs w:val="false"/>
          <w:i w:val="false"/>
          <w:iCs w:val="false"/>
        </w:rPr>
        <w:t xml:space="preserve">4. VarSome Help Center. </w:t>
      </w:r>
      <w:r>
        <w:rPr>
          <w:b w:val="false"/>
          <w:bCs w:val="false"/>
          <w:i/>
          <w:iCs/>
        </w:rPr>
        <w:t xml:space="preserve">What is VarSome Picks?</w:t>
      </w:r>
      <w:r>
        <w:rPr>
          <w:b w:val="false"/>
          <w:bCs w:val="false"/>
          <w:i w:val="false"/>
          <w:iCs w:val="false"/>
        </w:rPr>
        <w:t xml:space="preserve"> </w:t>
      </w:r>
      <w:hyperlink w:history="1" r:id="rIdy_85ypmatcaaxj6071igz">
        <w:r>
          <w:rPr>
            <w:rStyle w:val="Hyperlink"/>
            <w:b w:val="false"/>
            <w:bCs w:val="false"/>
            <w:i w:val="false"/>
            <w:iCs w:val="false"/>
          </w:rPr>
          <w:t xml:space="preserve">https://docs.varsome.com/en/varsome-picks</w:t>
        </w:r>
      </w:hyperlink>
    </w:p>
    <w:p>
      <w:pPr>
        <w:spacing w:after="160"/>
        <w:ind w:left="360" w:hanging="360"/>
      </w:pPr>
      <w:r>
        <w:rPr>
          <w:b w:val="false"/>
          <w:bCs w:val="false"/>
          <w:i w:val="false"/>
          <w:iCs w:val="false"/>
        </w:rPr>
        <w:t xml:space="preserve">5. SOPHiA GENETICS. </w:t>
      </w:r>
      <w:r>
        <w:rPr>
          <w:b w:val="false"/>
          <w:bCs w:val="false"/>
          <w:i/>
          <w:iCs/>
        </w:rPr>
        <w:t xml:space="preserve">Alamut™ Visual Plus — Variant Annotation and Analysis Software.</w:t>
      </w:r>
      <w:r>
        <w:rPr>
          <w:b w:val="false"/>
          <w:bCs w:val="false"/>
          <w:i w:val="false"/>
          <w:iCs w:val="false"/>
        </w:rPr>
        <w:t xml:space="preserve"> </w:t>
      </w:r>
      <w:hyperlink w:history="1" r:id="rIdwl3zcs5kowmxtlmrv2xdp">
        <w:r>
          <w:rPr>
            <w:rStyle w:val="Hyperlink"/>
            <w:b w:val="false"/>
            <w:bCs w:val="false"/>
            <w:i w:val="false"/>
            <w:iCs w:val="false"/>
          </w:rPr>
          <w:t xml:space="preserve">https://www.sophiagenetics.com/sophia-ddm-for-genomics/alamut-visual-plus/</w:t>
        </w:r>
      </w:hyperlink>
    </w:p>
    <w:p>
      <w:pPr>
        <w:spacing w:after="160"/>
        <w:ind w:left="360" w:hanging="360"/>
      </w:pPr>
      <w:r>
        <w:rPr>
          <w:b w:val="false"/>
          <w:bCs w:val="false"/>
          <w:i w:val="false"/>
          <w:iCs w:val="false"/>
        </w:rPr>
        <w:t xml:space="preserve">6. Interactive Biosoftware / SOPHiA GENETICS. </w:t>
      </w:r>
      <w:r>
        <w:rPr>
          <w:b w:val="false"/>
          <w:bCs w:val="false"/>
          <w:i/>
          <w:iCs/>
        </w:rPr>
        <w:t xml:space="preserve">ACMG/AMP Variant Interpretation Standards and Guidelines Support in Alamut™ Visual Plus.</w:t>
      </w:r>
      <w:r>
        <w:rPr>
          <w:b w:val="false"/>
          <w:bCs w:val="false"/>
          <w:i w:val="false"/>
          <w:iCs w:val="false"/>
        </w:rPr>
        <w:t xml:space="preserve"> </w:t>
      </w:r>
      <w:hyperlink w:history="1" r:id="rIdt-gbyfc1bhmr5etvsgxyo">
        <w:r>
          <w:rPr>
            <w:rStyle w:val="Hyperlink"/>
            <w:b w:val="false"/>
            <w:bCs w:val="false"/>
            <w:i w:val="false"/>
            <w:iCs w:val="false"/>
          </w:rPr>
          <w:t xml:space="preserve">https://www.interactive-biosoftware.com/en/acmg-guidelines/</w:t>
        </w:r>
      </w:hyperlink>
    </w:p>
    <w:p>
      <w:pPr>
        <w:spacing w:after="160"/>
        <w:ind w:left="360" w:hanging="360"/>
      </w:pPr>
      <w:r>
        <w:rPr>
          <w:b w:val="false"/>
          <w:bCs w:val="false"/>
          <w:i w:val="false"/>
          <w:iCs w:val="false"/>
        </w:rPr>
        <w:t xml:space="preserve">7. Genoox Franklin Help Center. </w:t>
      </w:r>
      <w:r>
        <w:rPr>
          <w:b w:val="false"/>
          <w:bCs w:val="false"/>
          <w:i/>
          <w:iCs/>
        </w:rPr>
        <w:t xml:space="preserve">Franklin’s AI-based variant prioritization engine.</w:t>
      </w:r>
      <w:r>
        <w:rPr>
          <w:b w:val="false"/>
          <w:bCs w:val="false"/>
          <w:i w:val="false"/>
          <w:iCs w:val="false"/>
        </w:rPr>
        <w:t xml:space="preserve"> </w:t>
      </w:r>
      <w:hyperlink w:history="1" r:id="rId1ulprw-pkj3xx0hkqxrf7">
        <w:r>
          <w:rPr>
            <w:rStyle w:val="Hyperlink"/>
            <w:b w:val="false"/>
            <w:bCs w:val="false"/>
            <w:i w:val="false"/>
            <w:iCs w:val="false"/>
          </w:rPr>
          <w:t xml:space="preserve">https://help.genoox.com/en/articles/4444301-franklin-s-ai-based-variant-prioritization-engine</w:t>
        </w:r>
      </w:hyperlink>
    </w:p>
    <w:p>
      <w:pPr>
        <w:spacing w:after="160"/>
        <w:ind w:left="360" w:hanging="360"/>
      </w:pPr>
      <w:r>
        <w:rPr>
          <w:b w:val="false"/>
          <w:bCs w:val="false"/>
          <w:i w:val="false"/>
          <w:iCs w:val="false"/>
        </w:rPr>
        <w:t xml:space="preserve">8. Genoox Franklin Help Center. </w:t>
      </w:r>
      <w:r>
        <w:rPr>
          <w:b w:val="false"/>
          <w:bCs w:val="false"/>
          <w:i/>
          <w:iCs/>
        </w:rPr>
        <w:t xml:space="preserve">Genes and Regions.</w:t>
      </w:r>
      <w:r>
        <w:rPr>
          <w:b w:val="false"/>
          <w:bCs w:val="false"/>
          <w:i w:val="false"/>
          <w:iCs w:val="false"/>
        </w:rPr>
        <w:t xml:space="preserve"> </w:t>
      </w:r>
      <w:hyperlink w:history="1" r:id="rIdn0v2h99l_fw2omgg9c3se">
        <w:r>
          <w:rPr>
            <w:rStyle w:val="Hyperlink"/>
            <w:b w:val="false"/>
            <w:bCs w:val="false"/>
            <w:i w:val="false"/>
            <w:iCs w:val="false"/>
          </w:rPr>
          <w:t xml:space="preserve">https://help.genoox.com/en/articles/4362851-genes-and-regions</w:t>
        </w:r>
      </w:hyperlink>
    </w:p>
    <w:p>
      <w:pPr>
        <w:spacing w:after="160"/>
        <w:ind w:left="360" w:hanging="360"/>
      </w:pPr>
      <w:r>
        <w:rPr>
          <w:b w:val="false"/>
          <w:bCs w:val="false"/>
          <w:i w:val="false"/>
          <w:iCs w:val="false"/>
        </w:rPr>
        <w:t xml:space="preserve">9. Genomenon. </w:t>
      </w:r>
      <w:r>
        <w:rPr>
          <w:b w:val="false"/>
          <w:bCs w:val="false"/>
          <w:i/>
          <w:iCs/>
        </w:rPr>
        <w:t xml:space="preserve">Genomenon’s automated genomic search engine Mastermind illuminates current trends in genomic literature.</w:t>
      </w:r>
      <w:r>
        <w:rPr>
          <w:b w:val="false"/>
          <w:bCs w:val="false"/>
          <w:i w:val="false"/>
          <w:iCs w:val="false"/>
        </w:rPr>
        <w:t xml:space="preserve"> </w:t>
      </w:r>
      <w:hyperlink w:history="1" r:id="rId83bkmac9un2hi01p0vj0e">
        <w:r>
          <w:rPr>
            <w:rStyle w:val="Hyperlink"/>
            <w:b w:val="false"/>
            <w:bCs w:val="false"/>
            <w:i w:val="false"/>
            <w:iCs w:val="false"/>
          </w:rPr>
          <w:t xml:space="preserve">https://enlightenbio.com/news-and-features/2018/01/01/genomenons-automated-genomic-search-engine-mastermind-illuminates-current-trends-in-genomic-literature/</w:t>
        </w:r>
      </w:hyperlink>
    </w:p>
    <w:p>
      <w:pPr>
        <w:spacing w:after="160"/>
        <w:ind w:left="360" w:hanging="360"/>
      </w:pPr>
      <w:r>
        <w:rPr>
          <w:b w:val="false"/>
          <w:bCs w:val="false"/>
          <w:i w:val="false"/>
          <w:iCs w:val="false"/>
        </w:rPr>
        <w:t xml:space="preserve">10. Piñero J, Ramírez-Anguita JM, Saüch-Pitarch J, Ronzano F, Centeno E, Sanz F, Furlong LI. </w:t>
      </w:r>
      <w:r>
        <w:rPr>
          <w:b w:val="false"/>
          <w:bCs w:val="false"/>
          <w:i/>
          <w:iCs/>
        </w:rPr>
        <w:t xml:space="preserve">The DisGeNET knowledge platform for disease genomics: 2019 update.</w:t>
      </w:r>
      <w:r>
        <w:rPr>
          <w:b w:val="false"/>
          <w:bCs w:val="false"/>
          <w:i w:val="false"/>
          <w:iCs w:val="false"/>
        </w:rPr>
        <w:t xml:space="preserve"> Nucleic Acids Research. 2020;48(D1):D845–D855. </w:t>
      </w:r>
      <w:hyperlink w:history="1" r:id="rId3ttipy5mfybxivmlbmqqw">
        <w:r>
          <w:rPr>
            <w:rStyle w:val="Hyperlink"/>
            <w:b w:val="false"/>
            <w:bCs w:val="false"/>
            <w:i w:val="false"/>
            <w:iCs w:val="false"/>
          </w:rPr>
          <w:t xml:space="preserve">https://doi.org/10.1093/nar/gkz1021</w:t>
        </w:r>
      </w:hyperlink>
    </w:p>
    <w:p>
      <w:pPr>
        <w:spacing w:after="160"/>
        <w:ind w:left="360" w:hanging="360"/>
      </w:pPr>
      <w:r>
        <w:rPr>
          <w:b w:val="false"/>
          <w:bCs w:val="false"/>
          <w:i w:val="false"/>
          <w:iCs w:val="false"/>
        </w:rPr>
        <w:t xml:space="preserve">11. </w:t>
      </w:r>
      <w:r>
        <w:rPr>
          <w:b w:val="false"/>
          <w:bCs w:val="false"/>
          <w:i/>
          <w:iCs/>
        </w:rPr>
        <w:t xml:space="preserve">Database article on a disease-centric interaction database related to DisGeNET.</w:t>
      </w:r>
      <w:r>
        <w:rPr>
          <w:b w:val="false"/>
          <w:bCs w:val="false"/>
          <w:i w:val="false"/>
          <w:iCs w:val="false"/>
        </w:rPr>
        <w:t xml:space="preserve"> Database. 2024. </w:t>
      </w:r>
      <w:hyperlink w:history="1" r:id="rIdhk5bolxe8s3d_l5atgnan">
        <w:r>
          <w:rPr>
            <w:rStyle w:val="Hyperlink"/>
            <w:b w:val="false"/>
            <w:bCs w:val="false"/>
            <w:i w:val="false"/>
            <w:iCs w:val="false"/>
          </w:rPr>
          <w:t xml:space="preserve">https://academic.oup.com/database/article/doi/10.1093/database/baae122/7951612</w:t>
        </w:r>
      </w:hyperlink>
    </w:p>
    <w:p>
      <w:pPr>
        <w:spacing w:after="160"/>
        <w:ind w:left="360" w:hanging="360"/>
      </w:pPr>
      <w:r>
        <w:rPr>
          <w:b w:val="false"/>
          <w:bCs w:val="false"/>
          <w:i w:val="false"/>
          <w:iCs w:val="false"/>
        </w:rPr>
        <w:t xml:space="preserve">12. Exomiser documentation. </w:t>
      </w:r>
      <w:r>
        <w:rPr>
          <w:b w:val="false"/>
          <w:bCs w:val="false"/>
          <w:i/>
          <w:iCs/>
        </w:rPr>
        <w:t xml:space="preserve">Structural Variant Prioritisation.</w:t>
      </w:r>
      <w:r>
        <w:rPr>
          <w:b w:val="false"/>
          <w:bCs w:val="false"/>
          <w:i w:val="false"/>
          <w:iCs w:val="false"/>
        </w:rPr>
        <w:t xml:space="preserve"> v14.1.0. </w:t>
      </w:r>
      <w:hyperlink w:history="1" r:id="rIdogrc1ffl_8tmehdnjs_vs">
        <w:r>
          <w:rPr>
            <w:rStyle w:val="Hyperlink"/>
            <w:b w:val="false"/>
            <w:bCs w:val="false"/>
            <w:i w:val="false"/>
            <w:iCs w:val="false"/>
          </w:rPr>
          <w:t xml:space="preserve">https://exomiser.readthedocs.io/en/14.1.0/sv_prioritisation.html</w:t>
        </w:r>
      </w:hyperlink>
    </w:p>
    <w:p>
      <w:pPr>
        <w:spacing w:after="160"/>
        <w:ind w:left="360" w:hanging="360"/>
      </w:pPr>
      <w:r>
        <w:rPr>
          <w:b w:val="false"/>
          <w:bCs w:val="false"/>
          <w:i w:val="false"/>
          <w:iCs w:val="false"/>
        </w:rPr>
        <w:t xml:space="preserve">13. Cipriani V, Pontikos N, Arno G, et al. </w:t>
      </w:r>
      <w:r>
        <w:rPr>
          <w:b w:val="false"/>
          <w:bCs w:val="false"/>
          <w:i/>
          <w:iCs/>
        </w:rPr>
        <w:t xml:space="preserve">An improved phenotype-driven tool for rare Mendelian variant prioritization: benchmarking Exomiser on real patient whole-exome data.</w:t>
      </w:r>
      <w:r>
        <w:rPr>
          <w:b w:val="false"/>
          <w:bCs w:val="false"/>
          <w:i w:val="false"/>
          <w:iCs w:val="false"/>
        </w:rPr>
        <w:t xml:space="preserve"> Genes. 2020;11(4):460. </w:t>
      </w:r>
      <w:hyperlink w:history="1" r:id="rIdswobdzrwxxrys2k480q1u">
        <w:r>
          <w:rPr>
            <w:rStyle w:val="Hyperlink"/>
            <w:b w:val="false"/>
            <w:bCs w:val="false"/>
            <w:i w:val="false"/>
            <w:iCs w:val="false"/>
          </w:rPr>
          <w:t xml:space="preserve">https://doi.org/10.3390/genes11040460</w:t>
        </w:r>
      </w:hyperlink>
      <w:r>
        <w:rPr>
          <w:b w:val="false"/>
          <w:bCs w:val="false"/>
          <w:i w:val="false"/>
          <w:iCs w:val="false"/>
        </w:rPr>
        <w:t xml:space="preserve"> [States explicitly: “Another limitation of Exomiser consists in its current inability of incorporating CNVs in the analysis of SNVs and indels from VCF files.”]</w:t>
      </w:r>
    </w:p>
    <w:p>
      <w:pPr>
        <w:spacing w:after="160"/>
        <w:ind w:left="360" w:hanging="360"/>
      </w:pPr>
      <w:r>
        <w:rPr>
          <w:b w:val="false"/>
          <w:bCs w:val="false"/>
          <w:i w:val="false"/>
          <w:iCs w:val="false"/>
        </w:rPr>
        <w:t xml:space="preserve">14. Lucid Genomics. </w:t>
      </w:r>
      <w:r>
        <w:rPr>
          <w:b w:val="false"/>
          <w:bCs w:val="false"/>
          <w:i/>
          <w:iCs/>
        </w:rPr>
        <w:t xml:space="preserve">Platform.</w:t>
      </w:r>
      <w:r>
        <w:rPr>
          <w:b w:val="false"/>
          <w:bCs w:val="false"/>
          <w:i w:val="false"/>
          <w:iCs w:val="false"/>
        </w:rPr>
        <w:t xml:space="preserve"> </w:t>
      </w:r>
      <w:hyperlink w:history="1" r:id="rIdm8glf1ozku9g9_wdlxjog">
        <w:r>
          <w:rPr>
            <w:rStyle w:val="Hyperlink"/>
            <w:b w:val="false"/>
            <w:bCs w:val="false"/>
            <w:i w:val="false"/>
            <w:iCs w:val="false"/>
          </w:rPr>
          <w:t xml:space="preserve">https://www.lucid-genomics.com/platform</w:t>
        </w:r>
      </w:hyperlink>
    </w:p>
    <w:p>
      <w:pPr>
        <w:spacing w:after="160"/>
        <w:ind w:left="360" w:hanging="360"/>
      </w:pPr>
      <w:r>
        <w:rPr>
          <w:b w:val="false"/>
          <w:bCs w:val="false"/>
          <w:i w:val="false"/>
          <w:iCs w:val="false"/>
        </w:rPr>
        <w:t xml:space="preserve">15. Lucid Genomics. </w:t>
      </w:r>
      <w:r>
        <w:rPr>
          <w:b w:val="false"/>
          <w:bCs w:val="false"/>
          <w:i/>
          <w:iCs/>
        </w:rPr>
        <w:t xml:space="preserve">Home / platform overview.</w:t>
      </w:r>
      <w:r>
        <w:rPr>
          <w:b w:val="false"/>
          <w:bCs w:val="false"/>
          <w:i w:val="false"/>
          <w:iCs w:val="false"/>
        </w:rPr>
        <w:t xml:space="preserve"> </w:t>
      </w:r>
      <w:hyperlink w:history="1" r:id="rIdqvfirndu9fnmwfl4zjarp">
        <w:r>
          <w:rPr>
            <w:rStyle w:val="Hyperlink"/>
            <w:b w:val="false"/>
            <w:bCs w:val="false"/>
            <w:i w:val="false"/>
            <w:iCs w:val="false"/>
          </w:rPr>
          <w:t xml:space="preserve">https://www.lucid-genomics.com/home-1</w:t>
        </w:r>
      </w:hyperlink>
    </w:p>
    <w:p>
      <w:pPr>
        <w:spacing w:after="160"/>
        <w:ind w:left="360" w:hanging="360"/>
      </w:pPr>
      <w:r>
        <w:rPr>
          <w:b w:val="false"/>
          <w:bCs w:val="false"/>
          <w:i w:val="false"/>
          <w:iCs w:val="false"/>
        </w:rPr>
        <w:t xml:space="preserve">16. Cortés-Ciriano I, Lee JJ-K, Xi R, et al. </w:t>
      </w:r>
      <w:r>
        <w:rPr>
          <w:b w:val="false"/>
          <w:bCs w:val="false"/>
          <w:i/>
          <w:iCs/>
        </w:rPr>
        <w:t xml:space="preserve">Comprehensive analysis of chromothripsis in 2,658 human cancers using whole-genome sequencing.</w:t>
      </w:r>
      <w:r>
        <w:rPr>
          <w:b w:val="false"/>
          <w:bCs w:val="false"/>
          <w:i w:val="false"/>
          <w:iCs w:val="false"/>
        </w:rPr>
        <w:t xml:space="preserve"> Nature Genetics. 2020. </w:t>
      </w:r>
      <w:hyperlink w:history="1" r:id="rIdywoqwqoxk2qlvuaididyx">
        <w:r>
          <w:rPr>
            <w:rStyle w:val="Hyperlink"/>
            <w:b w:val="false"/>
            <w:bCs w:val="false"/>
            <w:i w:val="false"/>
            <w:iCs w:val="false"/>
          </w:rPr>
          <w:t xml:space="preserve">https://pmc.ncbi.nlm.nih.gov/articles/PMC7058534/</w:t>
        </w:r>
      </w:hyperlink>
    </w:p>
    <w:p>
      <w:pPr>
        <w:spacing w:after="160"/>
        <w:ind w:left="360" w:hanging="360"/>
      </w:pPr>
      <w:r>
        <w:rPr>
          <w:b w:val="false"/>
          <w:bCs w:val="false"/>
          <w:i w:val="false"/>
          <w:iCs w:val="false"/>
        </w:rPr>
        <w:t xml:space="preserve">17. Stephens PJ, Greenman CD, Fu B, et al. </w:t>
      </w:r>
      <w:r>
        <w:rPr>
          <w:b w:val="false"/>
          <w:bCs w:val="false"/>
          <w:i/>
          <w:iCs/>
        </w:rPr>
        <w:t xml:space="preserve">Breakpoint profiling of 64 cancer genomes reveals numerous complex patterns of somatic rearrangement formed through distinct mechanisms.</w:t>
      </w:r>
      <w:r>
        <w:rPr>
          <w:b w:val="false"/>
          <w:bCs w:val="false"/>
          <w:i w:val="false"/>
          <w:iCs w:val="false"/>
        </w:rPr>
        <w:t xml:space="preserve"> Cell. 2011. </w:t>
      </w:r>
      <w:hyperlink w:history="1" r:id="rIdnkdps5rjsp9rzesm91wpf">
        <w:r>
          <w:rPr>
            <w:rStyle w:val="Hyperlink"/>
            <w:b w:val="false"/>
            <w:bCs w:val="false"/>
            <w:i w:val="false"/>
            <w:iCs w:val="false"/>
          </w:rPr>
          <w:t xml:space="preserve">https://pmc.ncbi.nlm.nih.gov/articles/PMC3638133/</w:t>
        </w:r>
      </w:hyperlink>
    </w:p>
    <w:p>
      <w:pPr>
        <w:spacing w:after="160"/>
        <w:ind w:left="360" w:hanging="360"/>
      </w:pPr>
      <w:r>
        <w:rPr>
          <w:b w:val="false"/>
          <w:bCs w:val="false"/>
          <w:i w:val="false"/>
          <w:iCs w:val="false"/>
        </w:rPr>
        <w:t xml:space="preserve">18. Korbel JO, Campbell PJ. </w:t>
      </w:r>
      <w:r>
        <w:rPr>
          <w:b w:val="false"/>
          <w:bCs w:val="false"/>
          <w:i/>
          <w:iCs/>
        </w:rPr>
        <w:t xml:space="preserve">Criteria for inference of chromothripsis in cancer genomes.</w:t>
      </w:r>
      <w:r>
        <w:rPr>
          <w:b w:val="false"/>
          <w:bCs w:val="false"/>
          <w:i w:val="false"/>
          <w:iCs w:val="false"/>
        </w:rPr>
        <w:t xml:space="preserve"> Cell. 2013. </w:t>
      </w:r>
      <w:hyperlink w:history="1" r:id="rIddwdjypjtqq2fdoryh29yd">
        <w:r>
          <w:rPr>
            <w:rStyle w:val="Hyperlink"/>
            <w:b w:val="false"/>
            <w:bCs w:val="false"/>
            <w:i w:val="false"/>
            <w:iCs w:val="false"/>
          </w:rPr>
          <w:t xml:space="preserve">https://pmc.ncbi.nlm.nih.gov/articles/PMC3999944/</w:t>
        </w:r>
      </w:hyperlink>
    </w:p>
    <w:p>
      <w:pPr>
        <w:spacing w:after="160"/>
        <w:ind w:left="360" w:hanging="360"/>
      </w:pPr>
      <w:r>
        <w:rPr>
          <w:b w:val="false"/>
          <w:bCs w:val="false"/>
          <w:i w:val="false"/>
          <w:iCs w:val="false"/>
        </w:rPr>
        <w:t xml:space="preserve">19. Kinsella M, Patel A, Bafna V. </w:t>
      </w:r>
      <w:r>
        <w:rPr>
          <w:b w:val="false"/>
          <w:bCs w:val="false"/>
          <w:i/>
          <w:iCs/>
        </w:rPr>
        <w:t xml:space="preserve">The chromothripsis footprint in cancer genomes.</w:t>
      </w:r>
      <w:r>
        <w:rPr>
          <w:b w:val="false"/>
          <w:bCs w:val="false"/>
          <w:i w:val="false"/>
          <w:iCs w:val="false"/>
        </w:rPr>
        <w:t xml:space="preserve"> BMC Genomics. 2014. </w:t>
      </w:r>
      <w:hyperlink w:history="1" r:id="rIdozbuzi9fgzqv4yddcalln">
        <w:r>
          <w:rPr>
            <w:rStyle w:val="Hyperlink"/>
            <w:b w:val="false"/>
            <w:bCs w:val="false"/>
            <w:i w:val="false"/>
            <w:iCs w:val="false"/>
          </w:rPr>
          <w:t xml:space="preserve">https://pmc.ncbi.nlm.nih.gov/articles/PMC4117757/</w:t>
        </w:r>
      </w:hyperlink>
    </w:p>
    <w:p>
      <w:pPr>
        <w:spacing w:after="160"/>
        <w:ind w:left="360" w:hanging="360"/>
      </w:pPr>
      <w:r>
        <w:rPr>
          <w:b w:val="false"/>
          <w:bCs w:val="false"/>
          <w:i w:val="false"/>
          <w:iCs w:val="false"/>
        </w:rPr>
        <w:t xml:space="preserve">20. Szymańska K, et al. </w:t>
      </w:r>
      <w:r>
        <w:rPr>
          <w:b w:val="false"/>
          <w:bCs w:val="false"/>
          <w:i/>
          <w:iCs/>
        </w:rPr>
        <w:t xml:space="preserve">Chromothripsis — Explosion in Genetic Science.</w:t>
      </w:r>
      <w:r>
        <w:rPr>
          <w:b w:val="false"/>
          <w:bCs w:val="false"/>
          <w:i w:val="false"/>
          <w:iCs w:val="false"/>
        </w:rPr>
        <w:t xml:space="preserve"> 2021. </w:t>
      </w:r>
      <w:hyperlink w:history="1" r:id="rIdtv59bxstupk99rnka-uop">
        <w:r>
          <w:rPr>
            <w:rStyle w:val="Hyperlink"/>
            <w:b w:val="false"/>
            <w:bCs w:val="false"/>
            <w:i w:val="false"/>
            <w:iCs w:val="false"/>
          </w:rPr>
          <w:t xml:space="preserve">https://pmc.ncbi.nlm.nih.gov/articles/PMC8147837/</w:t>
        </w:r>
      </w:hyperlink>
    </w:p>
    <w:p>
      <w:pPr>
        <w:spacing w:after="160"/>
        <w:ind w:left="360" w:hanging="360"/>
      </w:pPr>
      <w:r>
        <w:rPr>
          <w:b w:val="false"/>
          <w:bCs w:val="false"/>
          <w:i w:val="false"/>
          <w:iCs w:val="false"/>
        </w:rPr>
        <w:t xml:space="preserve">21. Henssen AG, Koche R, Zhuang J, et al. </w:t>
      </w:r>
      <w:r>
        <w:rPr>
          <w:b w:val="false"/>
          <w:bCs w:val="false"/>
          <w:i/>
          <w:iCs/>
        </w:rPr>
        <w:t xml:space="preserve">Long-read sequencing reveals chromothripsis in a patient with Cornelia de Lange syndrome and uncovers complex rearrangements missed by standard methods.</w:t>
      </w:r>
      <w:r>
        <w:rPr>
          <w:b w:val="false"/>
          <w:bCs w:val="false"/>
          <w:i w:val="false"/>
          <w:iCs w:val="false"/>
        </w:rPr>
        <w:t xml:space="preserve"> Frontiers in Genetics. 2024. </w:t>
      </w:r>
      <w:hyperlink w:history="1" r:id="rIdb-m03yjpfvf-gbky2220d">
        <w:r>
          <w:rPr>
            <w:rStyle w:val="Hyperlink"/>
            <w:b w:val="false"/>
            <w:bCs w:val="false"/>
            <w:i w:val="false"/>
            <w:iCs w:val="false"/>
          </w:rPr>
          <w:t xml:space="preserve">https://www.frontiersin.org/journals/genetics/articles/10.3389/fgene.2024.1358334/full</w:t>
        </w:r>
      </w:hyperlink>
    </w:p>
    <w:p>
      <w:pPr>
        <w:spacing w:after="160"/>
        <w:ind w:left="360" w:hanging="360"/>
      </w:pPr>
      <w:r>
        <w:rPr>
          <w:b w:val="false"/>
          <w:bCs w:val="false"/>
          <w:i w:val="false"/>
          <w:iCs w:val="false"/>
        </w:rPr>
        <w:t xml:space="preserve">22. Chow JFC, Cheng HH, Wang J, et al. </w:t>
      </w:r>
      <w:r>
        <w:rPr>
          <w:b w:val="false"/>
          <w:bCs w:val="false"/>
          <w:i/>
          <w:iCs/>
        </w:rPr>
        <w:t xml:space="preserve">High-resolution mapping of reciprocal translocation breakpoints using long-read sequencing.</w:t>
      </w:r>
      <w:r>
        <w:rPr>
          <w:b w:val="false"/>
          <w:bCs w:val="false"/>
          <w:i w:val="false"/>
          <w:iCs w:val="false"/>
        </w:rPr>
        <w:t xml:space="preserve"> Genes (Basel). 2020. </w:t>
      </w:r>
      <w:hyperlink w:history="1" r:id="rIdndrxftpqs_6eqsmnlskyj">
        <w:r>
          <w:rPr>
            <w:rStyle w:val="Hyperlink"/>
            <w:b w:val="false"/>
            <w:bCs w:val="false"/>
            <w:i w:val="false"/>
            <w:iCs w:val="false"/>
          </w:rPr>
          <w:t xml:space="preserve">https://pubmed.ncbi.nlm.nih.gov/31908979/</w:t>
        </w:r>
      </w:hyperlink>
    </w:p>
    <w:p>
      <w:pPr>
        <w:spacing w:after="160"/>
        <w:ind w:left="360" w:hanging="360"/>
      </w:pPr>
      <w:r>
        <w:rPr>
          <w:b w:val="false"/>
          <w:bCs w:val="false"/>
          <w:i w:val="false"/>
          <w:iCs w:val="false"/>
        </w:rPr>
        <w:t xml:space="preserve">23. He M, et al. </w:t>
      </w:r>
      <w:r>
        <w:rPr>
          <w:b w:val="false"/>
          <w:bCs w:val="false"/>
          <w:i/>
          <w:iCs/>
        </w:rPr>
        <w:t xml:space="preserve">Accurate identification of breakpoints in a cryptic balanced chromosomal rearrangement by long-read sequencing.</w:t>
      </w:r>
      <w:r>
        <w:rPr>
          <w:b w:val="false"/>
          <w:bCs w:val="false"/>
          <w:i w:val="false"/>
          <w:iCs w:val="false"/>
        </w:rPr>
        <w:t xml:space="preserve"> 2023. </w:t>
      </w:r>
      <w:hyperlink w:history="1" r:id="rIdtktrmwhdor_i2xaxn-cqd">
        <w:r>
          <w:rPr>
            <w:rStyle w:val="Hyperlink"/>
            <w:b w:val="false"/>
            <w:bCs w:val="false"/>
            <w:i w:val="false"/>
            <w:iCs w:val="false"/>
          </w:rPr>
          <w:t xml:space="preserve">https://pubmed.ncbi.nlm.nih.gov/36893740/</w:t>
        </w:r>
      </w:hyperlink>
    </w:p>
    <w:p>
      <w:pPr>
        <w:spacing w:after="160"/>
        <w:ind w:left="360" w:hanging="360"/>
      </w:pPr>
      <w:r>
        <w:rPr>
          <w:b w:val="false"/>
          <w:bCs w:val="false"/>
          <w:i w:val="false"/>
          <w:iCs w:val="false"/>
        </w:rPr>
        <w:t xml:space="preserve">24. Kerstjens-Frederikse WS, et al. </w:t>
      </w:r>
      <w:r>
        <w:rPr>
          <w:b w:val="false"/>
          <w:bCs w:val="false"/>
          <w:i/>
          <w:iCs/>
        </w:rPr>
        <w:t xml:space="preserve">Breakpoint mapping of a novel de novo translocation t(X;20)(q11.1;p13) by positional cloning and long read sequencing.</w:t>
      </w:r>
      <w:r>
        <w:rPr>
          <w:b w:val="false"/>
          <w:bCs w:val="false"/>
          <w:i w:val="false"/>
          <w:iCs w:val="false"/>
        </w:rPr>
        <w:t xml:space="preserve"> Molecular Genetics &amp; Genomic Medicine. 2019. </w:t>
      </w:r>
      <w:hyperlink w:history="1" r:id="rIdkdaqy3rpgheyz-qcb3uw1">
        <w:r>
          <w:rPr>
            <w:rStyle w:val="Hyperlink"/>
            <w:b w:val="false"/>
            <w:bCs w:val="false"/>
            <w:i w:val="false"/>
            <w:iCs w:val="false"/>
          </w:rPr>
          <w:t xml:space="preserve">https://pubmed.ncbi.nlm.nih.gov/30006036/</w:t>
        </w:r>
      </w:hyperlink>
    </w:p>
    <w:p>
      <w:pPr>
        <w:spacing w:after="160"/>
        <w:ind w:left="360" w:hanging="360"/>
      </w:pPr>
      <w:r>
        <w:rPr>
          <w:b w:val="false"/>
          <w:bCs w:val="false"/>
          <w:i w:val="false"/>
          <w:iCs w:val="false"/>
        </w:rPr>
        <w:t xml:space="preserve">25. Talkowski ME, et al. </w:t>
      </w:r>
      <w:r>
        <w:rPr>
          <w:b w:val="false"/>
          <w:bCs w:val="false"/>
          <w:i/>
          <w:iCs/>
        </w:rPr>
        <w:t xml:space="preserve">Improved structural characterization of chromosomal breakpoints using high resolution custom array-CGH.</w:t>
      </w:r>
      <w:r>
        <w:rPr>
          <w:b w:val="false"/>
          <w:bCs w:val="false"/>
          <w:i w:val="false"/>
          <w:iCs w:val="false"/>
        </w:rPr>
        <w:t xml:space="preserve"> Molecular Cytogenetics. 2010. </w:t>
      </w:r>
      <w:hyperlink w:history="1" r:id="rIdhcdiwcmabgkem-q65n-24">
        <w:r>
          <w:rPr>
            <w:rStyle w:val="Hyperlink"/>
            <w:b w:val="false"/>
            <w:bCs w:val="false"/>
            <w:i w:val="false"/>
            <w:iCs w:val="false"/>
          </w:rPr>
          <w:t xml:space="preserve">https://pubmed.ncbi.nlm.nih.gov/20236111/</w:t>
        </w:r>
      </w:hyperlink>
    </w:p>
    <w:p>
      <w:pPr>
        <w:spacing w:after="160"/>
        <w:ind w:left="360" w:hanging="360"/>
      </w:pPr>
      <w:r>
        <w:rPr>
          <w:b w:val="false"/>
          <w:bCs w:val="false"/>
          <w:i w:val="false"/>
          <w:iCs w:val="false"/>
        </w:rPr>
        <w:t xml:space="preserve">26. Park Laboratory. </w:t>
      </w:r>
      <w:r>
        <w:rPr>
          <w:b w:val="false"/>
          <w:bCs w:val="false"/>
          <w:i/>
          <w:iCs/>
        </w:rPr>
        <w:t xml:space="preserve">ShatterSeek</w:t>
      </w:r>
      <w:r>
        <w:rPr>
          <w:b w:val="false"/>
          <w:bCs w:val="false"/>
          <w:i w:val="false"/>
          <w:iCs w:val="false"/>
        </w:rPr>
        <w:t xml:space="preserve"> [software]. GitHub repository. </w:t>
      </w:r>
      <w:hyperlink w:history="1" r:id="rIdybuq8rjy1ndagxe-m2vt4">
        <w:r>
          <w:rPr>
            <w:rStyle w:val="Hyperlink"/>
            <w:b w:val="false"/>
            <w:bCs w:val="false"/>
            <w:i w:val="false"/>
            <w:iCs w:val="false"/>
          </w:rPr>
          <w:t xml:space="preserve">https://github.com/parklab/ShatterSeek</w:t>
        </w:r>
      </w:hyperlink>
    </w:p>
    <w:p>
      <w:pPr>
        <w:spacing w:after="160"/>
        <w:ind w:left="360" w:hanging="360"/>
      </w:pPr>
      <w:r>
        <w:rPr>
          <w:b w:val="false"/>
          <w:bCs w:val="false"/>
          <w:i w:val="false"/>
          <w:iCs w:val="false"/>
        </w:rPr>
        <w:t xml:space="preserve">27. Wang X, et al. </w:t>
      </w:r>
      <w:r>
        <w:rPr>
          <w:b w:val="false"/>
          <w:bCs w:val="false"/>
          <w:i/>
          <w:iCs/>
        </w:rPr>
        <w:t xml:space="preserve">PhenoSV: interpretable phenotype-aware model for the prioritization of genes affected by structural variants.</w:t>
      </w:r>
      <w:r>
        <w:rPr>
          <w:b w:val="false"/>
          <w:bCs w:val="false"/>
          <w:i w:val="false"/>
          <w:iCs w:val="false"/>
        </w:rPr>
        <w:t xml:space="preserve"> Nature Communications. 2023. </w:t>
      </w:r>
      <w:hyperlink w:history="1" r:id="rIdau1ahlexwjxgb2hh3ntgo">
        <w:r>
          <w:rPr>
            <w:rStyle w:val="Hyperlink"/>
            <w:b w:val="false"/>
            <w:bCs w:val="false"/>
            <w:i w:val="false"/>
            <w:iCs w:val="false"/>
          </w:rPr>
          <w:t xml:space="preserve">https://pmc.ncbi.nlm.nih.gov/articles/PMC10684511/</w:t>
        </w:r>
      </w:hyperlink>
    </w:p>
    <w:p>
      <w:pPr>
        <w:spacing w:after="160"/>
        <w:ind w:left="360" w:hanging="360"/>
      </w:pPr>
      <w:r>
        <w:rPr>
          <w:b w:val="false"/>
          <w:bCs w:val="false"/>
          <w:i w:val="false"/>
          <w:iCs w:val="false"/>
        </w:rPr>
        <w:t xml:space="preserve">28. Fasching L, et al. </w:t>
      </w:r>
      <w:r>
        <w:rPr>
          <w:b w:val="false"/>
          <w:bCs w:val="false"/>
          <w:i/>
          <w:iCs/>
        </w:rPr>
        <w:t xml:space="preserve">RNA-seq mapping and structural variant interpretation.</w:t>
      </w:r>
      <w:r>
        <w:rPr>
          <w:b w:val="false"/>
          <w:bCs w:val="false"/>
          <w:i w:val="false"/>
          <w:iCs w:val="false"/>
        </w:rPr>
        <w:t xml:space="preserve"> </w:t>
      </w:r>
      <w:hyperlink w:history="1" r:id="rIdaslucswp6xqy1f6qq_ibk">
        <w:r>
          <w:rPr>
            <w:rStyle w:val="Hyperlink"/>
            <w:b w:val="false"/>
            <w:bCs w:val="false"/>
            <w:i w:val="false"/>
            <w:iCs w:val="false"/>
          </w:rPr>
          <w:t xml:space="preserve">https://pmc.ncbi.nlm.nih.gov/articles/PMC6868818/</w:t>
        </w:r>
      </w:hyperlink>
    </w:p>
    <w:p>
      <w:pPr>
        <w:spacing w:after="160"/>
        <w:ind w:left="360" w:hanging="360"/>
      </w:pPr>
      <w:r>
        <w:rPr>
          <w:b w:val="false"/>
          <w:bCs w:val="false"/>
          <w:i w:val="false"/>
          <w:iCs w:val="false"/>
        </w:rPr>
        <w:t xml:space="preserve">29. Integrative Genomics Viewer (IGV) [official website]. </w:t>
      </w:r>
      <w:hyperlink w:history="1" r:id="rIdag3rb9u13v4c2qyyburn_">
        <w:r>
          <w:rPr>
            <w:rStyle w:val="Hyperlink"/>
            <w:b w:val="false"/>
            <w:bCs w:val="false"/>
            <w:i w:val="false"/>
            <w:iCs w:val="false"/>
          </w:rPr>
          <w:t xml:space="preserve">https://igv.org</w:t>
        </w:r>
      </w:hyperlink>
    </w:p>
    <w:p>
      <w:pPr>
        <w:spacing w:after="160"/>
        <w:ind w:left="360" w:hanging="360"/>
      </w:pPr>
      <w:r>
        <w:rPr>
          <w:b w:val="false"/>
          <w:bCs w:val="false"/>
          <w:i w:val="false"/>
          <w:iCs w:val="false"/>
        </w:rPr>
        <w:t xml:space="preserve">30. Robinson JT, Thorvaldsdóttir H, Wenger AM, et al. </w:t>
      </w:r>
      <w:r>
        <w:rPr>
          <w:b w:val="false"/>
          <w:bCs w:val="false"/>
          <w:i/>
          <w:iCs/>
        </w:rPr>
        <w:t xml:space="preserve">Variant review with the Integrative Genomics Viewer (IGV).</w:t>
      </w:r>
      <w:r>
        <w:rPr>
          <w:b w:val="false"/>
          <w:bCs w:val="false"/>
          <w:i w:val="false"/>
          <w:iCs w:val="false"/>
        </w:rPr>
        <w:t xml:space="preserve"> Cancer Research. 2017. </w:t>
      </w:r>
      <w:hyperlink w:history="1" r:id="rIdc_zr9btw57jlg4sfaoxim">
        <w:r>
          <w:rPr>
            <w:rStyle w:val="Hyperlink"/>
            <w:b w:val="false"/>
            <w:bCs w:val="false"/>
            <w:i w:val="false"/>
            <w:iCs w:val="false"/>
          </w:rPr>
          <w:t xml:space="preserve">https://pmc.ncbi.nlm.nih.gov/articles/PMC5678989/</w:t>
        </w:r>
      </w:hyperlink>
    </w:p>
    <w:p>
      <w:pPr>
        <w:spacing w:after="160"/>
        <w:ind w:left="360" w:hanging="360"/>
      </w:pPr>
      <w:r>
        <w:rPr>
          <w:b w:val="false"/>
          <w:bCs w:val="false"/>
          <w:i w:val="false"/>
          <w:iCs w:val="false"/>
        </w:rPr>
        <w:t xml:space="preserve">31. Genomics England. </w:t>
      </w:r>
      <w:r>
        <w:rPr>
          <w:b w:val="false"/>
          <w:bCs w:val="false"/>
          <w:i/>
          <w:iCs/>
        </w:rPr>
        <w:t xml:space="preserve">Visualising Rare Disease – IGV Service Help.</w:t>
      </w:r>
      <w:r>
        <w:rPr>
          <w:b w:val="false"/>
          <w:bCs w:val="false"/>
          <w:i w:val="false"/>
          <w:iCs w:val="false"/>
        </w:rPr>
        <w:t xml:space="preserve"> </w:t>
      </w:r>
      <w:hyperlink w:history="1" r:id="rIdutjzlpjh-o3f8ubkov0-x">
        <w:r>
          <w:rPr>
            <w:rStyle w:val="Hyperlink"/>
            <w:b w:val="false"/>
            <w:bCs w:val="false"/>
            <w:i w:val="false"/>
            <w:iCs w:val="false"/>
          </w:rPr>
          <w:t xml:space="preserve">https://genomicsengland.gitlab.io/interpretation/igv-docs/Petra/rare-disease/</w:t>
        </w:r>
      </w:hyperlink>
    </w:p>
    <w:p>
      <w:pPr>
        <w:spacing w:after="160"/>
        <w:ind w:left="360" w:hanging="360"/>
      </w:pPr>
      <w:r>
        <w:rPr>
          <w:b w:val="false"/>
          <w:bCs w:val="false"/>
          <w:i w:val="false"/>
          <w:iCs w:val="false"/>
        </w:rPr>
        <w:t xml:space="preserve">32. Genomics England. </w:t>
      </w:r>
      <w:r>
        <w:rPr>
          <w:b w:val="false"/>
          <w:bCs w:val="false"/>
          <w:i/>
          <w:iCs/>
        </w:rPr>
        <w:t xml:space="preserve">Integrative Genome Viewer (IGV).</w:t>
      </w:r>
      <w:r>
        <w:rPr>
          <w:b w:val="false"/>
          <w:bCs w:val="false"/>
          <w:i w:val="false"/>
          <w:iCs w:val="false"/>
        </w:rPr>
        <w:t xml:space="preserve"> </w:t>
      </w:r>
      <w:hyperlink w:history="1" r:id="rIdauagl0dl8mylmtvry6oo2">
        <w:r>
          <w:rPr>
            <w:rStyle w:val="Hyperlink"/>
            <w:b w:val="false"/>
            <w:bCs w:val="false"/>
            <w:i w:val="false"/>
            <w:iCs w:val="false"/>
          </w:rPr>
          <w:t xml:space="preserve">https://re-docs.genomicsengland.co.uk/igv/</w:t>
        </w:r>
      </w:hyperlink>
    </w:p>
    <w:p>
      <w:pPr>
        <w:spacing w:after="160"/>
        <w:ind w:left="360" w:hanging="360"/>
      </w:pPr>
      <w:r>
        <w:rPr>
          <w:b w:val="false"/>
          <w:bCs w:val="false"/>
          <w:i w:val="false"/>
          <w:iCs w:val="false"/>
        </w:rPr>
        <w:t xml:space="preserve">33. Genomics England Interpretation Portal Help. </w:t>
      </w:r>
      <w:r>
        <w:rPr>
          <w:b w:val="false"/>
          <w:bCs w:val="false"/>
          <w:i/>
          <w:iCs/>
        </w:rPr>
        <w:t xml:space="preserve">Using IGV.</w:t>
      </w:r>
      <w:r>
        <w:rPr>
          <w:b w:val="false"/>
          <w:bCs w:val="false"/>
          <w:i w:val="false"/>
          <w:iCs w:val="false"/>
        </w:rPr>
        <w:t xml:space="preserve"> </w:t>
      </w:r>
      <w:hyperlink w:history="1" r:id="rIdot2grxegyjlzkk357j860">
        <w:r>
          <w:rPr>
            <w:rStyle w:val="Hyperlink"/>
            <w:b w:val="false"/>
            <w:bCs w:val="false"/>
            <w:i w:val="false"/>
            <w:iCs w:val="false"/>
          </w:rPr>
          <w:t xml:space="preserve">https://ip-portal-help.genomicsengland.co.uk/1.1/GMS-Interpretation-Portal/gms_more_igv/</w:t>
        </w:r>
      </w:hyperlink>
    </w:p>
    <w:p>
      <w:pPr>
        <w:spacing w:after="160"/>
        <w:ind w:left="360" w:hanging="360"/>
      </w:pPr>
      <w:r>
        <w:rPr>
          <w:b w:val="false"/>
          <w:bCs w:val="false"/>
          <w:i w:val="false"/>
          <w:iCs w:val="false"/>
        </w:rPr>
        <w:t xml:space="preserve">34. IGV GitHub issue. </w:t>
      </w:r>
      <w:r>
        <w:rPr>
          <w:b w:val="false"/>
          <w:bCs w:val="false"/>
          <w:i/>
          <w:iCs/>
        </w:rPr>
        <w:t xml:space="preserve">Suggestions for viewing long-read structural variant data.</w:t>
      </w:r>
      <w:r>
        <w:rPr>
          <w:b w:val="false"/>
          <w:bCs w:val="false"/>
          <w:i w:val="false"/>
          <w:iCs w:val="false"/>
        </w:rPr>
        <w:t xml:space="preserve"> </w:t>
      </w:r>
      <w:hyperlink w:history="1" r:id="rIdxrj2kw8aiisot4efjl_cn">
        <w:r>
          <w:rPr>
            <w:rStyle w:val="Hyperlink"/>
            <w:b w:val="false"/>
            <w:bCs w:val="false"/>
            <w:i w:val="false"/>
            <w:iCs w:val="false"/>
          </w:rPr>
          <w:t xml:space="preserve">https://github.com/igvteam/igv/issues/632</w:t>
        </w:r>
      </w:hyperlink>
    </w:p>
    <w:p>
      <w:pPr>
        <w:spacing w:after="160"/>
        <w:ind w:left="360" w:hanging="360"/>
      </w:pPr>
      <w:r>
        <w:rPr>
          <w:b w:val="false"/>
          <w:bCs w:val="false"/>
          <w:i w:val="false"/>
          <w:iCs w:val="false"/>
        </w:rPr>
        <w:t xml:space="preserve">35. PacBio. </w:t>
      </w:r>
      <w:r>
        <w:rPr>
          <w:b w:val="false"/>
          <w:bCs w:val="false"/>
          <w:i/>
          <w:iCs/>
        </w:rPr>
        <w:t xml:space="preserve">IGV 3 improves support for PacBio long reads</w:t>
      </w:r>
      <w:r>
        <w:rPr>
          <w:b w:val="false"/>
          <w:bCs w:val="false"/>
          <w:i w:val="false"/>
          <w:iCs w:val="false"/>
        </w:rPr>
        <w:t xml:space="preserve"> [blog]. </w:t>
      </w:r>
      <w:hyperlink w:history="1" r:id="rIdevpv0azieddke4pxw3a8-">
        <w:r>
          <w:rPr>
            <w:rStyle w:val="Hyperlink"/>
            <w:b w:val="false"/>
            <w:bCs w:val="false"/>
            <w:i w:val="false"/>
            <w:iCs w:val="false"/>
          </w:rPr>
          <w:t xml:space="preserve">https://www.pacb.com/blog/igv-3-improves-support-pacbio-long-reads/</w:t>
        </w:r>
      </w:hyperlink>
    </w:p>
    <w:p>
      <w:pPr>
        <w:spacing w:after="160"/>
        <w:ind w:left="360" w:hanging="360"/>
      </w:pPr>
      <w:r>
        <w:rPr>
          <w:b w:val="false"/>
          <w:bCs w:val="false"/>
          <w:i w:val="false"/>
          <w:iCs w:val="false"/>
        </w:rPr>
        <w:t xml:space="preserve">36. Richmond PA, et al. </w:t>
      </w:r>
      <w:r>
        <w:rPr>
          <w:b w:val="false"/>
          <w:bCs w:val="false"/>
          <w:i/>
          <w:iCs/>
        </w:rPr>
        <w:t xml:space="preserve">GeneBreaker: variant simulation to improve the diagnosis of Mendelian rare genetic diseases.</w:t>
      </w:r>
      <w:r>
        <w:rPr>
          <w:b w:val="false"/>
          <w:bCs w:val="false"/>
          <w:i w:val="false"/>
          <w:iCs w:val="false"/>
        </w:rPr>
        <w:t xml:space="preserve"> </w:t>
      </w:r>
      <w:hyperlink w:history="1" r:id="rIdh0t5crconnur-nhnhhjjm">
        <w:r>
          <w:rPr>
            <w:rStyle w:val="Hyperlink"/>
            <w:b w:val="false"/>
            <w:bCs w:val="false"/>
            <w:i w:val="false"/>
            <w:iCs w:val="false"/>
          </w:rPr>
          <w:t xml:space="preserve">https://pubmed.ncbi.nlm.nih.gov/33368787/</w:t>
        </w:r>
      </w:hyperlink>
    </w:p>
    <w:p>
      <w:pPr>
        <w:spacing w:after="160"/>
        <w:ind w:left="360" w:hanging="360"/>
      </w:pPr>
      <w:r>
        <w:rPr>
          <w:b w:val="false"/>
          <w:bCs w:val="false"/>
          <w:i w:val="false"/>
          <w:iCs w:val="false"/>
        </w:rPr>
        <w:t xml:space="preserve">37. </w:t>
      </w:r>
      <w:r>
        <w:rPr>
          <w:b w:val="false"/>
          <w:bCs w:val="false"/>
          <w:i/>
          <w:iCs/>
        </w:rPr>
        <w:t xml:space="preserve">GeneBreaker</w:t>
      </w:r>
      <w:r>
        <w:rPr>
          <w:b w:val="false"/>
          <w:bCs w:val="false"/>
          <w:i w:val="false"/>
          <w:iCs w:val="false"/>
        </w:rPr>
        <w:t xml:space="preserve"> [software]. GitHub repository. </w:t>
      </w:r>
      <w:hyperlink w:history="1" r:id="rIdjzvqvi7rpedmdq6hlcahs">
        <w:r>
          <w:rPr>
            <w:rStyle w:val="Hyperlink"/>
            <w:b w:val="false"/>
            <w:bCs w:val="false"/>
            <w:i w:val="false"/>
            <w:iCs w:val="false"/>
          </w:rPr>
          <w:t xml:space="preserve">https://github.com/wassermanlab/GeneBreaker</w:t>
        </w:r>
      </w:hyperlink>
    </w:p>
    <w:p>
      <w:pPr>
        <w:spacing w:after="160"/>
        <w:ind w:left="360" w:hanging="360"/>
      </w:pPr>
      <w:r>
        <w:rPr>
          <w:b w:val="false"/>
          <w:bCs w:val="false"/>
          <w:i w:val="false"/>
          <w:iCs w:val="false"/>
        </w:rPr>
        <w:t xml:space="preserve">38. </w:t>
      </w:r>
      <w:r>
        <w:rPr>
          <w:b w:val="false"/>
          <w:bCs w:val="false"/>
          <w:i/>
          <w:iCs/>
        </w:rPr>
        <w:t xml:space="preserve">simuG: a general-purpose genome simulator.</w:t>
      </w:r>
      <w:r>
        <w:rPr>
          <w:b w:val="false"/>
          <w:bCs w:val="false"/>
          <w:i w:val="false"/>
          <w:iCs w:val="false"/>
        </w:rPr>
        <w:t xml:space="preserve"> GigaScience. </w:t>
      </w:r>
      <w:hyperlink w:history="1" r:id="rIdjionvimqfufpnehcxh2bk">
        <w:r>
          <w:rPr>
            <w:rStyle w:val="Hyperlink"/>
            <w:b w:val="false"/>
            <w:bCs w:val="false"/>
            <w:i w:val="false"/>
            <w:iCs w:val="false"/>
          </w:rPr>
          <w:t xml:space="preserve">https://academic.oup.com/gigascience/article/doi/10.1093/gigascience/giaf095/8244708</w:t>
        </w:r>
      </w:hyperlink>
    </w:p>
    <w:p>
      <w:pPr>
        <w:spacing w:after="160"/>
        <w:ind w:left="360" w:hanging="360"/>
      </w:pPr>
      <w:r>
        <w:rPr>
          <w:b w:val="false"/>
          <w:bCs w:val="false"/>
          <w:i w:val="false"/>
          <w:iCs w:val="false"/>
        </w:rPr>
        <w:t xml:space="preserve">39. </w:t>
      </w:r>
      <w:r>
        <w:rPr>
          <w:b w:val="false"/>
          <w:bCs w:val="false"/>
          <w:i/>
          <w:iCs/>
        </w:rPr>
        <w:t xml:space="preserve">simuG</w:t>
      </w:r>
      <w:r>
        <w:rPr>
          <w:b w:val="false"/>
          <w:bCs w:val="false"/>
          <w:i w:val="false"/>
          <w:iCs w:val="false"/>
        </w:rPr>
        <w:t xml:space="preserve"> [software]. GitHub repository. </w:t>
      </w:r>
      <w:hyperlink w:history="1" r:id="rIdnvnoxeqfldgm50gecogjz">
        <w:r>
          <w:rPr>
            <w:rStyle w:val="Hyperlink"/>
            <w:b w:val="false"/>
            <w:bCs w:val="false"/>
            <w:i w:val="false"/>
            <w:iCs w:val="false"/>
          </w:rPr>
          <w:t xml:space="preserve">https://github.com/yjx1217/simuG</w:t>
        </w:r>
      </w:hyperlink>
    </w:p>
    <w:p>
      <w:pPr>
        <w:spacing w:after="160"/>
        <w:ind w:left="360" w:hanging="360"/>
      </w:pPr>
      <w:r>
        <w:rPr>
          <w:b w:val="false"/>
          <w:bCs w:val="false"/>
          <w:i w:val="false"/>
          <w:iCs w:val="false"/>
        </w:rPr>
        <w:t xml:space="preserve">40. Preikšaitienė E, Tumienė B, Maldžienė Ž, et al. </w:t>
      </w:r>
      <w:r>
        <w:rPr>
          <w:b w:val="false"/>
          <w:bCs w:val="false"/>
          <w:i/>
          <w:iCs/>
        </w:rPr>
        <w:t xml:space="preserve">Features of KAT6B-related disorders in a patient with 10q22.1q22.3 deletion.</w:t>
      </w:r>
      <w:r>
        <w:rPr>
          <w:b w:val="false"/>
          <w:bCs w:val="false"/>
          <w:i w:val="false"/>
          <w:iCs w:val="false"/>
        </w:rPr>
        <w:t xml:space="preserve"> Ophthalmic Genetics. 2016. DOI: 10.1080/13816810.2016.1227452</w:t>
      </w:r>
    </w:p>
    <w:p>
      <w:pPr>
        <w:spacing w:after="160"/>
        <w:ind w:left="360" w:hanging="360"/>
      </w:pPr>
      <w:r>
        <w:rPr>
          <w:b w:val="false"/>
          <w:bCs w:val="false"/>
          <w:i w:val="false"/>
          <w:iCs w:val="false"/>
        </w:rPr>
        <w:t xml:space="preserve">41. Krusche P, Trigg L, et al. </w:t>
      </w:r>
      <w:r>
        <w:rPr>
          <w:b w:val="false"/>
          <w:bCs w:val="false"/>
          <w:i/>
          <w:iCs/>
        </w:rPr>
        <w:t xml:space="preserve">Best practices for benchmarking germline small-variant calls in human genomes.</w:t>
      </w:r>
      <w:r>
        <w:rPr>
          <w:b w:val="false"/>
          <w:bCs w:val="false"/>
          <w:i w:val="false"/>
          <w:iCs w:val="false"/>
        </w:rPr>
        <w:t xml:space="preserve"> </w:t>
      </w:r>
      <w:hyperlink w:history="1" r:id="rIdiuv-6baupdhtoook34yih">
        <w:r>
          <w:rPr>
            <w:rStyle w:val="Hyperlink"/>
            <w:b w:val="false"/>
            <w:bCs w:val="false"/>
            <w:i w:val="false"/>
            <w:iCs w:val="false"/>
          </w:rPr>
          <w:t xml:space="preserve">https://pmc.ncbi.nlm.nih.gov/articles/PMC6699627/</w:t>
        </w:r>
      </w:hyperlink>
    </w:p>
    <w:p>
      <w:pPr>
        <w:spacing w:after="160"/>
        <w:ind w:left="360" w:hanging="360"/>
      </w:pPr>
      <w:r>
        <w:rPr>
          <w:b w:val="false"/>
          <w:bCs w:val="false"/>
          <w:i w:val="false"/>
          <w:iCs w:val="false"/>
        </w:rPr>
        <w:t xml:space="preserve">42. Global Alliance for Genomics and Health (GA4GH). </w:t>
      </w:r>
      <w:r>
        <w:rPr>
          <w:b w:val="false"/>
          <w:bCs w:val="false"/>
          <w:i/>
          <w:iCs/>
        </w:rPr>
        <w:t xml:space="preserve">Variant Benchmarking Tools.</w:t>
      </w:r>
      <w:r>
        <w:rPr>
          <w:b w:val="false"/>
          <w:bCs w:val="false"/>
          <w:i w:val="false"/>
          <w:iCs w:val="false"/>
        </w:rPr>
        <w:t xml:space="preserve"> </w:t>
      </w:r>
      <w:hyperlink w:history="1" r:id="rIdt55cmoigft-ry_dz3iouj">
        <w:r>
          <w:rPr>
            <w:rStyle w:val="Hyperlink"/>
            <w:b w:val="false"/>
            <w:bCs w:val="false"/>
            <w:i w:val="false"/>
            <w:iCs w:val="false"/>
          </w:rPr>
          <w:t xml:space="preserve">https://www.ga4gh.org/product/variant-benchmarking-tools/</w:t>
        </w:r>
      </w:hyperlink>
    </w:p>
    <w:p>
      <w:pPr>
        <w:spacing w:after="160"/>
        <w:ind w:left="360" w:hanging="360"/>
      </w:pPr>
      <w:r>
        <w:rPr>
          <w:b w:val="false"/>
          <w:bCs w:val="false"/>
          <w:i w:val="false"/>
          <w:iCs w:val="false"/>
        </w:rPr>
        <w:t xml:space="preserve">43. Ladewig E, et al. </w:t>
      </w:r>
      <w:r>
        <w:rPr>
          <w:b w:val="false"/>
          <w:bCs w:val="false"/>
          <w:i/>
          <w:iCs/>
        </w:rPr>
        <w:t xml:space="preserve">GA4GH Phenopackets: a practical introduction.</w:t>
      </w:r>
      <w:r>
        <w:rPr>
          <w:b w:val="false"/>
          <w:bCs w:val="false"/>
          <w:i w:val="false"/>
          <w:iCs w:val="false"/>
        </w:rPr>
        <w:t xml:space="preserve"> </w:t>
      </w:r>
      <w:hyperlink w:history="1" r:id="rIdui4ffkno5kxmcp9d5fuaj">
        <w:r>
          <w:rPr>
            <w:rStyle w:val="Hyperlink"/>
            <w:b w:val="false"/>
            <w:bCs w:val="false"/>
            <w:i w:val="false"/>
            <w:iCs w:val="false"/>
          </w:rPr>
          <w:t xml:space="preserve">https://pubmed.ncbi.nlm.nih.gov/35705716/</w:t>
        </w:r>
      </w:hyperlink>
    </w:p>
    <w:p>
      <w:pPr>
        <w:spacing w:after="160"/>
        <w:ind w:left="360" w:hanging="360"/>
      </w:pPr>
      <w:r>
        <w:rPr>
          <w:b w:val="false"/>
          <w:bCs w:val="false"/>
          <w:i w:val="false"/>
          <w:iCs w:val="false"/>
        </w:rPr>
        <w:t xml:space="preserve">44. </w:t>
      </w:r>
      <w:r>
        <w:rPr>
          <w:b w:val="false"/>
          <w:bCs w:val="false"/>
          <w:i/>
          <w:iCs/>
        </w:rPr>
        <w:t xml:space="preserve">A corpus of GA4GH phenopackets for case-level phenotyping.</w:t>
      </w:r>
      <w:r>
        <w:rPr>
          <w:b w:val="false"/>
          <w:bCs w:val="false"/>
          <w:i w:val="false"/>
          <w:iCs w:val="false"/>
        </w:rPr>
        <w:t xml:space="preserve"> </w:t>
      </w:r>
      <w:hyperlink w:history="1" r:id="rIdpt9ock2grutrqeqn94lef">
        <w:r>
          <w:rPr>
            <w:rStyle w:val="Hyperlink"/>
            <w:b w:val="false"/>
            <w:bCs w:val="false"/>
            <w:i w:val="false"/>
            <w:iCs w:val="false"/>
          </w:rPr>
          <w:t xml:space="preserve">https://pmc.ncbi.nlm.nih.gov/articles/PMC11564936/</w:t>
        </w:r>
      </w:hyperlink>
    </w:p>
    <w:p>
      <w:pPr>
        <w:spacing w:after="160"/>
        <w:ind w:left="360" w:hanging="360"/>
      </w:pPr>
      <w:r>
        <w:rPr>
          <w:b w:val="false"/>
          <w:bCs w:val="false"/>
          <w:i w:val="false"/>
          <w:iCs w:val="false"/>
        </w:rPr>
        <w:t xml:space="preserve">45. Eilbeck K, Quinlan A, Yandell M. </w:t>
      </w:r>
      <w:r>
        <w:rPr>
          <w:b w:val="false"/>
          <w:bCs w:val="false"/>
          <w:i/>
          <w:iCs/>
        </w:rPr>
        <w:t xml:space="preserve">Settling the score: variant prioritization and Mendelian disease.</w:t>
      </w:r>
      <w:r>
        <w:rPr>
          <w:b w:val="false"/>
          <w:bCs w:val="false"/>
          <w:i w:val="false"/>
          <w:iCs w:val="false"/>
        </w:rPr>
        <w:t xml:space="preserve"> Nature Reviews Genetics. 2017. DOI: 10.1038/nrg.2017.52</w:t>
      </w:r>
    </w:p>
    <w:p>
      <w:pPr>
        <w:spacing w:after="160"/>
        <w:ind w:left="360" w:hanging="360"/>
      </w:pPr>
      <w:r>
        <w:rPr>
          <w:b w:val="false"/>
          <w:bCs w:val="false"/>
          <w:i w:val="false"/>
          <w:iCs w:val="false"/>
        </w:rPr>
        <w:t xml:space="preserve">46. Mao D, Liu C, Wang L, et al. </w:t>
      </w:r>
      <w:r>
        <w:rPr>
          <w:b w:val="false"/>
          <w:bCs w:val="false"/>
          <w:i/>
          <w:iCs/>
        </w:rPr>
        <w:t xml:space="preserve">AI-MARRVEL — A Knowledge-Driven AI System for Diagnosing Mendelian Disorders.</w:t>
      </w:r>
      <w:r>
        <w:rPr>
          <w:b w:val="false"/>
          <w:bCs w:val="false"/>
          <w:i w:val="false"/>
          <w:iCs w:val="false"/>
        </w:rPr>
        <w:t xml:space="preserve"> NEJM AI. 2024. DOI: 10.1056/aioa2300009</w:t>
      </w:r>
    </w:p>
    <w:p>
      <w:pPr>
        <w:spacing w:after="160"/>
        <w:ind w:left="360" w:hanging="360"/>
      </w:pPr>
      <w:r>
        <w:rPr>
          <w:b w:val="false"/>
          <w:bCs w:val="false"/>
          <w:i w:val="false"/>
          <w:iCs w:val="false"/>
        </w:rPr>
        <w:t xml:space="preserve">47. Everton Z, Botas J, Kim SY, et al. </w:t>
      </w:r>
      <w:r>
        <w:rPr>
          <w:b w:val="false"/>
          <w:bCs w:val="false"/>
          <w:i/>
          <w:iCs/>
        </w:rPr>
        <w:t xml:space="preserve">MARRVEL-MCP: An agentic interface for Mendelian disease discovery via tool-augmented context engineering.</w:t>
      </w:r>
      <w:r>
        <w:rPr>
          <w:b w:val="false"/>
          <w:bCs w:val="false"/>
          <w:i w:val="false"/>
          <w:iCs w:val="false"/>
        </w:rPr>
        <w:t xml:space="preserve"> The American Journal of Human Genetics. 2026. DOI: 10.1016/j.ajhg.2026.04.012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80" w:before="0"/>
    </w:pPr>
    <w:rPr>
      <w:rFonts w:ascii="Arial" w:cs="Arial" w:eastAsia="Arial" w:hAnsi="Arial"/>
      <w:b/>
      <w:bCs/>
      <w:sz w:val="40"/>
      <w:szCs w:val="40"/>
    </w:rPr>
  </w:style>
  <w:style w:type="paragraph" w:styleId="Heading1">
    <w:name w:val="Heading 1"/>
    <w:basedOn w:val="Normal"/>
    <w:next w:val="Normal"/>
    <w:qFormat/>
    <w:pPr>
      <w:spacing w:after="200" w:before="36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m5el2hwukkgxdrrukq9s" Type="http://schemas.openxmlformats.org/officeDocument/2006/relationships/hyperlink" Target="https://pmc.ncbi.nlm.nih.gov/articles/PMC6546127/" TargetMode="External"/><Relationship Id="rId-xgcvwiqowodl2_rh2isc" Type="http://schemas.openxmlformats.org/officeDocument/2006/relationships/hyperlink" Target="https://docs.varsome.com/en/phenotype-matching" TargetMode="External"/><Relationship Id="rIdmeiglt8fwwzt11osg2i21" Type="http://schemas.openxmlformats.org/officeDocument/2006/relationships/hyperlink" Target="https://news.varsome.com/en/structural-variants-browser" TargetMode="External"/><Relationship Id="rIdy_85ypmatcaaxj6071igz" Type="http://schemas.openxmlformats.org/officeDocument/2006/relationships/hyperlink" Target="https://docs.varsome.com/en/varsome-picks" TargetMode="External"/><Relationship Id="rIdwl3zcs5kowmxtlmrv2xdp" Type="http://schemas.openxmlformats.org/officeDocument/2006/relationships/hyperlink" Target="https://www.sophiagenetics.com/sophia-ddm-for-genomics/alamut-visual-plus/" TargetMode="External"/><Relationship Id="rIdt-gbyfc1bhmr5etvsgxyo" Type="http://schemas.openxmlformats.org/officeDocument/2006/relationships/hyperlink" Target="https://www.interactive-biosoftware.com/en/acmg-guidelines/" TargetMode="External"/><Relationship Id="rId1ulprw-pkj3xx0hkqxrf7" Type="http://schemas.openxmlformats.org/officeDocument/2006/relationships/hyperlink" Target="https://help.genoox.com/en/articles/4444301-franklin-s-ai-based-variant-prioritization-engine" TargetMode="External"/><Relationship Id="rIdn0v2h99l_fw2omgg9c3se" Type="http://schemas.openxmlformats.org/officeDocument/2006/relationships/hyperlink" Target="https://help.genoox.com/en/articles/4362851-genes-and-regions" TargetMode="External"/><Relationship Id="rId83bkmac9un2hi01p0vj0e" Type="http://schemas.openxmlformats.org/officeDocument/2006/relationships/hyperlink" Target="https://enlightenbio.com/news-and-features/2018/01/01/genomenons-automated-genomic-search-engine-mastermind-illuminates-current-trends-in-genomic-literature/" TargetMode="External"/><Relationship Id="rId3ttipy5mfybxivmlbmqqw" Type="http://schemas.openxmlformats.org/officeDocument/2006/relationships/hyperlink" Target="https://doi.org/10.1093/nar/gkz1021" TargetMode="External"/><Relationship Id="rIdhk5bolxe8s3d_l5atgnan" Type="http://schemas.openxmlformats.org/officeDocument/2006/relationships/hyperlink" Target="https://academic.oup.com/database/article/doi/10.1093/database/baae122/7951612" TargetMode="External"/><Relationship Id="rIdogrc1ffl_8tmehdnjs_vs" Type="http://schemas.openxmlformats.org/officeDocument/2006/relationships/hyperlink" Target="https://exomiser.readthedocs.io/en/14.1.0/sv_prioritisation.html" TargetMode="External"/><Relationship Id="rIdswobdzrwxxrys2k480q1u" Type="http://schemas.openxmlformats.org/officeDocument/2006/relationships/hyperlink" Target="https://doi.org/10.3390/genes11040460" TargetMode="External"/><Relationship Id="rIdm8glf1ozku9g9_wdlxjog" Type="http://schemas.openxmlformats.org/officeDocument/2006/relationships/hyperlink" Target="https://www.lucid-genomics.com/platform" TargetMode="External"/><Relationship Id="rIdqvfirndu9fnmwfl4zjarp" Type="http://schemas.openxmlformats.org/officeDocument/2006/relationships/hyperlink" Target="https://www.lucid-genomics.com/home-1" TargetMode="External"/><Relationship Id="rIdywoqwqoxk2qlvuaididyx" Type="http://schemas.openxmlformats.org/officeDocument/2006/relationships/hyperlink" Target="https://pmc.ncbi.nlm.nih.gov/articles/PMC7058534/" TargetMode="External"/><Relationship Id="rIdnkdps5rjsp9rzesm91wpf" Type="http://schemas.openxmlformats.org/officeDocument/2006/relationships/hyperlink" Target="https://pmc.ncbi.nlm.nih.gov/articles/PMC3638133/" TargetMode="External"/><Relationship Id="rIddwdjypjtqq2fdoryh29yd" Type="http://schemas.openxmlformats.org/officeDocument/2006/relationships/hyperlink" Target="https://pmc.ncbi.nlm.nih.gov/articles/PMC3999944/" TargetMode="External"/><Relationship Id="rIdozbuzi9fgzqv4yddcalln" Type="http://schemas.openxmlformats.org/officeDocument/2006/relationships/hyperlink" Target="https://pmc.ncbi.nlm.nih.gov/articles/PMC4117757/" TargetMode="External"/><Relationship Id="rIdtv59bxstupk99rnka-uop" Type="http://schemas.openxmlformats.org/officeDocument/2006/relationships/hyperlink" Target="https://pmc.ncbi.nlm.nih.gov/articles/PMC8147837/" TargetMode="External"/><Relationship Id="rIdb-m03yjpfvf-gbky2220d" Type="http://schemas.openxmlformats.org/officeDocument/2006/relationships/hyperlink" Target="https://www.frontiersin.org/journals/genetics/articles/10.3389/fgene.2024.1358334/full" TargetMode="External"/><Relationship Id="rIdndrxftpqs_6eqsmnlskyj" Type="http://schemas.openxmlformats.org/officeDocument/2006/relationships/hyperlink" Target="https://pubmed.ncbi.nlm.nih.gov/31908979/" TargetMode="External"/><Relationship Id="rIdtktrmwhdor_i2xaxn-cqd" Type="http://schemas.openxmlformats.org/officeDocument/2006/relationships/hyperlink" Target="https://pubmed.ncbi.nlm.nih.gov/36893740/" TargetMode="External"/><Relationship Id="rIdkdaqy3rpgheyz-qcb3uw1" Type="http://schemas.openxmlformats.org/officeDocument/2006/relationships/hyperlink" Target="https://pubmed.ncbi.nlm.nih.gov/30006036/" TargetMode="External"/><Relationship Id="rIdhcdiwcmabgkem-q65n-24" Type="http://schemas.openxmlformats.org/officeDocument/2006/relationships/hyperlink" Target="https://pubmed.ncbi.nlm.nih.gov/20236111/" TargetMode="External"/><Relationship Id="rIdybuq8rjy1ndagxe-m2vt4" Type="http://schemas.openxmlformats.org/officeDocument/2006/relationships/hyperlink" Target="https://github.com/parklab/ShatterSeek" TargetMode="External"/><Relationship Id="rIdau1ahlexwjxgb2hh3ntgo" Type="http://schemas.openxmlformats.org/officeDocument/2006/relationships/hyperlink" Target="https://pmc.ncbi.nlm.nih.gov/articles/PMC10684511/" TargetMode="External"/><Relationship Id="rIdaslucswp6xqy1f6qq_ibk" Type="http://schemas.openxmlformats.org/officeDocument/2006/relationships/hyperlink" Target="https://pmc.ncbi.nlm.nih.gov/articles/PMC6868818/" TargetMode="External"/><Relationship Id="rIdag3rb9u13v4c2qyyburn_" Type="http://schemas.openxmlformats.org/officeDocument/2006/relationships/hyperlink" Target="https://igv.org" TargetMode="External"/><Relationship Id="rIdc_zr9btw57jlg4sfaoxim" Type="http://schemas.openxmlformats.org/officeDocument/2006/relationships/hyperlink" Target="https://pmc.ncbi.nlm.nih.gov/articles/PMC5678989/" TargetMode="External"/><Relationship Id="rIdutjzlpjh-o3f8ubkov0-x" Type="http://schemas.openxmlformats.org/officeDocument/2006/relationships/hyperlink" Target="https://genomicsengland.gitlab.io/interpretation/igv-docs/Petra/rare-disease/" TargetMode="External"/><Relationship Id="rIdauagl0dl8mylmtvry6oo2" Type="http://schemas.openxmlformats.org/officeDocument/2006/relationships/hyperlink" Target="https://re-docs.genomicsengland.co.uk/igv/" TargetMode="External"/><Relationship Id="rIdot2grxegyjlzkk357j860" Type="http://schemas.openxmlformats.org/officeDocument/2006/relationships/hyperlink" Target="https://ip-portal-help.genomicsengland.co.uk/1.1/GMS-Interpretation-Portal/gms_more_igv/" TargetMode="External"/><Relationship Id="rIdxrj2kw8aiisot4efjl_cn" Type="http://schemas.openxmlformats.org/officeDocument/2006/relationships/hyperlink" Target="https://github.com/igvteam/igv/issues/632" TargetMode="External"/><Relationship Id="rIdevpv0azieddke4pxw3a8-" Type="http://schemas.openxmlformats.org/officeDocument/2006/relationships/hyperlink" Target="https://www.pacb.com/blog/igv-3-improves-support-pacbio-long-reads/" TargetMode="External"/><Relationship Id="rIdh0t5crconnur-nhnhhjjm" Type="http://schemas.openxmlformats.org/officeDocument/2006/relationships/hyperlink" Target="https://pubmed.ncbi.nlm.nih.gov/33368787/" TargetMode="External"/><Relationship Id="rIdjzvqvi7rpedmdq6hlcahs" Type="http://schemas.openxmlformats.org/officeDocument/2006/relationships/hyperlink" Target="https://github.com/wassermanlab/GeneBreaker" TargetMode="External"/><Relationship Id="rIdjionvimqfufpnehcxh2bk" Type="http://schemas.openxmlformats.org/officeDocument/2006/relationships/hyperlink" Target="https://academic.oup.com/gigascience/article/doi/10.1093/gigascience/giaf095/8244708" TargetMode="External"/><Relationship Id="rIdnvnoxeqfldgm50gecogjz" Type="http://schemas.openxmlformats.org/officeDocument/2006/relationships/hyperlink" Target="https://github.com/yjx1217/simuG" TargetMode="External"/><Relationship Id="rIdiuv-6baupdhtoook34yih" Type="http://schemas.openxmlformats.org/officeDocument/2006/relationships/hyperlink" Target="https://pmc.ncbi.nlm.nih.gov/articles/PMC6699627/" TargetMode="External"/><Relationship Id="rIdt55cmoigft-ry_dz3iouj" Type="http://schemas.openxmlformats.org/officeDocument/2006/relationships/hyperlink" Target="https://www.ga4gh.org/product/variant-benchmarking-tools/" TargetMode="External"/><Relationship Id="rIdui4ffkno5kxmcp9d5fuaj" Type="http://schemas.openxmlformats.org/officeDocument/2006/relationships/hyperlink" Target="https://pubmed.ncbi.nlm.nih.gov/35705716/" TargetMode="External"/><Relationship Id="rIdpt9ock2grutrqeqn94lef" Type="http://schemas.openxmlformats.org/officeDocument/2006/relationships/hyperlink" Target="https://pmc.ncbi.nlm.nih.gov/articles/PMC11564936/"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2026-08-13T11:05:32.544Z</dcterms:created>
  <dcterms:modified xsi:type="dcterms:W3CDTF">2026-08-13T11:05:32.544Z</dcterms:modified>
</cp:coreProperties>
</file>

<file path=docProps/custom.xml><?xml version="1.0" encoding="utf-8"?>
<Properties xmlns="http://schemas.openxmlformats.org/officeDocument/2006/custom-properties" xmlns:vt="http://schemas.openxmlformats.org/officeDocument/2006/docPropsVTypes"/>
</file>