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200"/>
        <w:jc w:val="center"/>
      </w:pPr>
      <w:r>
        <w:rPr>
          <w:rFonts w:ascii="Arial" w:cs="Arial" w:eastAsia="Arial" w:hAnsi="Arial"/>
          <w:b/>
          <w:bCs/>
          <w:color w:val="1E2556"/>
          <w:sz w:val="52"/>
          <w:szCs w:val="52"/>
        </w:rPr>
        <w:t xml:space="preserve">SEO Migration Command Center</w:t>
      </w:r>
    </w:p>
    <w:p>
      <w:pPr>
        <w:spacing w:before="0" w:after="120"/>
        <w:jc w:val="center"/>
      </w:pPr>
      <w:r>
        <w:rPr>
          <w:rFonts w:ascii="Arial" w:cs="Arial" w:eastAsia="Arial" w:hAnsi="Arial"/>
          <w:color w:val="007AC9"/>
          <w:sz w:val="32"/>
          <w:szCs w:val="32"/>
        </w:rPr>
        <w:t xml:space="preserve">Application Specification Document</w:t>
      </w:r>
    </w:p>
    <w:p>
      <w:pPr>
        <w:pBdr>
          <w:bottom w:val="single" w:color="31AB46" w:sz="6" w:space="16"/>
        </w:pBdr>
        <w:spacing w:before="0" w:after="400"/>
        <w:jc w:val="center"/>
      </w:pPr>
    </w:p>
    <w:p>
      <w:pPr>
        <w:spacing w:before="200" w:after="80"/>
        <w:jc w:val="center"/>
      </w:pPr>
      <w:r>
        <w:rPr>
          <w:rFonts w:ascii="Arial" w:cs="Arial" w:eastAsia="Arial" w:hAnsi="Arial"/>
          <w:color w:val="2E2E2E"/>
          <w:sz w:val="24"/>
          <w:szCs w:val="24"/>
        </w:rPr>
        <w:t xml:space="preserve">insightsoftware Web Evolution Project</w:t>
      </w:r>
    </w:p>
    <w:p>
      <w:pPr>
        <w:spacing w:before="0" w:after="80"/>
        <w:jc w:val="center"/>
      </w:pPr>
      <w:r>
        <w:rPr>
          <w:rFonts w:ascii="Arial" w:cs="Arial" w:eastAsia="Arial" w:hAnsi="Arial"/>
          <w:color w:val="2E2E2E"/>
          <w:sz w:val="24"/>
          <w:szCs w:val="24"/>
        </w:rPr>
        <w:t xml:space="preserve">WordPress → Astro + Storyblok + Vercel Migration</w:t>
      </w:r>
    </w:p>
    <w:p>
      <w:pPr>
        <w:spacing w:before="200" w:after="80"/>
        <w:jc w:val="center"/>
      </w:pPr>
      <w:r>
        <w:rPr>
          <w:rFonts w:ascii="Arial" w:cs="Arial" w:eastAsia="Arial" w:hAnsi="Arial"/>
          <w:color w:val="2E2E2E"/>
          <w:sz w:val="22"/>
          <w:szCs w:val="22"/>
        </w:rPr>
        <w:t xml:space="preserve">Author: Michael Williams | SEO/AEO Lead</w:t>
      </w:r>
    </w:p>
    <w:p>
      <w:pPr>
        <w:spacing w:before="0" w:after="80"/>
        <w:jc w:val="center"/>
      </w:pPr>
      <w:r>
        <w:rPr>
          <w:rFonts w:ascii="Arial" w:cs="Arial" w:eastAsia="Arial" w:hAnsi="Arial"/>
          <w:color w:val="2E2E2E"/>
          <w:sz w:val="22"/>
          <w:szCs w:val="22"/>
        </w:rPr>
        <w:t xml:space="preserve">Date: March 2026</w:t>
      </w:r>
    </w:p>
    <w:p>
      <w:pPr>
        <w:spacing w:before="0" w:after="0"/>
        <w:jc w:val="center"/>
      </w:pPr>
      <w:r>
        <w:rPr>
          <w:rFonts w:ascii="Arial" w:cs="Arial" w:eastAsia="Arial" w:hAnsi="Arial"/>
          <w:color w:val="2E2E2E"/>
          <w:sz w:val="22"/>
          <w:szCs w:val="22"/>
        </w:rPr>
        <w:t xml:space="preserve">Status: Internal — Personal Tool</w:t>
      </w:r>
    </w:p>
    <w:p>
      <w:pPr>
        <w:sectPr>
          <w:pgSz w:w="12240" w:h="15840" w:orient="portrait"/>
          <w:pgMar w:top="1440" w:right="1440" w:bottom="1440" w:left="1440" w:header="708" w:footer="708" w:gutter="0"/>
          <w:pgNumType/>
          <w:docGrid w:linePitch="360"/>
        </w:sectPr>
      </w:pPr>
    </w:p>
    <w:p>
      <w:pPr>
        <w:pStyle w:val="Heading1"/>
      </w:pPr>
      <w:r>
        <w:t xml:space="preserve">1. Project Context</w:t>
      </w:r>
    </w:p>
    <w:p>
      <w:pPr>
        <w:spacing w:before="120" w:after="120"/>
      </w:pPr>
      <w:r>
        <w:t xml:space="preserve">This application supports the insightsoftware Web Evolution Project: a full migration of insightsoftware.com from WordPress to a modern headless architecture (Astro front-end, Storyblok CMS, Vercel hosting) with a simultaneous restructure from product-centric to solutions-centric information architecture organized around three segments: Finance, Equity, and Data + Analytics.</w:t>
      </w:r>
    </w:p>
    <w:p>
      <w:pPr>
        <w:spacing w:before="120" w:after="120"/>
      </w:pPr>
      <w:r>
        <w:t xml:space="preserve">The migration encompasses 2,500+ pages, a hard DNS cutover targeted for August 2026, and coordination across three external agencies (Mighty Union, Spiralyze, Optimal) plus the internal Web Operations team.</w:t>
      </w:r>
    </w:p>
    <w:p>
      <w:pPr>
        <w:spacing w:before="120" w:after="120"/>
      </w:pPr>
      <w:r>
        <w:t xml:space="preserve">This tool is a personal SEO command center for the SEO/AEO Lead. Its purpose is to centralize all SEO-critical data, enable informed decision-making during the migration, and provide evidence-based inputs for the Web Evolution Council. Outputs may be shared with team members and agencies as needed, but the tool itself is single-user.</w:t>
      </w:r>
    </w:p>
    <w:p>
      <w:pPr>
        <w:pBdr>
          <w:bottom w:val="single" w:color="31AB46" w:sz="4" w:space="8"/>
        </w:pBdr>
        <w:spacing w:before="200" w:after="200"/>
      </w:pPr>
    </w:p>
    <w:p>
      <w:pPr>
        <w:pStyle w:val="Heading1"/>
      </w:pPr>
      <w: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Next.js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 / TypeScript only (no Python unless explicitly approved)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dev.deacyde.com (existing GitHub repo with Copilot integration)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 existing deployment pipeline</w:t>
            </w:r>
          </w:p>
        </w:tc>
      </w:tr>
    </w:tbl>
    <w:p>
      <w:pPr>
        <w:spacing w:before="120" w:after="120"/>
      </w:pPr>
      <w:r>
        <w:t xml:space="preserve">All processing, parsing, and data transformation must be handled in JavaScript/TypeScript. No Python dependencies unless a specific use case is identified and approved before implementation.</w:t>
      </w:r>
    </w:p>
    <w:p>
      <w:pPr>
        <w:pBdr>
          <w:bottom w:val="single" w:color="31AB46" w:sz="4" w:space="8"/>
        </w:pBdr>
        <w:spacing w:before="200" w:after="200"/>
      </w:pPr>
    </w:p>
    <w:p>
      <w:pPr>
        <w:pStyle w:val="Heading1"/>
      </w:pPr>
      <w:r>
        <w:t xml:space="preserve">3. Data Sources &amp; Ingestion</w:t>
      </w:r>
    </w:p>
    <w:p>
      <w:pPr>
        <w:spacing w:before="120" w:after="120"/>
      </w:pPr>
      <w:r>
        <w:t xml:space="preserve">The application ingests data from multiple CSV/export files and merges them into a unified page-level database using URL as the primary key. All data ingestion happens via file upload in the UI.</w:t>
      </w:r>
    </w:p>
    <w:p>
      <w:pPr>
        <w:pStyle w:val="Heading2"/>
      </w:pPr>
      <w:r>
        <w:t xml:space="preserve">3.1 Screaming Frog Crawl Export</w:t>
      </w:r>
    </w:p>
    <w:p>
      <w:pPr>
        <w:spacing w:before="120" w:after="120"/>
      </w:pPr>
      <w:r>
        <w:t xml:space="preserve">Full crawl of insightsoftware.com exported as CSV from Screaming Frog.</w:t>
      </w:r>
    </w:p>
    <w:p>
      <w:pPr>
        <w:spacing w:before="120" w:after="120"/>
      </w:pPr>
      <w:r>
        <w:rPr>
          <w:b/>
          <w:bCs/>
        </w:rPr>
        <w:t xml:space="preserve">Key fields: </w:t>
      </w:r>
      <w:r>
        <w:t xml:space="preserve">URL (Address), Status Code, Title 1, Meta Description 1, H1-1, H2-1, Canonical Link Element 1, Word Count, Inlinks, Outlinks, Response Time, Indexability, Indexability Status, Content Type, Size, Structured Data (if available).</w:t>
      </w:r>
    </w:p>
    <w:p>
      <w:pPr>
        <w:spacing w:before="120" w:after="120"/>
      </w:pPr>
      <w:r>
        <w:rPr>
          <w:b/>
          <w:bCs/>
        </w:rPr>
        <w:t xml:space="preserve">Merge key: </w:t>
      </w:r>
      <w:r>
        <w:t xml:space="preserve">URL (Address) column, normalized to lowercase with trailing slash consistency.</w:t>
      </w:r>
    </w:p>
    <w:p>
      <w:pPr>
        <w:pStyle w:val="Heading2"/>
      </w:pPr>
      <w:r>
        <w:t xml:space="preserve">3.2 Google Search Console — Pages Export</w:t>
      </w:r>
    </w:p>
    <w:p>
      <w:pPr>
        <w:spacing w:before="120" w:after="120"/>
      </w:pPr>
      <w:r>
        <w:t xml:space="preserve">Performance report filtered to Pages, exported from GSC for the insightsoftware.com property. Recommended date range: last 12 months for a stable baseline.</w:t>
      </w:r>
    </w:p>
    <w:p>
      <w:pPr>
        <w:spacing w:before="120" w:after="120"/>
      </w:pPr>
      <w:r>
        <w:rPr>
          <w:b/>
          <w:bCs/>
        </w:rPr>
        <w:t xml:space="preserve">Key fields: </w:t>
      </w:r>
      <w:r>
        <w:t xml:space="preserve">Page (URL), Clicks, Impressions, CTR, Average Position.</w:t>
      </w:r>
    </w:p>
    <w:p>
      <w:pPr>
        <w:spacing w:before="120" w:after="120"/>
      </w:pPr>
      <w:r>
        <w:rPr>
          <w:b/>
          <w:bCs/>
        </w:rPr>
        <w:t xml:space="preserve">Merge key: </w:t>
      </w:r>
      <w:r>
        <w:t xml:space="preserve">Page column matched to Screaming Frog Address after URL normalization.</w:t>
      </w:r>
    </w:p>
    <w:p>
      <w:pPr>
        <w:pStyle w:val="Heading2"/>
      </w:pPr>
      <w:r>
        <w:t xml:space="preserve">3.3 Google Search Console — Queries Export</w:t>
      </w:r>
    </w:p>
    <w:p>
      <w:pPr>
        <w:spacing w:before="120" w:after="120"/>
      </w:pPr>
      <w:r>
        <w:t xml:space="preserve">Performance report filtered to Queries, exported at the query + page level (enable Pages as a secondary dimension). This provides the keyword-to-URL relationship map.</w:t>
      </w:r>
    </w:p>
    <w:p>
      <w:pPr>
        <w:spacing w:before="120" w:after="120"/>
      </w:pPr>
      <w:r>
        <w:rPr>
          <w:b/>
          <w:bCs/>
        </w:rPr>
        <w:t xml:space="preserve">Key fields: </w:t>
      </w:r>
      <w:r>
        <w:t xml:space="preserve">Query, Page (URL), Clicks, Impressions, CTR, Position.</w:t>
      </w:r>
    </w:p>
    <w:p>
      <w:pPr>
        <w:spacing w:before="120" w:after="120"/>
      </w:pPr>
      <w:r>
        <w:rPr>
          <w:b/>
          <w:bCs/>
        </w:rPr>
        <w:t xml:space="preserve">Relationship: </w:t>
      </w:r>
      <w:r>
        <w:t xml:space="preserve">Many-to-one (multiple queries per URL). Stored as a child table linked to the main URL record. Used for keyword counts per URL and identifying which terms each page ranks for.</w:t>
      </w:r>
    </w:p>
    <w:p>
      <w:pPr>
        <w:pStyle w:val="Heading2"/>
      </w:pPr>
      <w:r>
        <w:t xml:space="preserve">3.4 GA4 Page-Level Export</w:t>
      </w:r>
    </w:p>
    <w:p>
      <w:pPr>
        <w:spacing w:before="120" w:after="120"/>
      </w:pPr>
      <w:r>
        <w:t xml:space="preserve">Exploration or Looker Studio export of page-level metrics from GA4. Recommended: last 12 months, filtered to organic traffic where possible.</w:t>
      </w:r>
    </w:p>
    <w:p>
      <w:pPr>
        <w:spacing w:before="120" w:after="120"/>
      </w:pPr>
      <w:r>
        <w:rPr>
          <w:b/>
          <w:bCs/>
        </w:rPr>
        <w:t xml:space="preserve">Key fields: </w:t>
      </w:r>
      <w:r>
        <w:t xml:space="preserve">Page path (URL), Sessions, Engaged Sessions, Conversions (key events), Bounce Rate, Average Engagement Time. Optionally segmented by geography (NA, EMEA, APAC, LATAM) if exported with that dimension.</w:t>
      </w:r>
    </w:p>
    <w:p>
      <w:pPr>
        <w:spacing w:before="120" w:after="120"/>
      </w:pPr>
      <w:r>
        <w:rPr>
          <w:b/>
          <w:bCs/>
        </w:rPr>
        <w:t xml:space="preserve">Merge key: </w:t>
      </w:r>
      <w:r>
        <w:t xml:space="preserve">Page path matched to URL after normalization. GA4 exports may use relative paths (e.g., /blog/post-slug/) which need the domain prepended before matching.</w:t>
      </w:r>
    </w:p>
    <w:p>
      <w:pPr>
        <w:pStyle w:val="Heading2"/>
      </w:pPr>
      <w:r>
        <w:t xml:space="preserve">3.5 Semrush Backlink Export</w:t>
      </w:r>
    </w:p>
    <w:p>
      <w:pPr>
        <w:spacing w:before="120" w:after="120"/>
      </w:pPr>
      <w:r>
        <w:t xml:space="preserve">Backlink Analytics export from Semrush for insightsoftware.com, aggregated at the target URL level.</w:t>
      </w:r>
    </w:p>
    <w:p>
      <w:pPr>
        <w:spacing w:before="120" w:after="120"/>
      </w:pPr>
      <w:r>
        <w:rPr>
          <w:b/>
          <w:bCs/>
        </w:rPr>
        <w:t xml:space="preserve">Key fields: </w:t>
      </w:r>
      <w:r>
        <w:t xml:space="preserve">Target URL, Referring Domains, Total Backlinks, Authority Score (if available).</w:t>
      </w:r>
    </w:p>
    <w:p>
      <w:pPr>
        <w:spacing w:before="120" w:after="120"/>
      </w:pPr>
      <w:r>
        <w:rPr>
          <w:b/>
          <w:bCs/>
        </w:rPr>
        <w:t xml:space="preserve">Merge key: </w:t>
      </w:r>
      <w:r>
        <w:t xml:space="preserve">Target URL matched to the main URL record.</w:t>
      </w:r>
    </w:p>
    <w:p>
      <w:pPr>
        <w:pStyle w:val="Heading2"/>
      </w:pPr>
      <w:r>
        <w:t xml:space="preserve">3.6 WordPress SEO Meta Exports</w:t>
      </w:r>
    </w:p>
    <w:p>
      <w:pPr>
        <w:spacing w:before="120" w:after="120"/>
      </w:pPr>
      <w:r>
        <w:t xml:space="preserve">Custom exports from WordPress containing Yoast/RankMath SEO fields. These come as multiple CSV files split by content type (posts, pages, products, etc.) and need to be uploaded separately then merged.</w:t>
      </w:r>
    </w:p>
    <w:p>
      <w:pPr>
        <w:spacing w:before="120" w:after="120"/>
      </w:pPr>
      <w:r>
        <w:rPr>
          <w:b/>
          <w:bCs/>
        </w:rPr>
        <w:t xml:space="preserve">Key fields: </w:t>
      </w:r>
      <w:r>
        <w:t xml:space="preserve">URL (or slug + post type for reconstruction), Yoast Title, Yoast Meta Description, Yoast Canonical, Focus Keyword, OG Title, OG Description, OG Image URL, Post Type, Categories, Tags, Publish Date, Author, Status.</w:t>
      </w:r>
    </w:p>
    <w:p>
      <w:pPr>
        <w:spacing w:before="120" w:after="120"/>
      </w:pPr>
      <w:r>
        <w:rPr>
          <w:b/>
          <w:bCs/>
        </w:rPr>
        <w:t xml:space="preserve">Merge key: </w:t>
      </w:r>
      <w:r>
        <w:t xml:space="preserve">URL matched to the main record. Multiple files are unioned first (preserving post type as a field), then merged on URL.</w:t>
      </w:r>
    </w:p>
    <w:p>
      <w:pPr>
        <w:spacing w:before="120" w:after="120"/>
      </w:pPr>
      <w:r>
        <w:rPr>
          <w:b/>
          <w:bCs/>
        </w:rPr>
        <w:t xml:space="preserve">Special handling: </w:t>
      </w:r>
      <w:r>
        <w:t xml:space="preserve">The app must support uploading multiple WordPress export files in sequence, each tagged with its content type, and merge them into a single dataset before joining to the main URL table.</w:t>
      </w:r>
    </w:p>
    <w:p>
      <w:pPr>
        <w:pStyle w:val="Heading2"/>
      </w:pPr>
      <w:r>
        <w:t xml:space="preserve">3.7 jetDataLayer Taxonomy Data</w:t>
      </w:r>
    </w:p>
    <w:p>
      <w:pPr>
        <w:spacing w:before="120" w:after="120"/>
      </w:pPr>
      <w:r>
        <w:t xml:space="preserve">Extracted from the site source code (jetDataLayer object present on each page). This provides the baseline for solution segment classification.</w:t>
      </w:r>
    </w:p>
    <w:p>
      <w:pPr>
        <w:spacing w:before="120" w:after="120"/>
      </w:pPr>
      <w:r>
        <w:rPr>
          <w:b/>
          <w:bCs/>
        </w:rPr>
        <w:t xml:space="preserve">Key fields: </w:t>
      </w:r>
      <w:r>
        <w:t xml:space="preserve">URL, Product Line, Business Unit, Content Category, Buying Phase, and any other taxonomy fields present in the datalayer. Field availability varies by content type and page — some URLs will have complete data, others will have partial or empty fields.</w:t>
      </w:r>
    </w:p>
    <w:p>
      <w:pPr>
        <w:spacing w:before="120" w:after="120"/>
      </w:pPr>
      <w:r>
        <w:rPr>
          <w:b/>
          <w:bCs/>
        </w:rPr>
        <w:t xml:space="preserve">Merge key: </w:t>
      </w:r>
      <w:r>
        <w:t xml:space="preserve">URL matched to the main record.</w:t>
      </w:r>
    </w:p>
    <w:p>
      <w:pPr>
        <w:spacing w:before="120" w:after="120"/>
      </w:pPr>
      <w:r>
        <w:rPr>
          <w:b/>
          <w:bCs/>
        </w:rPr>
        <w:t xml:space="preserve">Usage: </w:t>
      </w:r>
      <w:r>
        <w:t xml:space="preserve">Pre-populates the Solution Segment and Content Type classification columns. URLs with missing or incomplete datalayer data are flagged for manual review and tagging.</w:t>
      </w:r>
    </w:p>
    <w:p>
      <w:pPr>
        <w:pBdr>
          <w:bottom w:val="single" w:color="31AB46" w:sz="4" w:space="8"/>
        </w:pBdr>
        <w:spacing w:before="200" w:after="200"/>
      </w:pPr>
    </w:p>
    <w:p>
      <w:pPr>
        <w:pStyle w:val="Heading1"/>
      </w:pPr>
      <w:r>
        <w:t xml:space="preserve">4. Unified Data Model</w:t>
      </w:r>
    </w:p>
    <w:p>
      <w:pPr>
        <w:spacing w:before="120" w:after="120"/>
      </w:pPr>
      <w:r>
        <w:t xml:space="preserve">After ingestion and merging, each URL in the system becomes a single record in a Supabase table (suggested name: url_inventory) with the following field groups.</w:t>
      </w:r>
    </w:p>
    <w:p>
      <w:pPr>
        <w:pStyle w:val="Heading2"/>
      </w:pPr>
      <w:r>
        <w:t xml:space="preserve">4.1 Technical Fields (from Screaming Frog)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Normalized URL, primary key for all joins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status_code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status from crawl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title_tag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1 from Screaming Frog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meta_description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Description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H1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canonical_url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Canonical Link Element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word_count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word count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internal links pointing to this URL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outlinks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internal links from this URL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response_time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response time in seconds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indexability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Indexable / Non-Indexable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MIME content type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has_structured_data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schema markup is present</w:t>
            </w:r>
          </w:p>
        </w:tc>
      </w:tr>
    </w:tbl>
    <w:p>
      <w:pPr>
        <w:pStyle w:val="Heading2"/>
      </w:pPr>
      <w:r>
        <w:t xml:space="preserve">4.2 Search Performance Fields (from GSC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gsc_clicks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organic clicks (12mo)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gsc_impressions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organic impressions (12mo)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gsc_ctr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CTR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gsc_avg_position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ranking position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keyword_count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queries this URL ranks for (calculated from Queries export)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top10_keyword_count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queries with avg position &lt;= 10</w:t>
            </w:r>
          </w:p>
        </w:tc>
      </w:tr>
    </w:tbl>
    <w:p>
      <w:pPr>
        <w:pStyle w:val="Heading2"/>
      </w:pPr>
      <w:r>
        <w:t xml:space="preserve">4.3 Business Value Fields (from GA4)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ga_sessions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sessions (12mo, organic if filtered)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ga_engaged_sessions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Engaged sessions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ga_conversions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event completions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ga_bounce_rate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Bounce rate</w:t>
            </w:r>
          </w:p>
        </w:tc>
      </w:tr>
    </w:tbl>
    <w:p>
      <w:pPr>
        <w:pStyle w:val="Heading2"/>
      </w:pPr>
      <w:r>
        <w:t xml:space="preserve">4.4 Authority Fields (from Semrush)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referring_domains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referring domains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total_backlinks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backlink count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authority_score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Semrush authority score (if available)</w:t>
            </w:r>
          </w:p>
        </w:tc>
      </w:tr>
    </w:tbl>
    <w:p>
      <w:pPr>
        <w:pStyle w:val="Heading2"/>
      </w:pPr>
      <w:r>
        <w:t xml:space="preserve">4.5 CMS Fields (from WordPress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wp_post_type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post type (post, page, product, etc.)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wp_categories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categories assigned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wp_tags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 tags assigned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yoast_title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Yoast SEO title (may differ from crawl title)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yoast_meta_desc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Yoast meta 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yoast_canonical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Yoast canonical URL override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yoast_focus_kw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Yoast focus keyword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og_title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Graph title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og_description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Graph 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og_image_url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Graph image URL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publish_date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publish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author</w:t>
            </w:r>
          </w:p>
        </w:tc>
      </w:tr>
    </w:tbl>
    <w:p>
      <w:pPr>
        <w:pStyle w:val="Heading2"/>
      </w:pPr>
      <w:r>
        <w:t xml:space="preserve">4.6 Taxonomy Fields (from jetDataLayer)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dl_product_line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line from datalayer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dl_business_unit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unit from datalayer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dl_content_category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category from datalayer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dl_buying_phase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Buying phase from datalayer</w:t>
            </w:r>
          </w:p>
        </w:tc>
      </w:tr>
    </w:tbl>
    <w:p>
      <w:pPr>
        <w:pStyle w:val="Heading2"/>
      </w:pPr>
      <w:r>
        <w:t xml:space="preserve">4.7 Migration Decision Fields (User-Managed)</w:t>
      </w:r>
    </w:p>
    <w:p>
      <w:pPr>
        <w:spacing w:before="120" w:after="120"/>
      </w:pPr>
      <w:r>
        <w:t xml:space="preserve">These fields are set and edited by the user through the application UI. They represent the SEO migration decisions that drive all downstream outputs (redirects, sitemap, content migration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solution_segment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 | Equity | Data + Analytics | Corporate | Shared. Pre-populated from jetDataLayer, editable.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migration_content_type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 Whitepaper | Webinar | Case Study | Product Page | Solution Page | Landing Page | Squeeze Page | Corporate | Legal | Other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disposition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 Remove | Consolidate | Redirect Only. Drives migration behavior.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consolidation_target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disposition is Consolidate, the URL this page merges into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new_url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target URL in the new Astro/Storyblok IA. For Keep pages, this is the new location. For Remove/Redirect Only, this is the redirect target.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priority_tier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 | Tier 2 | Tier 3. Auto-calculated from SEO Equity Score, manually overridable.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seo_equity_score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score (0–100). Calculated from weighted formula across traffic, rankings, backlinks, and conversions.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unit or person responsible for approving this content’s migration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 | In Review | Approved | Migrated | Verified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Free-text notes for context, edge cases, Council decisions</w:t>
            </w:r>
          </w:p>
        </w:tc>
      </w:tr>
    </w:tbl>
    <w:p>
      <w:r>
        <w:br w:type="page"/>
      </w:r>
    </w:p>
    <w:p>
      <w:pPr>
        <w:pStyle w:val="Heading2"/>
      </w:pPr>
      <w:r>
        <w:t xml:space="preserve">4.8 SEO Equity Score Formula</w:t>
      </w:r>
    </w:p>
    <w:p>
      <w:pPr>
        <w:spacing w:before="120" w:after="120"/>
      </w:pPr>
      <w:r>
        <w:t xml:space="preserve">The SEO Equity Score is a composite metric (0–100) that quantifies the organic value of each URL. It drives priority tiering and helps identify which pages require the most careful handling during migration.</w:t>
      </w:r>
    </w:p>
    <w:p>
      <w:pPr>
        <w:spacing w:before="120" w:after="120"/>
      </w:pPr>
      <w:r>
        <w:t xml:space="preserve">Proposed default weights (adjustable in the app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56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468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 Calculation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Organic Traffic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Percentile rank of GSC clicks across all URLs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 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Percentile rank of top-10 keyword 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Backlink Authority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Percentile rank of referring domains (Semrush)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Conversion 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Percentile rank of GA4 conversions</w:t>
            </w:r>
          </w:p>
        </w:tc>
      </w:tr>
    </w:tbl>
    <w:p>
      <w:pPr>
        <w:spacing w:before="120" w:after="120"/>
      </w:pPr>
      <w:r>
        <w:t xml:space="preserve">Each component is calculated as the percentile rank of that URL within the full dataset (0th to 100th percentile), then multiplied by its weight. The sum produces the composite score.</w:t>
      </w:r>
    </w:p>
    <w:p>
      <w:pPr>
        <w:spacing w:before="120" w:after="120"/>
      </w:pPr>
      <w:r>
        <w:rPr>
          <w:b/>
          <w:bCs/>
        </w:rPr>
        <w:t xml:space="preserve">Priority Tier Assignment: </w:t>
      </w:r>
      <w:r>
        <w:t xml:space="preserve">Tier 1 = top 5% by equity score (manual redirect verification required). Tier 2 = next 15% (rule-based redirects with spot checks). Tier 3 = remaining 80% (bulk pattern-based redirects). Tier assignments are auto-calculated but manually overridable.</w:t>
      </w:r>
    </w:p>
    <w:p>
      <w:pPr>
        <w:pBdr>
          <w:bottom w:val="single" w:color="31AB46" w:sz="4" w:space="8"/>
        </w:pBdr>
        <w:spacing w:before="200" w:after="200"/>
      </w:pPr>
    </w:p>
    <w:p>
      <w:pPr>
        <w:pStyle w:val="Heading1"/>
      </w:pPr>
      <w:r>
        <w:t xml:space="preserve">5. URL Normalization</w:t>
      </w:r>
    </w:p>
    <w:p>
      <w:pPr>
        <w:spacing w:before="120" w:after="120"/>
      </w:pPr>
      <w:r>
        <w:t xml:space="preserve">All URLs from all data sources must be normalized before merging to ensure accurate joins. The normalization process applies the following transformations in order:</w:t>
      </w:r>
    </w:p>
    <w:p>
      <w:pPr>
        <w:pStyle w:val="ListParagraph"/>
        <w:numPr>
          <w:ilvl w:val="0"/>
          <w:numId w:val="2"/>
        </w:numPr>
        <w:spacing w:before="60" w:after="60"/>
      </w:pPr>
      <w:r>
        <w:t xml:space="preserve">Convert to lowercase</w:t>
      </w:r>
    </w:p>
    <w:p>
      <w:pPr>
        <w:pStyle w:val="ListParagraph"/>
        <w:numPr>
          <w:ilvl w:val="0"/>
          <w:numId w:val="2"/>
        </w:numPr>
        <w:spacing w:before="60" w:after="60"/>
      </w:pPr>
      <w:r>
        <w:t xml:space="preserve">Ensure consistent protocol (https://)</w:t>
      </w:r>
    </w:p>
    <w:p>
      <w:pPr>
        <w:pStyle w:val="ListParagraph"/>
        <w:numPr>
          <w:ilvl w:val="0"/>
          <w:numId w:val="2"/>
        </w:numPr>
        <w:spacing w:before="60" w:after="60"/>
      </w:pPr>
      <w:r>
        <w:t xml:space="preserve">Remove URL fragments (#section)</w:t>
      </w:r>
    </w:p>
    <w:p>
      <w:pPr>
        <w:pStyle w:val="ListParagraph"/>
        <w:numPr>
          <w:ilvl w:val="0"/>
          <w:numId w:val="2"/>
        </w:numPr>
        <w:spacing w:before="60" w:after="60"/>
      </w:pPr>
      <w:r>
        <w:t xml:space="preserve">Remove tracking parameters (utm_source, utm_medium, utm_campaign, etc.)</w:t>
      </w:r>
    </w:p>
    <w:p>
      <w:pPr>
        <w:pStyle w:val="ListParagraph"/>
        <w:numPr>
          <w:ilvl w:val="0"/>
          <w:numId w:val="2"/>
        </w:numPr>
        <w:spacing w:before="60" w:after="60"/>
      </w:pPr>
      <w:r>
        <w:t xml:space="preserve">Normalize trailing slashes (add or remove consistently based on site convention — insightsoftware.com uses trailing slashes)</w:t>
      </w:r>
    </w:p>
    <w:p>
      <w:pPr>
        <w:pStyle w:val="ListParagraph"/>
        <w:numPr>
          <w:ilvl w:val="0"/>
          <w:numId w:val="2"/>
        </w:numPr>
        <w:spacing w:before="60" w:after="60"/>
      </w:pPr>
      <w:r>
        <w:t xml:space="preserve">Handle relative paths from GA4 exports by prepending https://insightsoftware.com</w:t>
      </w:r>
    </w:p>
    <w:p>
      <w:pPr>
        <w:pStyle w:val="ListParagraph"/>
        <w:numPr>
          <w:ilvl w:val="0"/>
          <w:numId w:val="2"/>
        </w:numPr>
        <w:spacing w:before="60" w:after="60"/>
      </w:pPr>
      <w:r>
        <w:t xml:space="preserve">Decode URL-encoded characters where appropriate</w:t>
      </w:r>
    </w:p>
    <w:p>
      <w:pPr>
        <w:spacing w:before="120" w:after="120"/>
      </w:pPr>
      <w:r>
        <w:t xml:space="preserve">The normalization function should be a shared utility used by every CSV parser to ensure consistency. URLs that cannot be normalized (malformed, non-HTTP, external domains) should be flagged and excluded from the main inventory with a log entry.</w:t>
      </w:r>
    </w:p>
    <w:p>
      <w:pPr>
        <w:pBdr>
          <w:bottom w:val="single" w:color="31AB46" w:sz="4" w:space="8"/>
        </w:pBdr>
        <w:spacing w:before="200" w:after="200"/>
      </w:pPr>
    </w:p>
    <w:p>
      <w:pPr>
        <w:pStyle w:val="Heading1"/>
      </w:pPr>
      <w:r>
        <w:t xml:space="preserve">6. Application Features</w:t>
      </w:r>
    </w:p>
    <w:p>
      <w:pPr>
        <w:pStyle w:val="Heading2"/>
      </w:pPr>
      <w:r>
        <w:t xml:space="preserve">6.1 Multi-File Upload &amp; Merge</w:t>
      </w:r>
    </w:p>
    <w:p>
      <w:pPr>
        <w:spacing w:before="120" w:after="120"/>
      </w:pPr>
      <w:r>
        <w:t xml:space="preserve">The upload interface must support the following workflow:</w:t>
      </w:r>
    </w:p>
    <w:p>
      <w:pPr>
        <w:pStyle w:val="ListParagraph"/>
        <w:numPr>
          <w:ilvl w:val="0"/>
          <w:numId w:val="2"/>
        </w:numPr>
        <w:spacing w:before="60" w:after="60"/>
      </w:pPr>
      <w:r>
        <w:rPr>
          <w:b/>
          <w:bCs/>
        </w:rPr>
        <w:t xml:space="preserve">Step 1 — Select data source type: </w:t>
      </w:r>
      <w:r>
        <w:t xml:space="preserve">User picks from a dropdown which source they are uploading (Screaming Frog, GSC Pages, GSC Queries, GA4, Semrush, WordPress Export, jetDataLayer). This determines which parser and field mapping to apply.</w:t>
      </w:r>
    </w:p>
    <w:p>
      <w:pPr>
        <w:pStyle w:val="ListParagraph"/>
        <w:numPr>
          <w:ilvl w:val="0"/>
          <w:numId w:val="2"/>
        </w:numPr>
        <w:spacing w:before="60" w:after="60"/>
      </w:pPr>
      <w:r>
        <w:rPr>
          <w:b/>
          <w:bCs/>
        </w:rPr>
        <w:t xml:space="preserve">Step 2 — Upload file(s): </w:t>
      </w:r>
      <w:r>
        <w:t xml:space="preserve">Standard file picker for CSV. For WordPress exports, allow multiple files to be uploaded in sequence, each tagged with its content type.</w:t>
      </w:r>
    </w:p>
    <w:p>
      <w:pPr>
        <w:pStyle w:val="ListParagraph"/>
        <w:numPr>
          <w:ilvl w:val="0"/>
          <w:numId w:val="2"/>
        </w:numPr>
        <w:spacing w:before="60" w:after="60"/>
      </w:pPr>
      <w:r>
        <w:rPr>
          <w:b/>
          <w:bCs/>
        </w:rPr>
        <w:t xml:space="preserve">Step 3 — Preview &amp; confirm: </w:t>
      </w:r>
      <w:r>
        <w:t xml:space="preserve">Show first 10 rows of parsed data with detected column mappings. User confirms or corrects field mapping before committing.</w:t>
      </w:r>
    </w:p>
    <w:p>
      <w:pPr>
        <w:pStyle w:val="ListParagraph"/>
        <w:numPr>
          <w:ilvl w:val="0"/>
          <w:numId w:val="2"/>
        </w:numPr>
        <w:spacing w:before="60" w:after="60"/>
      </w:pPr>
      <w:r>
        <w:rPr>
          <w:b/>
          <w:bCs/>
        </w:rPr>
        <w:t xml:space="preserve">Step 4 — Merge: </w:t>
      </w:r>
      <w:r>
        <w:t xml:space="preserve">Data is normalized, merged on URL, and upserted into Supabase. Existing records are updated; new URLs are inserted. Merge log shows: records matched, new records created, records skipped (normalization failures).</w:t>
      </w:r>
    </w:p>
    <w:p>
      <w:pPr>
        <w:spacing w:before="120" w:after="120"/>
      </w:pPr>
      <w:r>
        <w:t xml:space="preserve">The dashboard should show the current state of data completeness: how many URLs have Screaming Frog data, GSC data, GA4 data, Semrush data, WordPress data, and datalayer data. This makes it obvious which imports are still needed.</w:t>
      </w:r>
    </w:p>
    <w:p>
      <w:pPr>
        <w:pStyle w:val="Heading2"/>
      </w:pPr>
      <w:r>
        <w:t xml:space="preserve">6.2 Content Inventory Table</w:t>
      </w:r>
    </w:p>
    <w:p>
      <w:pPr>
        <w:spacing w:before="120" w:after="120"/>
      </w:pPr>
      <w:r>
        <w:t xml:space="preserve">The primary interface is a sortable, filterable, paginated data table showing all URL records with the following capabilities:</w:t>
      </w:r>
    </w:p>
    <w:p>
      <w:pPr>
        <w:spacing w:before="120" w:after="120"/>
      </w:pPr>
      <w:r>
        <w:rPr>
          <w:b/>
          <w:bCs/>
        </w:rPr>
        <w:t xml:space="preserve">Column visibility: </w:t>
      </w:r>
      <w:r>
        <w:t xml:space="preserve">User can show/hide any columns. Default view shows: URL, title_tag, gsc_clicks, referring_domains, ga_conversions, seo_equity_score, priority_tier, solution_segment, disposition, status.</w:t>
      </w:r>
    </w:p>
    <w:p>
      <w:pPr>
        <w:spacing w:before="120" w:after="120"/>
      </w:pPr>
      <w:r>
        <w:rPr>
          <w:b/>
          <w:bCs/>
        </w:rPr>
        <w:t xml:space="preserve">Filtering: </w:t>
      </w:r>
      <w:r>
        <w:t xml:space="preserve">Multi-select filters on every enum field (solution_segment, migration_content_type, disposition, priority_tier, status, owner). Range filters on numeric fields (gsc_clicks &gt; 100, seo_equity_score &gt; 75). Text search on URL and title_tag.</w:t>
      </w:r>
    </w:p>
    <w:p>
      <w:pPr>
        <w:spacing w:before="120" w:after="120"/>
      </w:pPr>
      <w:r>
        <w:rPr>
          <w:b/>
          <w:bCs/>
        </w:rPr>
        <w:t xml:space="preserve">Sorting: </w:t>
      </w:r>
      <w:r>
        <w:t xml:space="preserve">Click column headers to sort ascending/descending. Default sort: seo_equity_score descending (highest-value URLs first).</w:t>
      </w:r>
    </w:p>
    <w:p>
      <w:pPr>
        <w:spacing w:before="120" w:after="120"/>
      </w:pPr>
      <w:r>
        <w:rPr>
          <w:b/>
          <w:bCs/>
        </w:rPr>
        <w:t xml:space="preserve">Inline cell editing: </w:t>
      </w:r>
      <w:r>
        <w:t xml:space="preserve">Single-click to edit any Migration Decision field directly in the table row. Changes save to Supabase on blur or Enter. No need to open a separate edit form for quick updates.</w:t>
      </w:r>
    </w:p>
    <w:p>
      <w:pPr>
        <w:spacing w:before="120" w:after="120"/>
      </w:pPr>
      <w:r>
        <w:rPr>
          <w:b/>
          <w:bCs/>
        </w:rPr>
        <w:t xml:space="preserve">Bulk editing: </w:t>
      </w:r>
      <w:r>
        <w:t xml:space="preserve">Select multiple rows via checkboxes, then apply a change to all selected rows at once. Supported bulk operations: set solution_segment, set disposition, set migration_content_type, set owner, set status, set priority_tier. This is critical for efficiently tagging large groups of URLs.</w:t>
      </w:r>
    </w:p>
    <w:p>
      <w:pPr>
        <w:spacing w:before="120" w:after="120"/>
      </w:pPr>
      <w:r>
        <w:rPr>
          <w:b/>
          <w:bCs/>
        </w:rPr>
        <w:t xml:space="preserve">Row detail panel: </w:t>
      </w:r>
      <w:r>
        <w:t xml:space="preserve">Click a row to expand a detail panel showing all fields for that URL, including the full list of GSC queries it ranks for (from the Queries child table), all WordPress meta fields, and datalayer fields. This panel is also where the new_url and consolidation_target are most easily edited since they benefit from more screen space.</w:t>
      </w:r>
    </w:p>
    <w:p>
      <w:pPr>
        <w:spacing w:before="120" w:after="120"/>
      </w:pPr>
      <w:r>
        <w:rPr>
          <w:b/>
          <w:bCs/>
        </w:rPr>
        <w:t xml:space="preserve">URL grouping: </w:t>
      </w:r>
      <w:r>
        <w:t xml:space="preserve">Ability to group rows by URL path segment (e.g., group by first folder: /blog/, /products/, /solutions/) to see aggregate metrics at the folder level. Useful for understanding which site sections carry the most equity.</w:t>
      </w:r>
    </w:p>
    <w:p>
      <w:pPr>
        <w:pStyle w:val="Heading2"/>
      </w:pPr>
      <w:r>
        <w:t xml:space="preserve">6.3 SEO Equity Dashboard</w:t>
      </w:r>
    </w:p>
    <w:p>
      <w:pPr>
        <w:spacing w:before="120" w:after="120"/>
      </w:pPr>
      <w:r>
        <w:t xml:space="preserve">A visual summary view providing at-a-glance insights into the distribution of SEO value across the site. This is what you present in Council meetings.</w:t>
      </w:r>
    </w:p>
    <w:p>
      <w:pPr>
        <w:pStyle w:val="ListParagraph"/>
        <w:numPr>
          <w:ilvl w:val="0"/>
          <w:numId w:val="2"/>
        </w:numPr>
        <w:spacing w:before="60" w:after="60"/>
      </w:pPr>
      <w:r>
        <w:t xml:space="preserve">Distribution chart showing URL count by priority tier (Tier 1 / 2 / 3)</w:t>
      </w:r>
    </w:p>
    <w:p>
      <w:pPr>
        <w:pStyle w:val="ListParagraph"/>
        <w:numPr>
          <w:ilvl w:val="0"/>
          <w:numId w:val="2"/>
        </w:numPr>
        <w:spacing w:before="60" w:after="60"/>
      </w:pPr>
      <w:r>
        <w:t xml:space="preserve">Top 25 URLs by equity score with their key metrics (clicks, backlinks, conversions)</w:t>
      </w:r>
    </w:p>
    <w:p>
      <w:pPr>
        <w:pStyle w:val="ListParagraph"/>
        <w:numPr>
          <w:ilvl w:val="0"/>
          <w:numId w:val="2"/>
        </w:numPr>
        <w:spacing w:before="60" w:after="60"/>
      </w:pPr>
      <w:r>
        <w:t xml:space="preserve">Equity breakdown by solution segment (Finance / Equity / D+A / Corporate / Shared) as a bar chart or treemap</w:t>
      </w:r>
    </w:p>
    <w:p>
      <w:pPr>
        <w:pStyle w:val="ListParagraph"/>
        <w:numPr>
          <w:ilvl w:val="0"/>
          <w:numId w:val="2"/>
        </w:numPr>
        <w:spacing w:before="60" w:after="60"/>
      </w:pPr>
      <w:r>
        <w:t xml:space="preserve">Equity breakdown by content type (blog, product page, whitepaper, etc.)</w:t>
      </w:r>
    </w:p>
    <w:p>
      <w:pPr>
        <w:pStyle w:val="ListParagraph"/>
        <w:numPr>
          <w:ilvl w:val="0"/>
          <w:numId w:val="2"/>
        </w:numPr>
        <w:spacing w:before="60" w:after="60"/>
      </w:pPr>
      <w:r>
        <w:t xml:space="preserve">Disposition summary: how many URLs are Keep / Remove / Consolidate / Redirect Only, with total equity at stake for each category</w:t>
      </w:r>
    </w:p>
    <w:p>
      <w:pPr>
        <w:pStyle w:val="ListParagraph"/>
        <w:numPr>
          <w:ilvl w:val="0"/>
          <w:numId w:val="2"/>
        </w:numPr>
        <w:spacing w:before="60" w:after="60"/>
      </w:pPr>
      <w:r>
        <w:t xml:space="preserve">Data completeness indicators per source</w:t>
      </w:r>
    </w:p>
    <w:p>
      <w:pPr>
        <w:pStyle w:val="Heading2"/>
      </w:pPr>
      <w:r>
        <w:t xml:space="preserve">6.4 Bulk Tagging Rules Engine</w:t>
      </w:r>
    </w:p>
    <w:p>
      <w:pPr>
        <w:spacing w:before="120" w:after="120"/>
      </w:pPr>
      <w:r>
        <w:t xml:space="preserve">A rule builder for automating repetitive classification decisions. Rules are applied in order and can be previewed before executing.</w:t>
      </w:r>
    </w:p>
    <w:p>
      <w:pPr>
        <w:spacing w:before="120" w:after="120"/>
      </w:pPr>
      <w:r>
        <w:t xml:space="preserve">Rule format: IF [condition] THEN SET [field] TO [value].</w:t>
      </w:r>
    </w:p>
    <w:p>
      <w:pPr>
        <w:spacing w:before="120" w:after="120"/>
      </w:pPr>
      <w:r>
        <w:t xml:space="preserve">Example rules:</w:t>
      </w:r>
    </w:p>
    <w:p>
      <w:pPr>
        <w:pStyle w:val="ListParagraph"/>
        <w:numPr>
          <w:ilvl w:val="0"/>
          <w:numId w:val="2"/>
        </w:numPr>
        <w:spacing w:before="60" w:after="60"/>
      </w:pPr>
      <w:r>
        <w:t xml:space="preserve">IF URL contains /products/equity-plan-solutions/ THEN SET solution_segment TO Equity</w:t>
      </w:r>
    </w:p>
    <w:p>
      <w:pPr>
        <w:pStyle w:val="ListParagraph"/>
        <w:numPr>
          <w:ilvl w:val="0"/>
          <w:numId w:val="2"/>
        </w:numPr>
        <w:spacing w:before="60" w:after="60"/>
      </w:pPr>
      <w:r>
        <w:t xml:space="preserve">IF wp_post_type = post THEN SET migration_content_type TO Blog</w:t>
      </w:r>
    </w:p>
    <w:p>
      <w:pPr>
        <w:pStyle w:val="ListParagraph"/>
        <w:numPr>
          <w:ilvl w:val="0"/>
          <w:numId w:val="2"/>
        </w:numPr>
        <w:spacing w:before="60" w:after="60"/>
      </w:pPr>
      <w:r>
        <w:t xml:space="preserve">IF dl_product_line = JustPerform THEN SET solution_segment TO Finance</w:t>
      </w:r>
    </w:p>
    <w:p>
      <w:pPr>
        <w:pStyle w:val="ListParagraph"/>
        <w:numPr>
          <w:ilvl w:val="0"/>
          <w:numId w:val="2"/>
        </w:numPr>
        <w:spacing w:before="60" w:after="60"/>
      </w:pPr>
      <w:r>
        <w:t xml:space="preserve">IF gsc_clicks &lt; 10 AND referring_domains = 0 AND ga_conversions = 0 THEN SET disposition TO Remove</w:t>
      </w:r>
    </w:p>
    <w:p>
      <w:pPr>
        <w:pStyle w:val="ListParagraph"/>
        <w:numPr>
          <w:ilvl w:val="0"/>
          <w:numId w:val="2"/>
        </w:numPr>
        <w:spacing w:before="60" w:after="60"/>
      </w:pPr>
      <w:r>
        <w:t xml:space="preserve">IF URL contains /de/ OR /fr/ OR /es/ THEN SET notes TO Localized page — verify Weglot handling</w:t>
      </w:r>
    </w:p>
    <w:p>
      <w:pPr>
        <w:spacing w:before="120" w:after="120"/>
      </w:pPr>
      <w:r>
        <w:t xml:space="preserve">Before execution, the rule engine shows a preview of how many URLs match and what the changes would be. User confirms before applying. All rule applications are logged for auditability.</w:t>
      </w:r>
    </w:p>
    <w:p>
      <w:pPr>
        <w:pStyle w:val="Heading2"/>
      </w:pPr>
      <w:r>
        <w:t xml:space="preserve">6.5 CSV Export</w:t>
      </w:r>
    </w:p>
    <w:p>
      <w:pPr>
        <w:spacing w:before="120" w:after="120"/>
      </w:pPr>
      <w:r>
        <w:t xml:space="preserve">Export the current filtered view (or full dataset) as CSV. This is how outputs get shared with Optimal, Mighty Union, and the Web Evolution Council. Export options:</w:t>
      </w:r>
    </w:p>
    <w:p>
      <w:pPr>
        <w:pStyle w:val="ListParagraph"/>
        <w:numPr>
          <w:ilvl w:val="0"/>
          <w:numId w:val="2"/>
        </w:numPr>
        <w:spacing w:before="60" w:after="60"/>
      </w:pPr>
      <w:r>
        <w:t xml:space="preserve">Full inventory export (all fields)</w:t>
      </w:r>
    </w:p>
    <w:p>
      <w:pPr>
        <w:pStyle w:val="ListParagraph"/>
        <w:numPr>
          <w:ilvl w:val="0"/>
          <w:numId w:val="2"/>
        </w:numPr>
        <w:spacing w:before="60" w:after="60"/>
      </w:pPr>
      <w:r>
        <w:t xml:space="preserve">Redirect map export (old URL, new URL, redirect type, priority tier)</w:t>
      </w:r>
    </w:p>
    <w:p>
      <w:pPr>
        <w:pStyle w:val="ListParagraph"/>
        <w:numPr>
          <w:ilvl w:val="0"/>
          <w:numId w:val="2"/>
        </w:numPr>
        <w:spacing w:before="60" w:after="60"/>
      </w:pPr>
      <w:r>
        <w:t xml:space="preserve">Content audit export (URL, title, disposition, owner, status, notes)</w:t>
      </w:r>
    </w:p>
    <w:p>
      <w:pPr>
        <w:pStyle w:val="ListParagraph"/>
        <w:numPr>
          <w:ilvl w:val="0"/>
          <w:numId w:val="2"/>
        </w:numPr>
        <w:spacing w:before="60" w:after="60"/>
      </w:pPr>
      <w:r>
        <w:t xml:space="preserve">Segment summary export (aggregate metrics by solution segment)</w:t>
      </w:r>
    </w:p>
    <w:p>
      <w:pPr>
        <w:pStyle w:val="ListParagraph"/>
        <w:numPr>
          <w:ilvl w:val="0"/>
          <w:numId w:val="2"/>
        </w:numPr>
        <w:spacing w:before="60" w:after="60"/>
      </w:pPr>
      <w:r>
        <w:t xml:space="preserve">Custom export (user selects which columns to include)</w:t>
      </w:r>
    </w:p>
    <w:p>
      <w:pPr>
        <w:pBdr>
          <w:bottom w:val="single" w:color="31AB46" w:sz="4" w:space="8"/>
        </w:pBdr>
        <w:spacing w:before="200" w:after="200"/>
      </w:pPr>
    </w:p>
    <w:p>
      <w:pPr>
        <w:pStyle w:val="Heading1"/>
      </w:pPr>
      <w:r>
        <w:t xml:space="preserve">7. Future Modules (Post-MVP)</w:t>
      </w:r>
    </w:p>
    <w:p>
      <w:pPr>
        <w:spacing w:before="120" w:after="120"/>
      </w:pPr>
      <w:r>
        <w:t xml:space="preserve">The following modules extend the tool beyond the initial content inventory. They should be built incrementally as the project progresses through its phases.</w:t>
      </w:r>
    </w:p>
    <w:p>
      <w:pPr>
        <w:pStyle w:val="Heading2"/>
      </w:pPr>
      <w:r>
        <w:t xml:space="preserve">7.1 Module 2: IA Mapping &amp; Impact Modeling (Phase 0–1)</w:t>
      </w:r>
    </w:p>
    <w:p>
      <w:pPr>
        <w:spacing w:before="120" w:after="120"/>
      </w:pPr>
      <w:r>
        <w:t xml:space="preserve">Enables modeling proposed IA structures against the current-state data to quantify SEO impact of different restructuring options. Visual tree view of current vs. proposed URL hierarchy. Side-by-side comparison of multiple IA proposals with redirect count, equity displacement, and depth-change metrics. Directly feeds into Council decision-making.</w:t>
      </w:r>
    </w:p>
    <w:p>
      <w:pPr>
        <w:pStyle w:val="Heading2"/>
      </w:pPr>
      <w:r>
        <w:t xml:space="preserve">7.2 Module 3: Redirect Map Builder (Phase 1–2)</w:t>
      </w:r>
    </w:p>
    <w:p>
      <w:pPr>
        <w:spacing w:before="120" w:after="120"/>
      </w:pPr>
      <w:r>
        <w:t xml:space="preserve">Generates the actual redirect configuration from migration decisions. Pattern-based regex rule engine with preview and conflict detection. Manual override interface for Tier 1 pages. Chain detection and collapse for existing WordPress redirects. Localization-aware redirect generation for Weglot language prefixes. Export to Vercel vercel.json format (primary), with CSV as fallback.</w:t>
      </w:r>
    </w:p>
    <w:p>
      <w:pPr>
        <w:pStyle w:val="Heading2"/>
      </w:pPr>
      <w:r>
        <w:t xml:space="preserve">7.3 Module 4: WordPress → Storyblok Field Mapper (Phase 1–2)</w:t>
      </w:r>
    </w:p>
    <w:p>
      <w:pPr>
        <w:spacing w:before="120" w:after="120"/>
      </w:pPr>
      <w:r>
        <w:t xml:space="preserve">Visual field mapping interface for the programmatic migration scripts. Maps WordPress content model fields to Storyblok component schemas. SEO field preservation checklist with red flags for unmapped critical fields (title, meta desc, canonical, OG tags, schema). Content transformation rule definitions for shortcode and HTML-to-richtext conversion. Image and asset mapping tracker.</w:t>
      </w:r>
    </w:p>
    <w:p>
      <w:pPr>
        <w:pStyle w:val="Heading2"/>
      </w:pPr>
      <w:r>
        <w:t xml:space="preserve">7.4 Module 5: Pre-Launch Validation (Phase 3)</w:t>
      </w:r>
    </w:p>
    <w:p>
      <w:pPr>
        <w:spacing w:before="120" w:after="120"/>
      </w:pPr>
      <w:r>
        <w:t xml:space="preserve">Checklist-driven dashboard for the weeks before August cutover. Redirect coverage by priority tier. SEO field comparison between old site and staging site. Internal link validation (no links pointing to old URLs in migrated content). Sitemap diff (old vs. new). Robots/noindex audit. Core Web Vitals baseline on staging. Integration verification (GA4, GTM, OneTrust firing correctly).</w:t>
      </w:r>
    </w:p>
    <w:p>
      <w:pPr>
        <w:pStyle w:val="Heading2"/>
      </w:pPr>
      <w:r>
        <w:t xml:space="preserve">7.5 Module 6: Post-Launch Monitoring (Phase 4)</w:t>
      </w:r>
    </w:p>
    <w:p>
      <w:pPr>
        <w:spacing w:before="120" w:after="120"/>
      </w:pPr>
      <w:r>
        <w:t xml:space="preserve">Tracks success metrics defined in the Web Evolution Project plan. Crawl error tracking against the &lt;1% by Week 4 target. Ranking volatility by segment for top keywords. Traffic comparison (old URL vs. new URL via redirect). Conversion monitoring against the 85% baseline by Week 8 target. LLM citation tracking for AEO. 404 spike alerts with one-click redirect creation.</w:t>
      </w:r>
    </w:p>
    <w:p>
      <w:pPr>
        <w:pBdr>
          <w:bottom w:val="single" w:color="31AB46" w:sz="4" w:space="8"/>
        </w:pBdr>
        <w:spacing w:before="200" w:after="200"/>
      </w:pPr>
    </w:p>
    <w:p>
      <w:pPr>
        <w:pStyle w:val="Heading1"/>
      </w:pPr>
      <w:r>
        <w:t xml:space="preserve">8. Technical Note: Redirect Format</w:t>
      </w:r>
    </w:p>
    <w:p>
      <w:pPr>
        <w:spacing w:before="120" w:after="120"/>
      </w:pPr>
      <w:r>
        <w:t xml:space="preserve">The Web Evolution Project plan references .htaccess rules in Phase 4. Since the new site deploys on Vercel, Apache-style .htaccess files do not apply. The redirect map should be generated in one of the following Vercel-native formats:</w:t>
      </w:r>
    </w:p>
    <w:p>
      <w:pPr>
        <w:pStyle w:val="ListParagraph"/>
        <w:numPr>
          <w:ilvl w:val="0"/>
          <w:numId w:val="2"/>
        </w:numPr>
        <w:spacing w:before="60" w:after="60"/>
      </w:pPr>
      <w:r>
        <w:rPr>
          <w:b/>
          <w:bCs/>
        </w:rPr>
        <w:t xml:space="preserve">vercel.json redirects array: </w:t>
      </w:r>
      <w:r>
        <w:t xml:space="preserve">Best for static redirect maps under 1,024 rules. Each rule specifies source, destination, and statusCode (301 for permanent, 308 for permanent with method preservation).</w:t>
      </w:r>
    </w:p>
    <w:p>
      <w:pPr>
        <w:pStyle w:val="ListParagraph"/>
        <w:numPr>
          <w:ilvl w:val="0"/>
          <w:numId w:val="2"/>
        </w:numPr>
        <w:spacing w:before="60" w:after="60"/>
      </w:pPr>
      <w:r>
        <w:rPr>
          <w:b/>
          <w:bCs/>
        </w:rPr>
        <w:t xml:space="preserve">Vercel Edge Middleware: </w:t>
      </w:r>
      <w:r>
        <w:t xml:space="preserve">Required if redirect logic exceeds 1,024 rules or needs dynamic matching (regex patterns, conditional logic). Runs at the edge before the page renders.</w:t>
      </w:r>
    </w:p>
    <w:p>
      <w:pPr>
        <w:pStyle w:val="ListParagraph"/>
        <w:numPr>
          <w:ilvl w:val="0"/>
          <w:numId w:val="2"/>
        </w:numPr>
        <w:spacing w:before="60" w:after="60"/>
      </w:pPr>
      <w:r>
        <w:rPr>
          <w:b/>
          <w:bCs/>
        </w:rPr>
        <w:t xml:space="preserve">Transitional .htaccess: </w:t>
      </w:r>
      <w:r>
        <w:t xml:space="preserve">Only relevant if the old WordPress server remains running briefly as a redirect layer during the DNS transition window. This should be discussed with the Development Lead (Russ Clow) to confirm the cutover approach.</w:t>
      </w:r>
    </w:p>
    <w:p>
      <w:pPr>
        <w:spacing w:before="120" w:after="120"/>
      </w:pPr>
      <w:r>
        <w:t xml:space="preserve">The redirect module should default to vercel.json format and fall back to middleware generation if the rule count exceeds Vercel limits. Flag this to Rob and Russ early in Phase 1 to align on the technical approach.</w:t>
      </w:r>
    </w:p>
    <w:p>
      <w:pPr>
        <w:pBdr>
          <w:bottom w:val="single" w:color="31AB46" w:sz="4" w:space="8"/>
        </w:pBdr>
        <w:spacing w:before="200" w:after="200"/>
      </w:pPr>
    </w:p>
    <w:p>
      <w:pPr>
        <w:pStyle w:val="Heading1"/>
      </w:pPr>
      <w:r>
        <w:t xml:space="preserve">9. Build Sequence &amp; Timeline Alignment</w:t>
      </w:r>
    </w:p>
    <w:p>
      <w:pPr>
        <w:spacing w:before="120" w:after="120"/>
      </w:pPr>
      <w:r>
        <w:t xml:space="preserve">The tool build is phased to deliver capabilities in time for each stage of the Web Evolution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60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Deliverable</w:t>
            </w:r>
          </w:p>
        </w:tc>
        <w:tc>
          <w:tcPr>
            <w:tcW w:type="dxa" w:w="4960"/>
            <w:tcBorders>
              <w:top w:val="single" w:color="CCCCCC" w:sz="1"/>
              <w:left w:val="single" w:color="CCCCCC" w:sz="1"/>
              <w:bottom w:val="single" w:color="CCCCCC" w:sz="1"/>
              <w:right w:val="single" w:color="CCCCCC" w:sz="1"/>
            </w:tcBorders>
            <w:shd w:fill="1E2556" w:val="clear"/>
            <w:tcMar>
              <w:top w:type="dxa" w:w="80"/>
              <w:left w:type="dxa" w:w="120"/>
              <w:bottom w:type="dxa" w:w="80"/>
              <w:right w:type="dxa" w:w="120"/>
            </w:tcMar>
            <w:vAlign w:val="center"/>
          </w:tcPr>
          <w:p>
            <w:r>
              <w:rPr>
                <w:rFonts w:ascii="Arial" w:cs="Arial" w:eastAsia="Arial" w:hAnsi="Arial"/>
                <w:b/>
                <w:bCs/>
                <w:color w:val="FFFFFF"/>
                <w:sz w:val="20"/>
                <w:szCs w:val="20"/>
              </w:rPr>
              <w:t xml:space="preserve">Supports Project Phase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Mar 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ingestion + Content Inventory (MVP)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0: Kickoff &amp; Discovery — current-state audit, stakeholder workshops, segmentation framework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 – Apr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tagging rules + SEO Equity Dashboard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0–1: Content audit (Keep/Remove/Consolidate), segment classification, Council presentations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 May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 Mapping + Redirect Map Builder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Mighty Union IA proposals, URL structure decisions, redirect principles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 Jun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Mapper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1–2: Storyblok content model, programmatic migration script development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Pre-Launch Validation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QA, redirect finalization, SEO validation on staging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Aug – Sep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Post-Launch Monitoring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Cutover, crawl error monitoring, ranking/traffic/conversion tracking</w:t>
            </w:r>
          </w:p>
        </w:tc>
      </w:tr>
    </w:tbl>
    <w:p>
      <w:pPr>
        <w:pBdr>
          <w:bottom w:val="single" w:color="31AB46" w:sz="4" w:space="8"/>
        </w:pBdr>
        <w:spacing w:before="200" w:after="200"/>
      </w:pPr>
    </w:p>
    <w:p>
      <w:pPr>
        <w:pStyle w:val="Heading1"/>
      </w:pPr>
      <w:r>
        <w:t xml:space="preserve">10. Open Questions &amp; Decisions Pending</w:t>
      </w:r>
    </w:p>
    <w:p>
      <w:pPr>
        <w:pStyle w:val="ListParagraph"/>
        <w:numPr>
          <w:ilvl w:val="0"/>
          <w:numId w:val="2"/>
        </w:numPr>
        <w:spacing w:before="60" w:after="60"/>
      </w:pPr>
      <w:r>
        <w:rPr>
          <w:b/>
          <w:bCs/>
        </w:rPr>
        <w:t xml:space="preserve">Vercel redirect approach: </w:t>
      </w:r>
      <w:r>
        <w:t xml:space="preserve">Confirm with Russ whether the cutover is a clean DNS switch (Vercel handles all redirects) or if WordPress stays up briefly as a redirect layer. This determines the redirect export format.</w:t>
      </w:r>
    </w:p>
    <w:p>
      <w:pPr>
        <w:pStyle w:val="ListParagraph"/>
        <w:numPr>
          <w:ilvl w:val="0"/>
          <w:numId w:val="2"/>
        </w:numPr>
        <w:spacing w:before="60" w:after="60"/>
      </w:pPr>
      <w:r>
        <w:rPr>
          <w:b/>
          <w:bCs/>
        </w:rPr>
        <w:t xml:space="preserve">GA4 export segmentation: </w:t>
      </w:r>
      <w:r>
        <w:t xml:space="preserve">Determine if the GA4 export should include geographic breakdowns (NA/EMEA/APAC/LATAM) as separate columns, or if a single aggregate is sufficient for the MVP.</w:t>
      </w:r>
    </w:p>
    <w:p>
      <w:pPr>
        <w:pStyle w:val="ListParagraph"/>
        <w:numPr>
          <w:ilvl w:val="0"/>
          <w:numId w:val="2"/>
        </w:numPr>
        <w:spacing w:before="60" w:after="60"/>
      </w:pPr>
      <w:r>
        <w:rPr>
          <w:b/>
          <w:bCs/>
        </w:rPr>
        <w:t xml:space="preserve">jetDataLayer field completeness: </w:t>
      </w:r>
      <w:r>
        <w:t xml:space="preserve">Run an initial analysis to determine what percentage of URLs have complete datalayer coverage vs. partial/empty. This informs how much manual tagging effort to expect.</w:t>
      </w:r>
    </w:p>
    <w:p>
      <w:pPr>
        <w:pStyle w:val="ListParagraph"/>
        <w:numPr>
          <w:ilvl w:val="0"/>
          <w:numId w:val="2"/>
        </w:numPr>
        <w:spacing w:before="60" w:after="60"/>
      </w:pPr>
      <w:r>
        <w:rPr>
          <w:b/>
          <w:bCs/>
        </w:rPr>
        <w:t xml:space="preserve">Storyblok content model: </w:t>
      </w:r>
      <w:r>
        <w:t xml:space="preserve">The Field Mapper module depends on the Storyblok component schemas being defined. This is a Phase 1 deliverable — the module can be specced once the content model takes shape.</w:t>
      </w:r>
    </w:p>
    <w:p>
      <w:pPr>
        <w:pStyle w:val="ListParagraph"/>
        <w:numPr>
          <w:ilvl w:val="0"/>
          <w:numId w:val="2"/>
        </w:numPr>
        <w:spacing w:before="60" w:after="60"/>
      </w:pPr>
      <w:r>
        <w:rPr>
          <w:b/>
          <w:bCs/>
        </w:rPr>
        <w:t xml:space="preserve">SEO Equity Score weights: </w:t>
      </w:r>
      <w:r>
        <w:t xml:space="preserve">The proposed 30/25/25/20 weighting is a starting point. Calibrate once real data is loaded — if backlink data is sparse, shift weight to traffic and keywords.</w:t>
      </w:r>
    </w:p>
    <w:p>
      <w:pPr>
        <w:pStyle w:val="ListParagraph"/>
        <w:numPr>
          <w:ilvl w:val="0"/>
          <w:numId w:val="2"/>
        </w:numPr>
        <w:spacing w:before="60" w:after="60"/>
      </w:pPr>
      <w:r>
        <w:rPr>
          <w:b/>
          <w:bCs/>
        </w:rPr>
        <w:t xml:space="preserve">Weglot localization URLs: </w:t>
      </w:r>
      <w:r>
        <w:t xml:space="preserve">Confirm how localized URLs are currently structured (subdirectories like /de/, /fr/ or query parameters) and whether they need to be tracked as separate inventory records or handled as variants of the base URL.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55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7AC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2026-03-02T19:21:36.835Z</dcterms:created>
  <dcterms:modified xsi:type="dcterms:W3CDTF">2026-03-02T19:21:36.836Z</dcterms:modified>
</cp:coreProperties>
</file>

<file path=docProps/custom.xml><?xml version="1.0" encoding="utf-8"?>
<Properties xmlns="http://schemas.openxmlformats.org/officeDocument/2006/custom-properties" xmlns:vt="http://schemas.openxmlformats.org/officeDocument/2006/docPropsVTypes"/>
</file>