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0D1B01C3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0D1B01C3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D1B01C3" w:rsidRDefault="00B7788F" w14:paraId="2819F8C6" w14:textId="75C23E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0D1B01C3" w:rsidR="448D64C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08/10/2023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D1B01C3" w:rsidRDefault="00B7788F" w14:paraId="07699096" w14:textId="1F61C4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0D1B01C3" w:rsidR="448D64C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Mitchel Harmon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="4E696CA6" w:rsidP="0D1B01C3" w:rsidRDefault="4E696CA6" w14:paraId="0899CF61" w14:textId="6BBE8077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0D1B01C3" w:rsidR="4E696CA6">
        <w:rPr>
          <w:rFonts w:cs="Calibri" w:cstheme="minorAscii"/>
          <w:sz w:val="22"/>
          <w:szCs w:val="22"/>
        </w:rPr>
        <w:t>Mitchel Harmon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16AF4FFB" w:rsidP="0D1B01C3" w:rsidRDefault="16AF4FFB" w14:paraId="428CB6D4" w14:textId="56A256BC">
      <w:pPr>
        <w:pStyle w:val="Normal"/>
        <w:spacing/>
        <w:ind w:firstLine="720"/>
        <w:contextualSpacing/>
        <w:rPr>
          <w:rFonts w:eastAsia="Times New Roman"/>
          <w:sz w:val="22"/>
          <w:szCs w:val="22"/>
        </w:rPr>
      </w:pPr>
      <w:r w:rsidRPr="0D1B01C3" w:rsidR="16AF4FFB">
        <w:rPr>
          <w:rFonts w:eastAsia="Times New Roman"/>
          <w:sz w:val="22"/>
          <w:szCs w:val="22"/>
        </w:rPr>
        <w:t xml:space="preserve">Artemis Financial deals with important financial data so encrypting that data is a necessary precaution in avoiding the data being seen by anyone unauthorized. AES would be the best </w:t>
      </w:r>
      <w:r w:rsidRPr="0D1B01C3" w:rsidR="16AF4FFB">
        <w:rPr>
          <w:rFonts w:eastAsia="Times New Roman"/>
          <w:sz w:val="22"/>
          <w:szCs w:val="22"/>
        </w:rPr>
        <w:t>option</w:t>
      </w:r>
      <w:r w:rsidRPr="0D1B01C3" w:rsidR="16AF4FFB">
        <w:rPr>
          <w:rFonts w:eastAsia="Times New Roman"/>
          <w:sz w:val="22"/>
          <w:szCs w:val="22"/>
        </w:rPr>
        <w:t xml:space="preserve"> when it comes to encrypting </w:t>
      </w:r>
      <w:r w:rsidRPr="0D1B01C3" w:rsidR="57B965DC">
        <w:rPr>
          <w:rFonts w:eastAsia="Times New Roman"/>
          <w:sz w:val="22"/>
          <w:szCs w:val="22"/>
        </w:rPr>
        <w:t>sensitive</w:t>
      </w:r>
      <w:r w:rsidRPr="0D1B01C3" w:rsidR="16AF4FFB">
        <w:rPr>
          <w:rFonts w:eastAsia="Times New Roman"/>
          <w:sz w:val="22"/>
          <w:szCs w:val="22"/>
        </w:rPr>
        <w:t xml:space="preserve"> financial data and is used by the U.S government. AES uses three block ciphers which are AES-128, AES-192, and AES-256, while each cipher encrypts and decrypts data in blocks of 128 bits using cryptographic keys of 128,192 and 256 bits (Bernstein &amp; Cobb,2021, para. 7).</w:t>
      </w:r>
      <w:r w:rsidRPr="0D1B01C3" w:rsidR="13B64E8B">
        <w:rPr>
          <w:rFonts w:eastAsia="Times New Roman"/>
          <w:sz w:val="22"/>
          <w:szCs w:val="22"/>
        </w:rPr>
        <w:t xml:space="preserve"> </w:t>
      </w:r>
      <w:r w:rsidRPr="0D1B01C3" w:rsidR="16AF4FFB">
        <w:rPr>
          <w:rFonts w:eastAsia="Times New Roman"/>
          <w:sz w:val="22"/>
          <w:szCs w:val="22"/>
        </w:rPr>
        <w:t xml:space="preserve">AES employs symmetric encryption which involves converting plaintext to ciphertext using the same key to encrypt and decrypt the data. Another encryption is RSA (Rivest-Shamir-Adleman) algorithm which is more commonly used in web browsers, </w:t>
      </w:r>
      <w:r w:rsidRPr="0D1B01C3" w:rsidR="16AF4FFB">
        <w:rPr>
          <w:rFonts w:eastAsia="Times New Roman"/>
          <w:sz w:val="22"/>
          <w:szCs w:val="22"/>
        </w:rPr>
        <w:t>VPN’s</w:t>
      </w:r>
      <w:r w:rsidRPr="0D1B01C3" w:rsidR="16AF4FFB">
        <w:rPr>
          <w:rFonts w:eastAsia="Times New Roman"/>
          <w:sz w:val="22"/>
          <w:szCs w:val="22"/>
        </w:rPr>
        <w:t xml:space="preserve"> and various other applications. RSA uses </w:t>
      </w:r>
      <w:r w:rsidRPr="0D1B01C3" w:rsidR="493E67BB">
        <w:rPr>
          <w:rFonts w:eastAsia="Times New Roman"/>
          <w:sz w:val="22"/>
          <w:szCs w:val="22"/>
        </w:rPr>
        <w:t>asymmetric</w:t>
      </w:r>
      <w:r w:rsidRPr="0D1B01C3" w:rsidR="16AF4FFB">
        <w:rPr>
          <w:rFonts w:eastAsia="Times New Roman"/>
          <w:sz w:val="22"/>
          <w:szCs w:val="22"/>
        </w:rPr>
        <w:t xml:space="preserve"> cryptography which has a public and private key that only allows decryption with the related key and is employed with two separate endpoints.</w:t>
      </w:r>
      <w:r w:rsidRPr="0D1B01C3" w:rsidR="32BFE0F4">
        <w:rPr>
          <w:rFonts w:eastAsia="Times New Roman"/>
          <w:sz w:val="22"/>
          <w:szCs w:val="22"/>
        </w:rPr>
        <w:t xml:space="preserve"> </w:t>
      </w:r>
      <w:r w:rsidRPr="0D1B01C3" w:rsidR="107BE6CC">
        <w:rPr>
          <w:rFonts w:eastAsia="Times New Roman"/>
          <w:sz w:val="22"/>
          <w:szCs w:val="22"/>
        </w:rPr>
        <w:t xml:space="preserve">RSA performance is poor due to </w:t>
      </w:r>
      <w:r w:rsidRPr="0D1B01C3" w:rsidR="545268C7">
        <w:rPr>
          <w:rFonts w:eastAsia="Times New Roman"/>
          <w:sz w:val="22"/>
          <w:szCs w:val="22"/>
        </w:rPr>
        <w:t>its</w:t>
      </w:r>
      <w:r w:rsidRPr="0D1B01C3" w:rsidR="107BE6CC">
        <w:rPr>
          <w:rFonts w:eastAsia="Times New Roman"/>
          <w:sz w:val="22"/>
          <w:szCs w:val="22"/>
        </w:rPr>
        <w:t xml:space="preserve"> speed not being convenient for processing </w:t>
      </w:r>
      <w:r w:rsidRPr="0D1B01C3" w:rsidR="107BE6CC">
        <w:rPr>
          <w:rFonts w:eastAsia="Times New Roman"/>
          <w:sz w:val="22"/>
          <w:szCs w:val="22"/>
        </w:rPr>
        <w:t>large amounts</w:t>
      </w:r>
      <w:r w:rsidRPr="0D1B01C3" w:rsidR="107BE6CC">
        <w:rPr>
          <w:rFonts w:eastAsia="Times New Roman"/>
          <w:sz w:val="22"/>
          <w:szCs w:val="22"/>
        </w:rPr>
        <w:t xml:space="preserve"> of data so while the security of RSA might be good the processing power</w:t>
      </w:r>
      <w:r w:rsidRPr="0D1B01C3" w:rsidR="017CB689">
        <w:rPr>
          <w:rFonts w:eastAsia="Times New Roman"/>
          <w:sz w:val="22"/>
          <w:szCs w:val="22"/>
        </w:rPr>
        <w:t xml:space="preserve"> of RSA</w:t>
      </w:r>
      <w:r w:rsidRPr="0D1B01C3" w:rsidR="36C0DC4F">
        <w:rPr>
          <w:rFonts w:eastAsia="Times New Roman"/>
          <w:sz w:val="22"/>
          <w:szCs w:val="22"/>
        </w:rPr>
        <w:t xml:space="preserve"> </w:t>
      </w:r>
      <w:r w:rsidRPr="0D1B01C3" w:rsidR="36C0DC4F">
        <w:rPr>
          <w:rFonts w:eastAsia="Times New Roman"/>
          <w:sz w:val="22"/>
          <w:szCs w:val="22"/>
        </w:rPr>
        <w:t>doesn’t</w:t>
      </w:r>
      <w:r w:rsidRPr="0D1B01C3" w:rsidR="36C0DC4F">
        <w:rPr>
          <w:rFonts w:eastAsia="Times New Roman"/>
          <w:sz w:val="22"/>
          <w:szCs w:val="22"/>
        </w:rPr>
        <w:t xml:space="preserve"> hold a candle to AES</w:t>
      </w:r>
      <w:r w:rsidRPr="0D1B01C3" w:rsidR="107BE6CC">
        <w:rPr>
          <w:rFonts w:eastAsia="Times New Roman"/>
          <w:sz w:val="22"/>
          <w:szCs w:val="22"/>
        </w:rPr>
        <w:t xml:space="preserve">. </w:t>
      </w:r>
      <w:r w:rsidRPr="0D1B01C3" w:rsidR="32BFE0F4">
        <w:rPr>
          <w:rFonts w:eastAsia="Times New Roman"/>
          <w:sz w:val="22"/>
          <w:szCs w:val="22"/>
        </w:rPr>
        <w:t xml:space="preserve">RSA by </w:t>
      </w:r>
      <w:r w:rsidRPr="0D1B01C3" w:rsidR="4178B197">
        <w:rPr>
          <w:rFonts w:eastAsia="Times New Roman"/>
          <w:sz w:val="22"/>
          <w:szCs w:val="22"/>
        </w:rPr>
        <w:t>itself</w:t>
      </w:r>
      <w:r w:rsidRPr="0D1B01C3" w:rsidR="32BFE0F4">
        <w:rPr>
          <w:rFonts w:eastAsia="Times New Roman"/>
          <w:sz w:val="22"/>
          <w:szCs w:val="22"/>
        </w:rPr>
        <w:t xml:space="preserve"> would not be suffic</w:t>
      </w:r>
      <w:r w:rsidRPr="0D1B01C3" w:rsidR="32BFE0F4">
        <w:rPr>
          <w:rFonts w:eastAsia="Times New Roman"/>
          <w:sz w:val="22"/>
          <w:szCs w:val="22"/>
        </w:rPr>
        <w:t xml:space="preserve">ient to </w:t>
      </w:r>
      <w:r w:rsidRPr="0D1B01C3" w:rsidR="09366717">
        <w:rPr>
          <w:rFonts w:eastAsia="Times New Roman"/>
          <w:sz w:val="22"/>
          <w:szCs w:val="22"/>
        </w:rPr>
        <w:t>safeguard</w:t>
      </w:r>
      <w:r w:rsidRPr="0D1B01C3" w:rsidR="32BFE0F4">
        <w:rPr>
          <w:rFonts w:eastAsia="Times New Roman"/>
          <w:sz w:val="22"/>
          <w:szCs w:val="22"/>
        </w:rPr>
        <w:t xml:space="preserve"> the sen</w:t>
      </w:r>
      <w:r w:rsidRPr="0D1B01C3" w:rsidR="033782A3">
        <w:rPr>
          <w:rFonts w:eastAsia="Times New Roman"/>
          <w:sz w:val="22"/>
          <w:szCs w:val="22"/>
        </w:rPr>
        <w:t>si</w:t>
      </w:r>
      <w:r w:rsidRPr="0D1B01C3" w:rsidR="32BFE0F4">
        <w:rPr>
          <w:rFonts w:eastAsia="Times New Roman"/>
          <w:sz w:val="22"/>
          <w:szCs w:val="22"/>
        </w:rPr>
        <w:t>tive</w:t>
      </w:r>
      <w:r w:rsidRPr="0D1B01C3" w:rsidR="32BFE0F4">
        <w:rPr>
          <w:rFonts w:eastAsia="Times New Roman"/>
          <w:sz w:val="22"/>
          <w:szCs w:val="22"/>
        </w:rPr>
        <w:t xml:space="preserve"> bank data but can be us</w:t>
      </w:r>
      <w:r w:rsidRPr="0D1B01C3" w:rsidR="32BFE0F4">
        <w:rPr>
          <w:rFonts w:eastAsia="Times New Roman"/>
          <w:sz w:val="22"/>
          <w:szCs w:val="22"/>
        </w:rPr>
        <w:t>ed in tand</w:t>
      </w:r>
      <w:r w:rsidRPr="0D1B01C3" w:rsidR="32BFE0F4">
        <w:rPr>
          <w:rFonts w:eastAsia="Times New Roman"/>
          <w:sz w:val="22"/>
          <w:szCs w:val="22"/>
        </w:rPr>
        <w:t xml:space="preserve">em with AES </w:t>
      </w:r>
      <w:r w:rsidRPr="0D1B01C3" w:rsidR="6FA26CC2">
        <w:rPr>
          <w:rFonts w:eastAsia="Times New Roman"/>
          <w:sz w:val="22"/>
          <w:szCs w:val="22"/>
        </w:rPr>
        <w:t xml:space="preserve">to </w:t>
      </w:r>
      <w:r w:rsidRPr="0D1B01C3" w:rsidR="6FA26CC2">
        <w:rPr>
          <w:rFonts w:eastAsia="Times New Roman"/>
          <w:sz w:val="22"/>
          <w:szCs w:val="22"/>
        </w:rPr>
        <w:t>provide</w:t>
      </w:r>
      <w:r w:rsidRPr="0D1B01C3" w:rsidR="32BFE0F4">
        <w:rPr>
          <w:rFonts w:eastAsia="Times New Roman"/>
          <w:sz w:val="22"/>
          <w:szCs w:val="22"/>
        </w:rPr>
        <w:t xml:space="preserve"> the benefits of both</w:t>
      </w:r>
      <w:r w:rsidRPr="0D1B01C3" w:rsidR="232B77D6">
        <w:rPr>
          <w:rFonts w:eastAsia="Times New Roman"/>
          <w:sz w:val="22"/>
          <w:szCs w:val="22"/>
        </w:rPr>
        <w:t xml:space="preserve">. </w:t>
      </w:r>
      <w:r w:rsidRPr="0D1B01C3" w:rsidR="7B9A5246">
        <w:rPr>
          <w:rFonts w:eastAsia="Times New Roman"/>
          <w:sz w:val="22"/>
          <w:szCs w:val="22"/>
        </w:rPr>
        <w:t>The earliest evidence of encryption can be traced back to ancient Egypt, the tomb of Khnum</w:t>
      </w:r>
      <w:r w:rsidRPr="0D1B01C3" w:rsidR="6735BF85">
        <w:rPr>
          <w:rFonts w:eastAsia="Times New Roman"/>
          <w:sz w:val="22"/>
          <w:szCs w:val="22"/>
        </w:rPr>
        <w:t xml:space="preserve">hotep II </w:t>
      </w:r>
      <w:r w:rsidRPr="0D1B01C3" w:rsidR="6735BF85">
        <w:rPr>
          <w:rFonts w:eastAsia="Times New Roman"/>
          <w:sz w:val="22"/>
          <w:szCs w:val="22"/>
        </w:rPr>
        <w:t>contained</w:t>
      </w:r>
      <w:r w:rsidRPr="0D1B01C3" w:rsidR="6735BF85">
        <w:rPr>
          <w:rFonts w:eastAsia="Times New Roman"/>
          <w:sz w:val="22"/>
          <w:szCs w:val="22"/>
        </w:rPr>
        <w:t xml:space="preserve"> unusual hieroglyphs that were used to hide the </w:t>
      </w:r>
      <w:r w:rsidRPr="0D1B01C3" w:rsidR="32239F5D">
        <w:rPr>
          <w:rFonts w:eastAsia="Times New Roman"/>
          <w:sz w:val="22"/>
          <w:szCs w:val="22"/>
        </w:rPr>
        <w:t>meaning of the text</w:t>
      </w:r>
      <w:r w:rsidRPr="0D1B01C3" w:rsidR="501AF727">
        <w:rPr>
          <w:rFonts w:eastAsia="Times New Roman"/>
          <w:sz w:val="22"/>
          <w:szCs w:val="22"/>
        </w:rPr>
        <w:t xml:space="preserve">. </w:t>
      </w:r>
      <w:r w:rsidRPr="0D1B01C3" w:rsidR="27BE7B75">
        <w:rPr>
          <w:rFonts w:eastAsia="Times New Roman"/>
          <w:sz w:val="22"/>
          <w:szCs w:val="22"/>
        </w:rPr>
        <w:t>(</w:t>
      </w:r>
      <w:r w:rsidRPr="0D1B01C3" w:rsidR="501AF727">
        <w:rPr>
          <w:rFonts w:eastAsia="Times New Roman"/>
          <w:sz w:val="22"/>
          <w:szCs w:val="22"/>
        </w:rPr>
        <w:t>Team T</w:t>
      </w:r>
      <w:r w:rsidRPr="0D1B01C3" w:rsidR="2E9D2277">
        <w:rPr>
          <w:rFonts w:eastAsia="Times New Roman"/>
          <w:sz w:val="22"/>
          <w:szCs w:val="22"/>
        </w:rPr>
        <w:t>,</w:t>
      </w:r>
      <w:r w:rsidRPr="0D1B01C3" w:rsidR="501AF727">
        <w:rPr>
          <w:rFonts w:eastAsia="Times New Roman"/>
          <w:sz w:val="22"/>
          <w:szCs w:val="22"/>
        </w:rPr>
        <w:t xml:space="preserve"> 2022</w:t>
      </w:r>
      <w:r w:rsidRPr="0D1B01C3" w:rsidR="52257525">
        <w:rPr>
          <w:rFonts w:eastAsia="Times New Roman"/>
          <w:sz w:val="22"/>
          <w:szCs w:val="22"/>
        </w:rPr>
        <w:t>)</w:t>
      </w:r>
      <w:r w:rsidRPr="0D1B01C3" w:rsidR="501AF727">
        <w:rPr>
          <w:rFonts w:eastAsia="Times New Roman"/>
          <w:sz w:val="22"/>
          <w:szCs w:val="22"/>
        </w:rPr>
        <w:t>.</w:t>
      </w:r>
    </w:p>
    <w:p w:rsidR="0D1B01C3" w:rsidP="0D1B01C3" w:rsidRDefault="0D1B01C3" w14:paraId="422779EF" w14:textId="398BBA06">
      <w:pPr>
        <w:pStyle w:val="Normal"/>
        <w:spacing/>
        <w:ind w:firstLine="720"/>
        <w:contextualSpacing/>
        <w:rPr>
          <w:rFonts w:eastAsia="Times New Roman"/>
          <w:sz w:val="22"/>
          <w:szCs w:val="22"/>
        </w:rPr>
      </w:pPr>
    </w:p>
    <w:p w:rsidRPr="00B7788F" w:rsidR="00010B8A" w:rsidP="00D47759" w:rsidRDefault="00010B8A" w14:paraId="5CAB2AA8" w14:textId="77777777">
      <w:pPr>
        <w:contextualSpacing/>
        <w:rPr>
          <w:rFonts w:cstheme="minorHAns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00D47759" w:rsidRDefault="003978A0" w14:paraId="6BEBCC74" w14:textId="68DC7FAD">
      <w:pPr>
        <w:spacing/>
        <w:contextualSpacing/>
      </w:pPr>
    </w:p>
    <w:p w:rsidRPr="00B7788F" w:rsidR="00DB5652" w:rsidP="0D1B01C3" w:rsidRDefault="00DB5652" w14:paraId="77A5BBC5" w14:textId="42F68913">
      <w:pPr>
        <w:spacing/>
        <w:contextualSpacing/>
        <w:rPr>
          <w:rFonts w:cs="Calibri" w:cstheme="minorAscii"/>
          <w:sz w:val="22"/>
          <w:szCs w:val="22"/>
        </w:rPr>
      </w:pPr>
      <w:r w:rsidR="4F3B8146">
        <w:drawing>
          <wp:inline wp14:editId="47EE4DE7" wp14:anchorId="312FBD78">
            <wp:extent cx="4572000" cy="2228850"/>
            <wp:effectExtent l="0" t="0" r="0" b="0"/>
            <wp:docPr id="829322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d7ae5cf33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0D1B01C3" w:rsidRDefault="003978A0" w14:paraId="1D5553A4" w14:textId="5B3A1FF5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478022A4">
        <w:drawing>
          <wp:inline wp14:editId="670FA816" wp14:anchorId="765352E3">
            <wp:extent cx="4572000" cy="619125"/>
            <wp:effectExtent l="0" t="0" r="0" b="0"/>
            <wp:docPr id="1683992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cd6002ff8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BA341E9" w14:textId="77777777">
      <w:pPr>
        <w:contextualSpacing/>
        <w:rPr>
          <w:rFonts w:cstheme="minorHAns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0D1B01C3" w:rsidRDefault="003978A0" w14:paraId="2CB31EF5" w14:textId="35C5D620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07DBFF02">
        <w:drawing>
          <wp:inline wp14:editId="2014F013" wp14:anchorId="45E9ED3F">
            <wp:extent cx="4572000" cy="819150"/>
            <wp:effectExtent l="0" t="0" r="0" b="0"/>
            <wp:docPr id="75057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4ac83cb45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F681708" w14:textId="77777777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:rsidR="003978A0" w:rsidP="0D1B01C3" w:rsidRDefault="003978A0" w14:paraId="099B1CE1" w14:textId="034A4139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0EA2CEDF">
        <w:drawing>
          <wp:inline wp14:editId="39E4326A" wp14:anchorId="77A80073">
            <wp:extent cx="4572000" cy="2495550"/>
            <wp:effectExtent l="0" t="0" r="0" b="0"/>
            <wp:docPr id="381747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f4fd36a15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003978A0" w:rsidP="0D1B01C3" w:rsidRDefault="003978A0" w14:paraId="42BA38F6" w14:textId="6839751B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25DFE053">
        <w:drawing>
          <wp:inline wp14:editId="47A0A5E3" wp14:anchorId="6715A44C">
            <wp:extent cx="4572000" cy="3343275"/>
            <wp:effectExtent l="0" t="0" r="0" b="0"/>
            <wp:docPr id="759977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1e6d8332e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7A298BFB" w:rsidP="0D1B01C3" w:rsidRDefault="7A298BFB" w14:paraId="1F34324F" w14:textId="448CAB34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0D1B01C3" w:rsidR="7A298BFB">
        <w:rPr>
          <w:rFonts w:eastAsia="Times New Roman"/>
          <w:sz w:val="22"/>
          <w:szCs w:val="22"/>
        </w:rPr>
        <w:t>I refactored the code to address the cryptography vulner</w:t>
      </w:r>
      <w:r w:rsidRPr="0D1B01C3" w:rsidR="7A298BFB">
        <w:rPr>
          <w:rFonts w:eastAsia="Times New Roman"/>
          <w:sz w:val="22"/>
          <w:szCs w:val="22"/>
        </w:rPr>
        <w:t>ability by using the hash function for checksum verif</w:t>
      </w:r>
      <w:r w:rsidRPr="0D1B01C3" w:rsidR="7A298BFB">
        <w:rPr>
          <w:rFonts w:eastAsia="Times New Roman"/>
          <w:sz w:val="22"/>
          <w:szCs w:val="22"/>
        </w:rPr>
        <w:t>ication.</w:t>
      </w:r>
      <w:r w:rsidRPr="0D1B01C3" w:rsidR="3267DAC9">
        <w:rPr>
          <w:rFonts w:eastAsia="Times New Roman"/>
          <w:sz w:val="22"/>
          <w:szCs w:val="22"/>
        </w:rPr>
        <w:t xml:space="preserve"> Using the spring </w:t>
      </w:r>
      <w:r w:rsidRPr="0D1B01C3" w:rsidR="0428FAD5">
        <w:rPr>
          <w:rFonts w:eastAsia="Times New Roman"/>
          <w:sz w:val="22"/>
          <w:szCs w:val="22"/>
        </w:rPr>
        <w:t>framework,</w:t>
      </w:r>
      <w:r w:rsidRPr="0D1B01C3" w:rsidR="3267DAC9">
        <w:rPr>
          <w:rFonts w:eastAsia="Times New Roman"/>
          <w:sz w:val="22"/>
          <w:szCs w:val="22"/>
        </w:rPr>
        <w:t xml:space="preserve"> I was able to use </w:t>
      </w:r>
      <w:r w:rsidRPr="0D1B01C3" w:rsidR="76EF243C">
        <w:rPr>
          <w:rFonts w:eastAsia="Times New Roman"/>
          <w:sz w:val="22"/>
          <w:szCs w:val="22"/>
        </w:rPr>
        <w:t xml:space="preserve">restful </w:t>
      </w:r>
      <w:r w:rsidRPr="0D1B01C3" w:rsidR="0945FC91">
        <w:rPr>
          <w:rFonts w:eastAsia="Times New Roman"/>
          <w:sz w:val="22"/>
          <w:szCs w:val="22"/>
        </w:rPr>
        <w:t>API. Lastly, using the certif</w:t>
      </w:r>
      <w:r w:rsidRPr="0D1B01C3" w:rsidR="0945FC91">
        <w:rPr>
          <w:rFonts w:eastAsia="Times New Roman"/>
          <w:sz w:val="22"/>
          <w:szCs w:val="22"/>
        </w:rPr>
        <w:t xml:space="preserve">ication and keystore I was </w:t>
      </w:r>
      <w:r w:rsidRPr="0D1B01C3" w:rsidR="0945FC91">
        <w:rPr>
          <w:rFonts w:eastAsia="Times New Roman"/>
          <w:sz w:val="22"/>
          <w:szCs w:val="22"/>
        </w:rPr>
        <w:t>able to address the server/client vulnerability.</w:t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="620D193F">
        <w:rPr/>
        <w:t>Industry Standard Best Practices</w:t>
      </w:r>
      <w:bookmarkEnd w:id="36"/>
      <w:bookmarkEnd w:id="37"/>
    </w:p>
    <w:p w:rsidR="0D1B01C3" w:rsidP="0D1B01C3" w:rsidRDefault="0D1B01C3" w14:paraId="470241C9" w14:textId="4263F36E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48B04448" w:rsidP="0D1B01C3" w:rsidRDefault="48B04448" w14:paraId="3378DCB6" w14:textId="4BBECDFE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0D1B01C3" w:rsidR="48B04448">
        <w:rPr>
          <w:rFonts w:eastAsia="Times New Roman"/>
          <w:sz w:val="22"/>
          <w:szCs w:val="22"/>
        </w:rPr>
        <w:t>One use of industry standard best practices is the use of hash functions so the user can tell if the data they are rec</w:t>
      </w:r>
      <w:r w:rsidRPr="0D1B01C3" w:rsidR="48B04448">
        <w:rPr>
          <w:rFonts w:eastAsia="Times New Roman"/>
          <w:sz w:val="22"/>
          <w:szCs w:val="22"/>
        </w:rPr>
        <w:t xml:space="preserve">eiving has been </w:t>
      </w:r>
      <w:r w:rsidRPr="0D1B01C3" w:rsidR="48B04448">
        <w:rPr>
          <w:rFonts w:eastAsia="Times New Roman"/>
          <w:sz w:val="22"/>
          <w:szCs w:val="22"/>
        </w:rPr>
        <w:t>tampered</w:t>
      </w:r>
      <w:r w:rsidRPr="0D1B01C3" w:rsidR="48B04448">
        <w:rPr>
          <w:rFonts w:eastAsia="Times New Roman"/>
          <w:sz w:val="22"/>
          <w:szCs w:val="22"/>
        </w:rPr>
        <w:t xml:space="preserve"> with. Another use of in</w:t>
      </w:r>
      <w:r w:rsidRPr="0D1B01C3" w:rsidR="48B04448">
        <w:rPr>
          <w:rFonts w:eastAsia="Times New Roman"/>
          <w:sz w:val="22"/>
          <w:szCs w:val="22"/>
        </w:rPr>
        <w:t xml:space="preserve">dustry standard best practices was the </w:t>
      </w:r>
      <w:r w:rsidRPr="0D1B01C3" w:rsidR="48B04448">
        <w:rPr>
          <w:rFonts w:eastAsia="Times New Roman"/>
          <w:sz w:val="22"/>
          <w:szCs w:val="22"/>
        </w:rPr>
        <w:t xml:space="preserve">use of </w:t>
      </w:r>
      <w:r w:rsidRPr="0D1B01C3" w:rsidR="48B04448">
        <w:rPr>
          <w:rFonts w:eastAsia="Times New Roman"/>
          <w:sz w:val="22"/>
          <w:szCs w:val="22"/>
        </w:rPr>
        <w:t>CA’s</w:t>
      </w:r>
      <w:r w:rsidRPr="0D1B01C3" w:rsidR="48B04448">
        <w:rPr>
          <w:rFonts w:eastAsia="Times New Roman"/>
          <w:sz w:val="22"/>
          <w:szCs w:val="22"/>
        </w:rPr>
        <w:t xml:space="preserve"> to se</w:t>
      </w:r>
      <w:r w:rsidRPr="0D1B01C3" w:rsidR="34CFE3A9">
        <w:rPr>
          <w:rFonts w:eastAsia="Times New Roman"/>
          <w:sz w:val="22"/>
          <w:szCs w:val="22"/>
        </w:rPr>
        <w:t>cure the applicat</w:t>
      </w:r>
      <w:r w:rsidRPr="0D1B01C3" w:rsidR="34CFE3A9">
        <w:rPr>
          <w:rFonts w:eastAsia="Times New Roman"/>
          <w:sz w:val="22"/>
          <w:szCs w:val="22"/>
        </w:rPr>
        <w:t>ion</w:t>
      </w:r>
      <w:r w:rsidRPr="0D1B01C3" w:rsidR="55BBA918">
        <w:rPr>
          <w:rFonts w:eastAsia="Times New Roman"/>
          <w:sz w:val="22"/>
          <w:szCs w:val="22"/>
        </w:rPr>
        <w:t xml:space="preserve"> by ensu</w:t>
      </w:r>
      <w:r w:rsidRPr="0D1B01C3" w:rsidR="55BBA918">
        <w:rPr>
          <w:rFonts w:eastAsia="Times New Roman"/>
          <w:sz w:val="22"/>
          <w:szCs w:val="22"/>
        </w:rPr>
        <w:t xml:space="preserve">ring the </w:t>
      </w:r>
      <w:r w:rsidRPr="0D1B01C3" w:rsidR="55BBA918">
        <w:rPr>
          <w:rFonts w:eastAsia="Times New Roman"/>
          <w:sz w:val="22"/>
          <w:szCs w:val="22"/>
        </w:rPr>
        <w:t>trustworthiness</w:t>
      </w:r>
      <w:r w:rsidRPr="0D1B01C3" w:rsidR="55BBA918">
        <w:rPr>
          <w:rFonts w:eastAsia="Times New Roman"/>
          <w:sz w:val="22"/>
          <w:szCs w:val="22"/>
        </w:rPr>
        <w:t xml:space="preserve"> and auth</w:t>
      </w:r>
      <w:r w:rsidRPr="0D1B01C3" w:rsidR="55BBA918">
        <w:rPr>
          <w:rFonts w:eastAsia="Times New Roman"/>
          <w:sz w:val="22"/>
          <w:szCs w:val="22"/>
        </w:rPr>
        <w:t>enticity of it.</w:t>
      </w:r>
    </w:p>
    <w:p w:rsidR="0D1B01C3" w:rsidP="0D1B01C3" w:rsidRDefault="0D1B01C3" w14:paraId="7506B8B4" w14:textId="60AA32AC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766E8503" w14:textId="73DDBC8C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69E1873E" w14:textId="78EAAEB3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2547053C" w14:textId="6F0E66A7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BC999DB" w14:textId="308D7EE9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D51862E" w14:textId="5857F7A0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594799B0" w14:textId="1F9328DC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5F52AD77" w14:textId="6F01235C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22B4715" w14:textId="491401B7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743413BC" w14:textId="097E4C5A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F89ED7B" w14:textId="00103580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0467FF29" w14:textId="5C27751E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2D1AACB5" w14:textId="10BB9577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E75848C" w14:textId="650C740A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57B0E1F0" w14:textId="764524C3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6BD3E67C" w14:textId="2E8D45B4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0EB86595" w14:textId="00925B93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087F927" w14:textId="0A3049C7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18E3880" w14:textId="38351EF4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17E968B7" w14:textId="5EBB2C21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1870846" w14:textId="32B37AE5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FA32A09" w14:textId="2263B746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081FE670" w14:textId="3892553F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97D3B1B" w14:textId="31F15F61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65F3716E" w14:textId="29301020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5DBDA8D" w14:textId="7624AEBB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08B2666" w14:textId="719B70B9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60A80E95" w14:textId="29BBD05A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B787314" w14:textId="225FF6FF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086FFDC9" w14:textId="17C50C0C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50C60275" w14:textId="66E8FF59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0CF9D223" w14:textId="7D8424D5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18E01E8F" w14:textId="78B0A04A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552B74B5" w14:textId="77B9793E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9E915EF" w14:textId="55C5D078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1A58653C" w14:textId="055FA3FF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5AFD23A" w14:textId="03F8EB02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3CFAB73D" w:rsidP="0D1B01C3" w:rsidRDefault="3CFAB73D" w14:paraId="1055D82E" w14:textId="192F9DAA">
      <w:pPr>
        <w:pStyle w:val="Normal"/>
        <w:spacing/>
        <w:contextualSpacing/>
        <w:jc w:val="center"/>
        <w:rPr>
          <w:rFonts w:eastAsia="Times New Roman"/>
          <w:b w:val="1"/>
          <w:bCs w:val="1"/>
          <w:sz w:val="22"/>
          <w:szCs w:val="22"/>
        </w:rPr>
      </w:pPr>
      <w:r w:rsidRPr="0D1B01C3" w:rsidR="3CFAB73D">
        <w:rPr>
          <w:rFonts w:eastAsia="Times New Roman"/>
          <w:b w:val="1"/>
          <w:bCs w:val="1"/>
          <w:sz w:val="22"/>
          <w:szCs w:val="22"/>
        </w:rPr>
        <w:t>Citations</w:t>
      </w:r>
    </w:p>
    <w:p w:rsidR="3CFAB73D" w:rsidP="0D1B01C3" w:rsidRDefault="3CFAB73D" w14:paraId="4C09B055" w14:textId="3BE72B96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0D1B01C3" w:rsidR="3CFAB73D">
        <w:rPr>
          <w:rFonts w:eastAsia="Times New Roman"/>
          <w:sz w:val="22"/>
          <w:szCs w:val="22"/>
        </w:rPr>
        <w:t xml:space="preserve">Bernstein C., &amp; Cobb M. (2021, September). Advanced Encryption Standard (AES). TechTarget. </w:t>
      </w:r>
      <w:hyperlink r:id="Rdbd01861447140d2">
        <w:r w:rsidRPr="0D1B01C3" w:rsidR="3CFAB73D">
          <w:rPr>
            <w:rStyle w:val="Hyperlink"/>
            <w:rFonts w:eastAsia="Times New Roman"/>
            <w:sz w:val="22"/>
            <w:szCs w:val="22"/>
          </w:rPr>
          <w:t>https://www.techtarget.com/searchsecurity/definition/Advanced-Encryption-Standard?Offer=abt_pubpro_AI-Insider</w:t>
        </w:r>
      </w:hyperlink>
      <w:r w:rsidRPr="0D1B01C3" w:rsidR="3CFAB73D">
        <w:rPr>
          <w:rFonts w:eastAsia="Times New Roman"/>
          <w:sz w:val="22"/>
          <w:szCs w:val="22"/>
        </w:rPr>
        <w:t>.</w:t>
      </w:r>
    </w:p>
    <w:p w:rsidR="0D1B01C3" w:rsidP="0D1B01C3" w:rsidRDefault="0D1B01C3" w14:paraId="3754D844" w14:textId="7C18480B">
      <w:pPr>
        <w:pStyle w:val="Normal"/>
        <w:spacing/>
        <w:ind w:left="0"/>
        <w:contextualSpacing/>
        <w:rPr>
          <w:rFonts w:eastAsia="Times New Roman"/>
          <w:sz w:val="22"/>
          <w:szCs w:val="22"/>
        </w:rPr>
      </w:pPr>
    </w:p>
    <w:p w:rsidR="3CFAB73D" w:rsidP="0D1B01C3" w:rsidRDefault="3CFAB73D" w14:paraId="11A53F58" w14:textId="04979F7E">
      <w:pPr>
        <w:pStyle w:val="ListParagraph"/>
        <w:numPr>
          <w:ilvl w:val="0"/>
          <w:numId w:val="22"/>
        </w:numPr>
        <w:spacing/>
        <w:contextualSpacing/>
        <w:rPr/>
      </w:pPr>
      <w:r w:rsidRPr="0D1B01C3" w:rsidR="3CFAB73D">
        <w:rPr>
          <w:rFonts w:eastAsia="Times New Roman"/>
          <w:sz w:val="22"/>
          <w:szCs w:val="22"/>
        </w:rPr>
        <w:t xml:space="preserve">Neha T. (2020, May 5th). Advanced Encryption Standard (AES). Binary Terms. </w:t>
      </w:r>
      <w:r w:rsidRPr="0D1B01C3" w:rsidR="3CFAB73D">
        <w:rPr>
          <w:rFonts w:eastAsia="Times New Roman"/>
          <w:sz w:val="22"/>
          <w:szCs w:val="22"/>
        </w:rPr>
        <w:t>https://binaryterms.com/advanced-encryption-standard-aes.html</w:t>
      </w:r>
    </w:p>
    <w:p w:rsidR="0D1B01C3" w:rsidP="0D1B01C3" w:rsidRDefault="0D1B01C3" w14:paraId="71BF8479" w14:textId="097D345D">
      <w:pPr>
        <w:pStyle w:val="Normal"/>
        <w:spacing/>
        <w:ind w:left="0"/>
        <w:contextualSpacing/>
      </w:pPr>
    </w:p>
    <w:p w:rsidR="5E18F384" w:rsidP="0D1B01C3" w:rsidRDefault="5E18F384" w14:paraId="65CCDCCB" w14:textId="07EFB624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0D1B01C3" w:rsidR="5E18F384">
        <w:rPr>
          <w:rFonts w:eastAsia="Times New Roman"/>
          <w:sz w:val="22"/>
          <w:szCs w:val="22"/>
        </w:rPr>
        <w:t xml:space="preserve">Team </w:t>
      </w:r>
      <w:r w:rsidRPr="0D1B01C3" w:rsidR="5E18F384">
        <w:rPr>
          <w:rFonts w:eastAsia="Times New Roman"/>
          <w:sz w:val="22"/>
          <w:szCs w:val="22"/>
        </w:rPr>
        <w:t>T. (</w:t>
      </w:r>
      <w:r w:rsidRPr="0D1B01C3" w:rsidR="5E18F384">
        <w:rPr>
          <w:rFonts w:eastAsia="Times New Roman"/>
          <w:sz w:val="22"/>
          <w:szCs w:val="22"/>
        </w:rPr>
        <w:t xml:space="preserve">2022, January 14). The history of encryption: the roots of modern-day cyber-security. </w:t>
      </w:r>
      <w:r w:rsidRPr="0D1B01C3" w:rsidR="5E18F384">
        <w:rPr>
          <w:rFonts w:eastAsia="Times New Roman"/>
          <w:sz w:val="22"/>
          <w:szCs w:val="22"/>
        </w:rPr>
        <w:t>Tresorit</w:t>
      </w:r>
      <w:r w:rsidRPr="0D1B01C3" w:rsidR="5E18F384">
        <w:rPr>
          <w:rFonts w:eastAsia="Times New Roman"/>
          <w:sz w:val="22"/>
          <w:szCs w:val="22"/>
        </w:rPr>
        <w:t>. https://tresorit.com/blog/the-history-of-encryption-the-roots-of-modern-day-cyber-security/</w:t>
      </w:r>
    </w:p>
    <w:p w:rsidR="0D1B01C3" w:rsidP="0D1B01C3" w:rsidRDefault="0D1B01C3" w14:paraId="621ADFD3" w14:textId="2273D1F5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EF480DA" w14:textId="2458CF71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587A1856" w14:textId="28DF32FD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4A5E62C9" w14:textId="434B273C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D1B01C3" w:rsidP="0D1B01C3" w:rsidRDefault="0D1B01C3" w14:paraId="397CE097" w14:textId="1E6319DD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intelligence2.xml><?xml version="1.0" encoding="utf-8"?>
<int2:intelligence xmlns:int2="http://schemas.microsoft.com/office/intelligence/2020/intelligence">
  <int2:observations>
    <int2:textHash int2:hashCode="ZlQmi+MvjCQh/t" int2:id="EmeLeMN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2e69d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7CB689"/>
    <w:rsid w:val="018FF2A0"/>
    <w:rsid w:val="02F243EC"/>
    <w:rsid w:val="033782A3"/>
    <w:rsid w:val="0428FAD5"/>
    <w:rsid w:val="05594783"/>
    <w:rsid w:val="057D9ED4"/>
    <w:rsid w:val="072F76DF"/>
    <w:rsid w:val="07DBFF02"/>
    <w:rsid w:val="09366717"/>
    <w:rsid w:val="0945FC91"/>
    <w:rsid w:val="0C59BBD8"/>
    <w:rsid w:val="0D1B01C3"/>
    <w:rsid w:val="0EA2CEDF"/>
    <w:rsid w:val="0F2C6EA0"/>
    <w:rsid w:val="0F74E0C1"/>
    <w:rsid w:val="107BE6CC"/>
    <w:rsid w:val="128036B4"/>
    <w:rsid w:val="13B64E8B"/>
    <w:rsid w:val="16AF4FFB"/>
    <w:rsid w:val="1766CA49"/>
    <w:rsid w:val="17DE00D7"/>
    <w:rsid w:val="195DB78F"/>
    <w:rsid w:val="1C0DF09D"/>
    <w:rsid w:val="1E815C9F"/>
    <w:rsid w:val="1FA2FC07"/>
    <w:rsid w:val="1FCCF913"/>
    <w:rsid w:val="2168C974"/>
    <w:rsid w:val="232B77D6"/>
    <w:rsid w:val="2354CDC2"/>
    <w:rsid w:val="236039E6"/>
    <w:rsid w:val="2469DE6C"/>
    <w:rsid w:val="24F09E23"/>
    <w:rsid w:val="25DFE053"/>
    <w:rsid w:val="275A6BDC"/>
    <w:rsid w:val="27BE7B75"/>
    <w:rsid w:val="291C01D8"/>
    <w:rsid w:val="29C40F46"/>
    <w:rsid w:val="2CB369A1"/>
    <w:rsid w:val="2E5D5C8F"/>
    <w:rsid w:val="2E9D2277"/>
    <w:rsid w:val="2F43C643"/>
    <w:rsid w:val="30A2BF11"/>
    <w:rsid w:val="32239F5D"/>
    <w:rsid w:val="3267DAC9"/>
    <w:rsid w:val="329BBDBD"/>
    <w:rsid w:val="32BFE0F4"/>
    <w:rsid w:val="3322AB25"/>
    <w:rsid w:val="347D29E8"/>
    <w:rsid w:val="34CFE3A9"/>
    <w:rsid w:val="34EB3213"/>
    <w:rsid w:val="34FAEEA0"/>
    <w:rsid w:val="35360BB1"/>
    <w:rsid w:val="35D35E7F"/>
    <w:rsid w:val="3622DE38"/>
    <w:rsid w:val="36C0DC4F"/>
    <w:rsid w:val="3AE22101"/>
    <w:rsid w:val="3BC013C1"/>
    <w:rsid w:val="3C69428A"/>
    <w:rsid w:val="3CFAB73D"/>
    <w:rsid w:val="3D35E8AA"/>
    <w:rsid w:val="3E18EC08"/>
    <w:rsid w:val="3EBC4F54"/>
    <w:rsid w:val="4007FAAC"/>
    <w:rsid w:val="4178B197"/>
    <w:rsid w:val="44136985"/>
    <w:rsid w:val="445BAFEC"/>
    <w:rsid w:val="448D64C2"/>
    <w:rsid w:val="454174DB"/>
    <w:rsid w:val="455ADA9C"/>
    <w:rsid w:val="45F7804D"/>
    <w:rsid w:val="46EFED62"/>
    <w:rsid w:val="478022A4"/>
    <w:rsid w:val="47F056AF"/>
    <w:rsid w:val="48B04448"/>
    <w:rsid w:val="48E6DAA8"/>
    <w:rsid w:val="492F210F"/>
    <w:rsid w:val="493E67BB"/>
    <w:rsid w:val="4A82AB09"/>
    <w:rsid w:val="4ACAF170"/>
    <w:rsid w:val="4E510242"/>
    <w:rsid w:val="4E696CA6"/>
    <w:rsid w:val="4F3B8146"/>
    <w:rsid w:val="5018F677"/>
    <w:rsid w:val="501AF727"/>
    <w:rsid w:val="51391587"/>
    <w:rsid w:val="52257525"/>
    <w:rsid w:val="53B09DEB"/>
    <w:rsid w:val="545268C7"/>
    <w:rsid w:val="5479C13C"/>
    <w:rsid w:val="55BBA918"/>
    <w:rsid w:val="56954D80"/>
    <w:rsid w:val="57B965DC"/>
    <w:rsid w:val="5A02075A"/>
    <w:rsid w:val="5B587107"/>
    <w:rsid w:val="5B95489A"/>
    <w:rsid w:val="5C84D321"/>
    <w:rsid w:val="5DD73C14"/>
    <w:rsid w:val="5E18F384"/>
    <w:rsid w:val="604FE896"/>
    <w:rsid w:val="61FD3B5B"/>
    <w:rsid w:val="620D193F"/>
    <w:rsid w:val="6292A5E1"/>
    <w:rsid w:val="63DA16F8"/>
    <w:rsid w:val="67064FFD"/>
    <w:rsid w:val="6711B7BA"/>
    <w:rsid w:val="6735BF85"/>
    <w:rsid w:val="681DCBB2"/>
    <w:rsid w:val="69DDBFCF"/>
    <w:rsid w:val="69EBF522"/>
    <w:rsid w:val="69EDBCD2"/>
    <w:rsid w:val="6D277F17"/>
    <w:rsid w:val="6D4E6B20"/>
    <w:rsid w:val="6EF83985"/>
    <w:rsid w:val="6FA26CC2"/>
    <w:rsid w:val="7101F37A"/>
    <w:rsid w:val="7593F8A9"/>
    <w:rsid w:val="76EF243C"/>
    <w:rsid w:val="783D8A15"/>
    <w:rsid w:val="7A298BFB"/>
    <w:rsid w:val="7AA95D77"/>
    <w:rsid w:val="7B2036CF"/>
    <w:rsid w:val="7B9A5246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8a9d7ae5cf33458c" /><Relationship Type="http://schemas.openxmlformats.org/officeDocument/2006/relationships/image" Target="/media/image4.png" Id="Rfb1cd6002ff84388" /><Relationship Type="http://schemas.openxmlformats.org/officeDocument/2006/relationships/image" Target="/media/image5.png" Id="R58c4ac83cb454bfa" /><Relationship Type="http://schemas.openxmlformats.org/officeDocument/2006/relationships/image" Target="/media/image6.png" Id="R5d5f4fd36a154f4e" /><Relationship Type="http://schemas.openxmlformats.org/officeDocument/2006/relationships/image" Target="/media/image7.png" Id="R0dd1e6d8332e4a11" /><Relationship Type="http://schemas.openxmlformats.org/officeDocument/2006/relationships/hyperlink" Target="https://www.techtarget.com/searchsecurity/definition/Advanced-Encryption-Standard?Offer=abt_pubpro_AI-Insider" TargetMode="External" Id="Rdbd01861447140d2" /><Relationship Type="http://schemas.openxmlformats.org/officeDocument/2006/relationships/glossaryDocument" Target="glossary/document.xml" Id="R817ee40c5b7d4946" /><Relationship Type="http://schemas.microsoft.com/office/2020/10/relationships/intelligence" Target="intelligence2.xml" Id="R6a97835709124f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e3796-830b-45a1-a3fc-c28a1373966f}"/>
      </w:docPartPr>
      <w:docPartBody>
        <w:p w14:paraId="3E630C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Harmon, Mitchel</lastModifiedBy>
  <revision>51</revision>
  <dcterms:created xsi:type="dcterms:W3CDTF">2022-04-20T12:43:00.0000000Z</dcterms:created>
  <dcterms:modified xsi:type="dcterms:W3CDTF">2023-08-11T22:29:14.7997469Z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