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r>
        <w:rPr>
          <w:b/>
          <w:color w:val="2E74B5"/>
          <w:sz w:val="22"/>
        </w:rPr>
        <w:t>ATTORNEY-REVIEW DRAFT</w:t>
      </w:r>
    </w:p>
    <w:p>
      <w:pPr>
        <w:spacing w:after="80"/>
      </w:pPr>
      <w:r>
        <w:rPr>
          <w:b/>
          <w:color w:val="0B2545"/>
          <w:sz w:val="56"/>
        </w:rPr>
        <w:t>Study Space</w:t>
        <w:br/>
        <w:t>Terms of Service</w:t>
      </w:r>
    </w:p>
    <w:p>
      <w:pPr>
        <w:spacing w:after="360"/>
      </w:pPr>
      <w:r>
        <w:rPr>
          <w:color w:val="5A626E"/>
          <w:sz w:val="26"/>
        </w:rPr>
        <w:t>Professional SaaS, student community, AI-enabled study platform, and user-generated content terms</w:t>
      </w:r>
    </w:p>
    <w:tbl>
      <w:tblPr>
        <w:tblStyle w:val="TableGrid"/>
        <w:tblW w:type="dxa" w:w="9360"/>
        <w:jc w:val="left"/>
        <w:tblLayout w:type="fixed"/>
        <w:tblLook w:firstColumn="1" w:firstRow="1" w:lastColumn="0" w:lastRow="0" w:noHBand="0" w:noVBand="1" w:val="04A0"/>
      </w:tblPr>
      <w:tblGrid>
        <w:gridCol w:w="4680"/>
        <w:gridCol w:w="4680"/>
      </w:tblGrid>
      <w:tr>
        <w:tc>
          <w:tcPr>
            <w:tcW w:type="dxa" w:w="2100"/>
            <w:tcMar>
              <w:top w:w="80" w:type="dxa"/>
              <w:start w:w="120" w:type="dxa"/>
              <w:bottom w:w="80" w:type="dxa"/>
              <w:end w:w="120" w:type="dxa"/>
            </w:tcMar>
            <w:vAlign w:val="center"/>
            <w:shd w:fill="F2F4F7"/>
          </w:tcPr>
          <w:p>
            <w:r>
              <w:rPr>
                <w:b/>
              </w:rPr>
              <w:t>Document</w:t>
            </w:r>
          </w:p>
        </w:tc>
        <w:tc>
          <w:tcPr>
            <w:tcW w:type="dxa" w:w="7260"/>
            <w:tcMar>
              <w:top w:w="80" w:type="dxa"/>
              <w:start w:w="120" w:type="dxa"/>
              <w:bottom w:w="80" w:type="dxa"/>
              <w:end w:w="120" w:type="dxa"/>
            </w:tcMar>
            <w:vAlign w:val="center"/>
          </w:tcPr>
          <w:p>
            <w:r>
              <w:t>Terms_of_Service_v1.docx</w:t>
            </w:r>
          </w:p>
        </w:tc>
      </w:tr>
      <w:tr>
        <w:tc>
          <w:tcPr>
            <w:tcW w:type="dxa" w:w="2100"/>
            <w:tcMar>
              <w:top w:w="80" w:type="dxa"/>
              <w:start w:w="120" w:type="dxa"/>
              <w:bottom w:w="80" w:type="dxa"/>
              <w:end w:w="120" w:type="dxa"/>
            </w:tcMar>
            <w:vAlign w:val="center"/>
            <w:shd w:fill="F2F4F7"/>
          </w:tcPr>
          <w:p>
            <w:r>
              <w:rPr>
                <w:b/>
              </w:rPr>
              <w:t>Version</w:t>
            </w:r>
          </w:p>
        </w:tc>
        <w:tc>
          <w:tcPr>
            <w:tcW w:type="dxa" w:w="7260"/>
            <w:tcMar>
              <w:top w:w="80" w:type="dxa"/>
              <w:start w:w="120" w:type="dxa"/>
              <w:bottom w:w="80" w:type="dxa"/>
              <w:end w:w="120" w:type="dxa"/>
            </w:tcMar>
            <w:vAlign w:val="center"/>
          </w:tcPr>
          <w:p>
            <w:r>
              <w:t>1.0</w:t>
            </w:r>
          </w:p>
        </w:tc>
      </w:tr>
      <w:tr>
        <w:tc>
          <w:tcPr>
            <w:tcW w:type="dxa" w:w="2100"/>
            <w:tcMar>
              <w:top w:w="80" w:type="dxa"/>
              <w:start w:w="120" w:type="dxa"/>
              <w:bottom w:w="80" w:type="dxa"/>
              <w:end w:w="120" w:type="dxa"/>
            </w:tcMar>
            <w:vAlign w:val="center"/>
            <w:shd w:fill="F2F4F7"/>
          </w:tcPr>
          <w:p>
            <w:r>
              <w:rPr>
                <w:b/>
              </w:rPr>
              <w:t>Date</w:t>
            </w:r>
          </w:p>
        </w:tc>
        <w:tc>
          <w:tcPr>
            <w:tcW w:type="dxa" w:w="7260"/>
            <w:tcMar>
              <w:top w:w="80" w:type="dxa"/>
              <w:start w:w="120" w:type="dxa"/>
              <w:bottom w:w="80" w:type="dxa"/>
              <w:end w:w="120" w:type="dxa"/>
            </w:tcMar>
            <w:vAlign w:val="center"/>
          </w:tcPr>
          <w:p>
            <w:r>
              <w:t>July 14, 2026</w:t>
            </w:r>
          </w:p>
        </w:tc>
      </w:tr>
      <w:tr>
        <w:tc>
          <w:tcPr>
            <w:tcW w:type="dxa" w:w="2100"/>
            <w:tcMar>
              <w:top w:w="80" w:type="dxa"/>
              <w:start w:w="120" w:type="dxa"/>
              <w:bottom w:w="80" w:type="dxa"/>
              <w:end w:w="120" w:type="dxa"/>
            </w:tcMar>
            <w:vAlign w:val="center"/>
            <w:shd w:fill="F2F4F7"/>
          </w:tcPr>
          <w:p>
            <w:r>
              <w:rPr>
                <w:b/>
              </w:rPr>
              <w:t>Prepared for</w:t>
            </w:r>
          </w:p>
        </w:tc>
        <w:tc>
          <w:tcPr>
            <w:tcW w:type="dxa" w:w="7260"/>
            <w:tcMar>
              <w:top w:w="80" w:type="dxa"/>
              <w:start w:w="120" w:type="dxa"/>
              <w:bottom w:w="80" w:type="dxa"/>
              <w:end w:w="120" w:type="dxa"/>
            </w:tcMar>
            <w:vAlign w:val="center"/>
          </w:tcPr>
          <w:p>
            <w:r>
              <w:t>Study Space</w:t>
            </w:r>
          </w:p>
        </w:tc>
      </w:tr>
      <w:tr>
        <w:tc>
          <w:tcPr>
            <w:tcW w:type="dxa" w:w="2100"/>
            <w:tcMar>
              <w:top w:w="80" w:type="dxa"/>
              <w:start w:w="120" w:type="dxa"/>
              <w:bottom w:w="80" w:type="dxa"/>
              <w:end w:w="120" w:type="dxa"/>
            </w:tcMar>
            <w:vAlign w:val="center"/>
            <w:shd w:fill="F2F4F7"/>
          </w:tcPr>
          <w:p>
            <w:r>
              <w:rPr>
                <w:b/>
              </w:rPr>
              <w:t>Status</w:t>
            </w:r>
          </w:p>
        </w:tc>
        <w:tc>
          <w:tcPr>
            <w:tcW w:type="dxa" w:w="7260"/>
            <w:tcMar>
              <w:top w:w="80" w:type="dxa"/>
              <w:start w:w="120" w:type="dxa"/>
              <w:bottom w:w="80" w:type="dxa"/>
              <w:end w:w="120" w:type="dxa"/>
            </w:tcMar>
            <w:vAlign w:val="center"/>
          </w:tcPr>
          <w:p>
            <w:r>
              <w:t>Working draft for review by qualified legal counsel; not legal advice</w:t>
            </w:r>
          </w:p>
        </w:tc>
      </w:tr>
      <w:tr>
        <w:tc>
          <w:tcPr>
            <w:tcW w:type="dxa" w:w="2100"/>
            <w:tcMar>
              <w:top w:w="80" w:type="dxa"/>
              <w:start w:w="120" w:type="dxa"/>
              <w:bottom w:w="80" w:type="dxa"/>
              <w:end w:w="120" w:type="dxa"/>
            </w:tcMar>
            <w:vAlign w:val="center"/>
            <w:shd w:fill="F2F4F7"/>
          </w:tcPr>
          <w:p>
            <w:r>
              <w:rPr>
                <w:b/>
              </w:rPr>
              <w:t>Project basis</w:t>
            </w:r>
          </w:p>
        </w:tc>
        <w:tc>
          <w:tcPr>
            <w:tcW w:type="dxa" w:w="7260"/>
            <w:tcMar>
              <w:top w:w="80" w:type="dxa"/>
              <w:start w:w="120" w:type="dxa"/>
              <w:bottom w:w="80" w:type="dxa"/>
              <w:end w:w="120" w:type="dxa"/>
            </w:tcMar>
            <w:vAlign w:val="center"/>
          </w:tcPr>
          <w:p>
            <w:r>
              <w:t>Flask application with user accounts, notes, tasks, calendar events, flashcards, groups, feed/community posts, notifications, profile uploads, PDF embeds, account export/delete, and local assistant/summarization features.</w:t>
            </w:r>
          </w:p>
        </w:tc>
      </w:tr>
    </w:tbl>
    <w:p>
      <w:pPr>
        <w:spacing w:before="360" w:after="160"/>
      </w:pPr>
      <w:r>
        <w:rPr>
          <w:b/>
        </w:rPr>
        <w:t xml:space="preserve">Important notice: </w:t>
      </w:r>
      <w:r>
        <w:t>This document is a tailored drafting aid for Study Space and is not legal advice. It must be reviewed, localized, and approved by qualified counsel before publication or reliance.</w:t>
      </w:r>
    </w:p>
    <w:p>
      <w:r>
        <w:br w:type="page"/>
      </w:r>
    </w:p>
    <w:p>
      <w:pPr>
        <w:pStyle w:val="Heading1"/>
      </w:pPr>
      <w:r>
        <w:t>Version History</w:t>
      </w:r>
    </w:p>
    <w:tbl>
      <w:tblPr>
        <w:tblStyle w:val="TableGrid"/>
        <w:tblW w:type="dxa" w:w="9360"/>
        <w:jc w:val="left"/>
        <w:tblLayout w:type="fixed"/>
        <w:tblLook w:firstColumn="1" w:firstRow="1" w:lastColumn="0" w:lastRow="0" w:noHBand="0" w:noVBand="1" w:val="04A0"/>
      </w:tblPr>
      <w:tblGrid>
        <w:gridCol w:w="1872"/>
        <w:gridCol w:w="1872"/>
        <w:gridCol w:w="1872"/>
        <w:gridCol w:w="1872"/>
        <w:gridCol w:w="1872"/>
      </w:tblGrid>
      <w:tr>
        <w:tc>
          <w:tcPr>
            <w:tcW w:type="dxa" w:w="950"/>
            <w:tcMar>
              <w:top w:w="80" w:type="dxa"/>
              <w:start w:w="120" w:type="dxa"/>
              <w:bottom w:w="80" w:type="dxa"/>
              <w:end w:w="120" w:type="dxa"/>
            </w:tcMar>
            <w:vAlign w:val="center"/>
            <w:shd w:fill="F2F4F7"/>
          </w:tcPr>
          <w:p>
            <w:r>
              <w:rPr>
                <w:b/>
              </w:rPr>
              <w:t>Version</w:t>
            </w:r>
          </w:p>
        </w:tc>
        <w:tc>
          <w:tcPr>
            <w:tcW w:type="dxa" w:w="1400"/>
            <w:tcMar>
              <w:top w:w="80" w:type="dxa"/>
              <w:start w:w="120" w:type="dxa"/>
              <w:bottom w:w="80" w:type="dxa"/>
              <w:end w:w="120" w:type="dxa"/>
            </w:tcMar>
            <w:vAlign w:val="center"/>
            <w:shd w:fill="F2F4F7"/>
          </w:tcPr>
          <w:p>
            <w:r>
              <w:rPr>
                <w:b/>
              </w:rPr>
              <w:t>Date</w:t>
            </w:r>
          </w:p>
        </w:tc>
        <w:tc>
          <w:tcPr>
            <w:tcW w:type="dxa" w:w="1700"/>
            <w:tcMar>
              <w:top w:w="80" w:type="dxa"/>
              <w:start w:w="120" w:type="dxa"/>
              <w:bottom w:w="80" w:type="dxa"/>
              <w:end w:w="120" w:type="dxa"/>
            </w:tcMar>
            <w:vAlign w:val="center"/>
            <w:shd w:fill="F2F4F7"/>
          </w:tcPr>
          <w:p>
            <w:r>
              <w:rPr>
                <w:b/>
              </w:rPr>
              <w:t>Prepared by</w:t>
            </w:r>
          </w:p>
        </w:tc>
        <w:tc>
          <w:tcPr>
            <w:tcW w:type="dxa" w:w="2510"/>
            <w:tcMar>
              <w:top w:w="80" w:type="dxa"/>
              <w:start w:w="120" w:type="dxa"/>
              <w:bottom w:w="80" w:type="dxa"/>
              <w:end w:w="120" w:type="dxa"/>
            </w:tcMar>
            <w:vAlign w:val="center"/>
            <w:shd w:fill="F2F4F7"/>
          </w:tcPr>
          <w:p>
            <w:r>
              <w:rPr>
                <w:b/>
              </w:rPr>
              <w:t>Status</w:t>
            </w:r>
          </w:p>
        </w:tc>
        <w:tc>
          <w:tcPr>
            <w:tcW w:type="dxa" w:w="2800"/>
            <w:tcMar>
              <w:top w:w="80" w:type="dxa"/>
              <w:start w:w="120" w:type="dxa"/>
              <w:bottom w:w="80" w:type="dxa"/>
              <w:end w:w="120" w:type="dxa"/>
            </w:tcMar>
            <w:vAlign w:val="center"/>
            <w:shd w:fill="F2F4F7"/>
          </w:tcPr>
          <w:p>
            <w:r>
              <w:rPr>
                <w:b/>
              </w:rPr>
              <w:t>Summary</w:t>
            </w:r>
          </w:p>
        </w:tc>
      </w:tr>
      <w:tr>
        <w:tc>
          <w:tcPr>
            <w:tcW w:type="dxa" w:w="1872"/>
            <w:tcMar>
              <w:top w:w="80" w:type="dxa"/>
              <w:start w:w="120" w:type="dxa"/>
              <w:bottom w:w="80" w:type="dxa"/>
              <w:end w:w="120" w:type="dxa"/>
            </w:tcMar>
          </w:tcPr>
          <w:p>
            <w:r>
              <w:t>1.0</w:t>
            </w:r>
          </w:p>
        </w:tc>
        <w:tc>
          <w:tcPr>
            <w:tcW w:type="dxa" w:w="1872"/>
            <w:tcMar>
              <w:top w:w="80" w:type="dxa"/>
              <w:start w:w="120" w:type="dxa"/>
              <w:bottom w:w="80" w:type="dxa"/>
              <w:end w:w="120" w:type="dxa"/>
            </w:tcMar>
          </w:tcPr>
          <w:p>
            <w:r>
              <w:t>2026-07-14</w:t>
            </w:r>
          </w:p>
        </w:tc>
        <w:tc>
          <w:tcPr>
            <w:tcW w:type="dxa" w:w="1872"/>
            <w:tcMar>
              <w:top w:w="80" w:type="dxa"/>
              <w:start w:w="120" w:type="dxa"/>
              <w:bottom w:w="80" w:type="dxa"/>
              <w:end w:w="120" w:type="dxa"/>
            </w:tcMar>
          </w:tcPr>
          <w:p>
            <w:r>
              <w:t>Codex draft for Study Space</w:t>
            </w:r>
          </w:p>
        </w:tc>
        <w:tc>
          <w:tcPr>
            <w:tcW w:type="dxa" w:w="1872"/>
            <w:tcMar>
              <w:top w:w="80" w:type="dxa"/>
              <w:start w:w="120" w:type="dxa"/>
              <w:bottom w:w="80" w:type="dxa"/>
              <w:end w:w="120" w:type="dxa"/>
            </w:tcMar>
          </w:tcPr>
          <w:p>
            <w:r>
              <w:t>Attorney-review draft</w:t>
            </w:r>
          </w:p>
        </w:tc>
        <w:tc>
          <w:tcPr>
            <w:tcW w:type="dxa" w:w="1872"/>
            <w:tcMar>
              <w:top w:w="80" w:type="dxa"/>
              <w:start w:w="120" w:type="dxa"/>
              <w:bottom w:w="80" w:type="dxa"/>
              <w:end w:w="120" w:type="dxa"/>
            </w:tcMar>
          </w:tcPr>
          <w:p>
            <w:r>
              <w:t>Initial tailored Terms of Service based on the current Flask project, security notes, data model, community features, uploads, assistant features, and roadmap assumptions.</w:t>
            </w:r>
          </w:p>
        </w:tc>
      </w:tr>
    </w:tbl>
    <w:p>
      <w:pPr>
        <w:pStyle w:val="Heading1"/>
      </w:pPr>
      <w:r>
        <w:t>Table of Contents</w:t>
      </w:r>
    </w:p>
    <w:p>
      <w:r>
        <w:fldChar w:fldCharType="begin"/>
        <w:instrText xml:space="preserve">TOC \o "1-3" \h \z \u</w:instrText>
        <w:fldChar w:fldCharType="separate"/>
        <w:t>Right-click and update field in Word to refresh.</w:t>
        <w:fldChar w:fldCharType="end"/>
      </w:r>
    </w:p>
    <w:p>
      <w:r>
        <w:br w:type="page"/>
      </w:r>
    </w:p>
    <w:tbl>
      <w:tblPr>
        <w:tblStyle w:val="TableGrid"/>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0B2545"/>
              </w:rPr>
              <w:t>Drafting basis:</w:t>
            </w:r>
            <w:r>
              <w:t xml:space="preserve"> This ToS is tailored to the current Study Space repository: a Flask application with SQLAlchemy models, Flask-Migrate migrations, email verification, password reset, profile/settings data, notes, tasks, calendar events, flashcards, study sessions, groups, feed posts, comments, likes, notifications, achievements, PDF embeds, profile image uploads, account export/delete, security events, and local assistant/summarization functionality. Future payment, direct messaging, external integrations, and production AI-provider terms are drafted as forward-compatible clauses that counsel should activate or narrow before launch.</w:t>
            </w:r>
          </w:p>
        </w:tc>
      </w:tr>
    </w:tbl>
    <w:p>
      <w:pPr>
        <w:pStyle w:val="Heading1"/>
      </w:pPr>
      <w:r>
        <w:t>1. Definitions and Interpretation</w:t>
      </w:r>
    </w:p>
    <w:p>
      <w:r>
        <w:t>For purposes of these Terms, the following terms have the meanings set out below. Capitalized terms used in schedules or policies have the same meaning unless the context requires otherwise.</w:t>
      </w:r>
    </w:p>
    <w:tbl>
      <w:tblPr>
        <w:tblStyle w:val="TableGrid"/>
        <w:tblW w:type="dxa" w:w="9360"/>
        <w:jc w:val="left"/>
        <w:tblLayout w:type="fixed"/>
        <w:tblLook w:firstColumn="1" w:firstRow="1" w:lastColumn="0" w:lastRow="0" w:noHBand="0" w:noVBand="1" w:val="04A0"/>
      </w:tblPr>
      <w:tblGrid>
        <w:gridCol w:w="4680"/>
        <w:gridCol w:w="4680"/>
      </w:tblGrid>
      <w:tr>
        <w:tc>
          <w:tcPr>
            <w:tcW w:type="dxa" w:w="2200"/>
            <w:tcMar>
              <w:top w:w="80" w:type="dxa"/>
              <w:start w:w="120" w:type="dxa"/>
              <w:bottom w:w="80" w:type="dxa"/>
              <w:end w:w="120" w:type="dxa"/>
            </w:tcMar>
            <w:vAlign w:val="center"/>
            <w:shd w:fill="F2F4F7"/>
          </w:tcPr>
          <w:p>
            <w:r>
              <w:rPr>
                <w:b/>
              </w:rPr>
              <w:t>Term</w:t>
            </w:r>
          </w:p>
        </w:tc>
        <w:tc>
          <w:tcPr>
            <w:tcW w:type="dxa" w:w="7160"/>
            <w:tcMar>
              <w:top w:w="80" w:type="dxa"/>
              <w:start w:w="120" w:type="dxa"/>
              <w:bottom w:w="80" w:type="dxa"/>
              <w:end w:w="120" w:type="dxa"/>
            </w:tcMar>
            <w:vAlign w:val="center"/>
            <w:shd w:fill="F2F4F7"/>
          </w:tcPr>
          <w:p>
            <w:r>
              <w:rPr>
                <w:b/>
              </w:rPr>
              <w:t>Meaning</w:t>
            </w:r>
          </w:p>
        </w:tc>
      </w:tr>
      <w:tr>
        <w:tc>
          <w:tcPr>
            <w:tcW w:type="dxa" w:w="4680"/>
          </w:tcPr>
          <w:p>
            <w:r>
              <w:rPr>
                <w:b/>
              </w:rPr>
              <w:t>Account</w:t>
            </w:r>
          </w:p>
        </w:tc>
        <w:tc>
          <w:tcPr>
            <w:tcW w:type="dxa" w:w="4680"/>
          </w:tcPr>
          <w:p>
            <w:r>
              <w:t>a registered Study Space user account used to access authenticated features.</w:t>
            </w:r>
          </w:p>
        </w:tc>
      </w:tr>
      <w:tr>
        <w:tc>
          <w:tcPr>
            <w:tcW w:type="dxa" w:w="4680"/>
          </w:tcPr>
          <w:p>
            <w:r>
              <w:rPr>
                <w:b/>
              </w:rPr>
              <w:t>AI Features</w:t>
            </w:r>
          </w:p>
        </w:tc>
        <w:tc>
          <w:tcPr>
            <w:tcW w:type="dxa" w:w="4680"/>
          </w:tcPr>
          <w:p>
            <w:r>
              <w:t>assistant, summarization, automation, generation, classification, or similar features made available through Study Space, whether implemented locally or through a third-party AI provider.</w:t>
            </w:r>
          </w:p>
        </w:tc>
      </w:tr>
      <w:tr>
        <w:tc>
          <w:tcPr>
            <w:tcW w:type="dxa" w:w="4680"/>
          </w:tcPr>
          <w:p>
            <w:r>
              <w:rPr>
                <w:b/>
              </w:rPr>
              <w:t>Community Features</w:t>
            </w:r>
          </w:p>
        </w:tc>
        <w:tc>
          <w:tcPr>
            <w:tcW w:type="dxa" w:w="4680"/>
          </w:tcPr>
          <w:p>
            <w:r>
              <w:t>World Chat, private messaging, groups, feed posts, comments, likes, public notes, public flashcards, profiles, achievements, and similar interactive features.</w:t>
            </w:r>
          </w:p>
        </w:tc>
      </w:tr>
      <w:tr>
        <w:tc>
          <w:tcPr>
            <w:tcW w:type="dxa" w:w="4680"/>
          </w:tcPr>
          <w:p>
            <w:r>
              <w:rPr>
                <w:b/>
              </w:rPr>
              <w:t>Content</w:t>
            </w:r>
          </w:p>
        </w:tc>
        <w:tc>
          <w:tcPr>
            <w:tcW w:type="dxa" w:w="4680"/>
          </w:tcPr>
          <w:p>
            <w:r>
              <w:t>text, messages, notes, study materials, files, images, profile information, posts, comments, flashcards, tasks, calendar entries, metadata, and other information submitted to or generated within Study Space.</w:t>
            </w:r>
          </w:p>
        </w:tc>
      </w:tr>
      <w:tr>
        <w:tc>
          <w:tcPr>
            <w:tcW w:type="dxa" w:w="4680"/>
          </w:tcPr>
          <w:p>
            <w:r>
              <w:rPr>
                <w:b/>
              </w:rPr>
              <w:t>Files</w:t>
            </w:r>
          </w:p>
        </w:tc>
        <w:tc>
          <w:tcPr>
            <w:tcW w:type="dxa" w:w="4680"/>
          </w:tcPr>
          <w:p>
            <w:r>
              <w:t>profile images, PDF links or embeds, documents, media, attachments, and other uploaded or linked materials.</w:t>
            </w:r>
          </w:p>
        </w:tc>
      </w:tr>
      <w:tr>
        <w:tc>
          <w:tcPr>
            <w:tcW w:type="dxa" w:w="4680"/>
          </w:tcPr>
          <w:p>
            <w:r>
              <w:rPr>
                <w:b/>
              </w:rPr>
              <w:t>Operator</w:t>
            </w:r>
          </w:p>
        </w:tc>
        <w:tc>
          <w:tcPr>
            <w:tcW w:type="dxa" w:w="4680"/>
          </w:tcPr>
          <w:p>
            <w:r>
              <w:t>the person or legal entity that owns, operates, or makes Study Space available. The final legal name, address, and contact details must be inserted before launch.</w:t>
            </w:r>
          </w:p>
        </w:tc>
      </w:tr>
      <w:tr>
        <w:tc>
          <w:tcPr>
            <w:tcW w:type="dxa" w:w="4680"/>
          </w:tcPr>
          <w:p>
            <w:r>
              <w:rPr>
                <w:b/>
              </w:rPr>
              <w:t>Private Messaging</w:t>
            </w:r>
          </w:p>
        </w:tc>
        <w:tc>
          <w:tcPr>
            <w:tcW w:type="dxa" w:w="4680"/>
          </w:tcPr>
          <w:p>
            <w:r>
              <w:t>one-to-one or limited-recipient messaging or chat features, including any future direct message functionality.</w:t>
            </w:r>
          </w:p>
        </w:tc>
      </w:tr>
      <w:tr>
        <w:tc>
          <w:tcPr>
            <w:tcW w:type="dxa" w:w="4680"/>
          </w:tcPr>
          <w:p>
            <w:r>
              <w:rPr>
                <w:b/>
              </w:rPr>
              <w:t>Service</w:t>
            </w:r>
          </w:p>
        </w:tc>
        <w:tc>
          <w:tcPr>
            <w:tcW w:type="dxa" w:w="4680"/>
          </w:tcPr>
          <w:p>
            <w:r>
              <w:t>the Study Space website, application, APIs, databases, content, user interface, community tools, study tools, AI Features, integrations, and related services.</w:t>
            </w:r>
          </w:p>
        </w:tc>
      </w:tr>
      <w:tr>
        <w:tc>
          <w:tcPr>
            <w:tcW w:type="dxa" w:w="4680"/>
          </w:tcPr>
          <w:p>
            <w:r>
              <w:rPr>
                <w:b/>
              </w:rPr>
              <w:t>Student User</w:t>
            </w:r>
          </w:p>
        </w:tc>
        <w:tc>
          <w:tcPr>
            <w:tcW w:type="dxa" w:w="4680"/>
          </w:tcPr>
          <w:p>
            <w:r>
              <w:t>a user who uses Study Space for learning, study planning, academic work, revision, collaboration, or educational community participation.</w:t>
            </w:r>
          </w:p>
        </w:tc>
      </w:tr>
      <w:tr>
        <w:tc>
          <w:tcPr>
            <w:tcW w:type="dxa" w:w="4680"/>
          </w:tcPr>
          <w:p>
            <w:r>
              <w:rPr>
                <w:b/>
              </w:rPr>
              <w:t>Study Materials</w:t>
            </w:r>
          </w:p>
        </w:tc>
        <w:tc>
          <w:tcPr>
            <w:tcW w:type="dxa" w:w="4680"/>
          </w:tcPr>
          <w:p>
            <w:r>
              <w:t>notes, summaries, tasks, flashcards, files, calendar entries, study-session logs, prompts, educational content, and other learning-related Content.</w:t>
            </w:r>
          </w:p>
        </w:tc>
      </w:tr>
      <w:tr>
        <w:tc>
          <w:tcPr>
            <w:tcW w:type="dxa" w:w="4680"/>
          </w:tcPr>
          <w:p>
            <w:r>
              <w:rPr>
                <w:b/>
              </w:rPr>
              <w:t>Third-Party Services</w:t>
            </w:r>
          </w:p>
        </w:tc>
        <w:tc>
          <w:tcPr>
            <w:tcW w:type="dxa" w:w="4680"/>
          </w:tcPr>
          <w:p>
            <w:r>
              <w:t>external providers, platforms, APIs, content, software, infrastructure, payment processors, AI providers, email services, storage providers, analytics, or integrations used with or linked from Study Space.</w:t>
            </w:r>
          </w:p>
        </w:tc>
      </w:tr>
      <w:tr>
        <w:tc>
          <w:tcPr>
            <w:tcW w:type="dxa" w:w="4680"/>
          </w:tcPr>
          <w:p>
            <w:r>
              <w:rPr>
                <w:b/>
              </w:rPr>
              <w:t>User Content</w:t>
            </w:r>
          </w:p>
        </w:tc>
        <w:tc>
          <w:tcPr>
            <w:tcW w:type="dxa" w:w="4680"/>
          </w:tcPr>
          <w:p>
            <w:r>
              <w:t>Content that a user submits, uploads, creates, posts, shares, stores, or transmits through Study Space.</w:t>
            </w:r>
          </w:p>
        </w:tc>
      </w:tr>
      <w:tr>
        <w:tc>
          <w:tcPr>
            <w:tcW w:type="dxa" w:w="4680"/>
          </w:tcPr>
          <w:p>
            <w:r>
              <w:rPr>
                <w:b/>
              </w:rPr>
              <w:t>World Chat</w:t>
            </w:r>
          </w:p>
        </w:tc>
        <w:tc>
          <w:tcPr>
            <w:tcW w:type="dxa" w:w="4680"/>
          </w:tcPr>
          <w:p>
            <w:r>
              <w:t>any public or broadly visible chat, feed, forum, group, or community area made available for student communication.</w:t>
            </w:r>
          </w:p>
        </w:tc>
      </w:tr>
    </w:tbl>
    <w:p>
      <w:r>
        <w:t>References to clauses, sections, schedules, or policies are to this document unless expressly stated otherwise. Examples are illustrative and do not limit the relevant clause.</w:t>
      </w:r>
    </w:p>
    <w:p>
      <w:pPr>
        <w:pStyle w:val="Heading1"/>
      </w:pPr>
      <w:r>
        <w:t>2. Acceptance of Terms</w:t>
      </w:r>
    </w:p>
    <w:p>
      <w:r>
        <w:t>These Terms govern access to and use of the Service. By creating an Account, accessing the Service, posting Content, using Community Features, or otherwise using Study Space, the user agrees to be bound by these Terms and any policies incorporated by reference.</w:t>
      </w:r>
    </w:p>
    <w:p>
      <w:r>
        <w:t>If the user uses Study Space on behalf of a school, university, employer, club, study group, company, or other organization, the user represents that they have authority to bind that organization. If not, the user may use Study Space only in an individual capacity.</w:t>
      </w:r>
    </w:p>
    <w:p>
      <w:r>
        <w:t>If the user does not agree to these Terms, the user must not access or use Study Space.</w:t>
      </w:r>
    </w:p>
    <w:p>
      <w:pPr>
        <w:pStyle w:val="Heading1"/>
      </w:pPr>
      <w:r>
        <w:t>3. Eligibility</w:t>
      </w:r>
    </w:p>
    <w:p>
      <w:r>
        <w:t>Study Space is intended for students, learners, educators, and individuals using the Service for lawful educational, productivity, collaboration, and study purposes.</w:t>
      </w:r>
    </w:p>
    <w:p>
      <w:r>
        <w:t>Minimum age requirements must be finalized by counsel for the launch jurisdiction. Until finalized, Study Space should not be offered to children below the age at which they may consent to online services without verifiable parental, guardian, school, or institutional authorization.</w:t>
      </w:r>
    </w:p>
    <w:p>
      <w:r>
        <w:t>The Operator may refuse, suspend, or terminate access where it reasonably believes the user is ineligible, has provided false information, or is using the Service in a manner that creates legal, safety, security, academic-integrity, or community risk.</w:t>
      </w:r>
    </w:p>
    <w:p>
      <w:pPr>
        <w:pStyle w:val="Heading1"/>
      </w:pPr>
      <w:r>
        <w:t>4. User Accounts</w:t>
      </w:r>
    </w:p>
    <w:p>
      <w:r>
        <w:t>Users must provide accurate registration information and keep account information current. The current application requires a username, normalized email address, and password; future versions may add verification, profile, school, payment, or identity fields where appropriate.</w:t>
      </w:r>
    </w:p>
    <w:p>
      <w:r>
        <w:t>Users are responsible for maintaining the confidentiality of their credentials and for all activity under their Account, except to the extent caused by Study Space's breach of its own legal obligations.</w:t>
      </w:r>
    </w:p>
    <w:p>
      <w:r>
        <w:t>Study Space uses password hashing, email verification, password reset tokens, email-change confirmation, security-event logging, CSRF protections, and other account safeguards. Users must promptly notify the Operator of suspected unauthorized access.</w:t>
      </w:r>
    </w:p>
    <w:p>
      <w:r>
        <w:t>The Operator may require email verification before access to selected features, including Community Features, file uploads, AI Features, account export, account deletion, private messaging, or paid features.</w:t>
      </w:r>
    </w:p>
    <w:p>
      <w:pPr>
        <w:pStyle w:val="Heading1"/>
      </w:pPr>
      <w:r>
        <w:t>5. Description of the Service</w:t>
      </w:r>
    </w:p>
    <w:p>
      <w:r>
        <w:t>Study Space is designed as a student workspace that combines study planning, notes, tasks, flashcards, study sessions, calendar events, notifications, profile settings, community features, and future integrations in one platform.</w:t>
      </w:r>
    </w:p>
    <w:p>
      <w:r>
        <w:t>Current and planned features may include notes, pinned or archived materials, public study resources, flashcards, groups, feed posts, comments, likes, achievements, study-session tracking, PDF embeds, profile images, accessibility preferences, account export, account deletion, AI-assisted summarization, and future integrations with external services.</w:t>
      </w:r>
    </w:p>
    <w:p>
      <w:r>
        <w:t>The Service may change over time. The Operator may add, remove, suspend, rename, redesign, or modify features where reasonably necessary for security, legal compliance, maintainability, user experience, or product development.</w:t>
      </w:r>
    </w:p>
    <w:p>
      <w:pPr>
        <w:pStyle w:val="Heading1"/>
      </w:pPr>
      <w:r>
        <w:t>6. Acceptable Use</w:t>
      </w:r>
    </w:p>
    <w:p>
      <w:r>
        <w:t>Users may use Study Space only for lawful educational, productivity, collaboration, personal organization, and community purposes consistent with these Terms.</w:t>
      </w:r>
    </w:p>
    <w:p>
      <w:r>
        <w:t>Users must respect the rights, privacy, safety, academic rules, intellectual property, and dignity of other users and third parties.</w:t>
      </w:r>
    </w:p>
    <w:p>
      <w:r>
        <w:t>Users are responsible for ensuring that their use of notes, tasks, calendar entries, flashcards, AI Features, community posts, private messages, files, and integrations complies with applicable laws, institutional rules, platform policies, and academic standards.</w:t>
      </w:r>
    </w:p>
    <w:p>
      <w:pPr>
        <w:pStyle w:val="Heading1"/>
      </w:pPr>
      <w:r>
        <w:t>7. Prohibited Conduct</w:t>
      </w:r>
    </w:p>
    <w:p>
      <w:r>
        <w:t>Users must not misuse Study Space or attempt to interfere with its operation, security, availability, integrity, or lawful use by others.</w:t>
      </w:r>
    </w:p>
    <w:p>
      <w:pPr>
        <w:pStyle w:val="ListBullet"/>
      </w:pPr>
      <w:r>
        <w:t>harass, threaten, bully, exploit, impersonate, dox, stalk, or target another person;</w:t>
      </w:r>
    </w:p>
    <w:p>
      <w:pPr>
        <w:pStyle w:val="ListBullet"/>
      </w:pPr>
      <w:r>
        <w:t>post unlawful, defamatory, hateful, sexually explicit, violent, self-harm-promoting, discriminatory, or exploitative Content;</w:t>
      </w:r>
    </w:p>
    <w:p>
      <w:pPr>
        <w:pStyle w:val="ListBullet"/>
      </w:pPr>
      <w:r>
        <w:t>upload malware, phishing content, credential-harvesting pages, malicious scripts, or files designed to compromise systems;</w:t>
      </w:r>
    </w:p>
    <w:p>
      <w:pPr>
        <w:pStyle w:val="ListBullet"/>
      </w:pPr>
      <w:r>
        <w:t>probe, scan, attack, bypass, reverse engineer, scrape, overload, rate-limit evade, or otherwise abuse the Service;</w:t>
      </w:r>
    </w:p>
    <w:p>
      <w:pPr>
        <w:pStyle w:val="ListBullet"/>
      </w:pPr>
      <w:r>
        <w:t>use the Service to cheat, submit another person's work as their own, violate exam rules, or facilitate academic misconduct;</w:t>
      </w:r>
    </w:p>
    <w:p>
      <w:pPr>
        <w:pStyle w:val="ListBullet"/>
      </w:pPr>
      <w:r>
        <w:t>infringe intellectual property, privacy, publicity, confidentiality, database, or contractual rights;</w:t>
      </w:r>
    </w:p>
    <w:p>
      <w:pPr>
        <w:pStyle w:val="ListBullet"/>
      </w:pPr>
      <w:r>
        <w:t>misrepresent AI-generated work as entirely human-authored where disclosure is required by law, policy, or academic rules;</w:t>
      </w:r>
    </w:p>
    <w:p>
      <w:pPr>
        <w:pStyle w:val="ListBullet"/>
      </w:pPr>
      <w:r>
        <w:t>use bots, automation, or bulk account creation without express written permission;</w:t>
      </w:r>
    </w:p>
    <w:p>
      <w:pPr>
        <w:pStyle w:val="ListBullet"/>
      </w:pPr>
      <w:r>
        <w:t>sell, rent, sublicense, or commercially exploit access to the Service except as allowed by a separate written agreement.</w:t>
      </w:r>
    </w:p>
    <w:p>
      <w:pPr>
        <w:pStyle w:val="Heading1"/>
      </w:pPr>
      <w:r>
        <w:t>8. Student Community Rules</w:t>
      </w:r>
    </w:p>
    <w:p>
      <w:r>
        <w:t>Study Space community areas are intended to help students learn, collaborate, ask questions, share resources, and support one another. Users must communicate in a way that is respectful, constructive, age-appropriate, and education-focused.</w:t>
      </w:r>
    </w:p>
    <w:p>
      <w:r>
        <w:t>Community Content may be visible to other users depending on privacy settings, feature design, and moderation decisions. Users should not share personal information, confidential materials, exam materials, private school documents, or sensitive data unless they have the right and a legitimate reason to do so.</w:t>
      </w:r>
    </w:p>
    <w:p>
      <w:r>
        <w:t>The Operator may issue warnings, remove Content, limit visibility, restrict community access, suspend accounts, or escalate reports where reasonably necessary to protect users, comply with law, or preserve the integrity of Study Space.</w:t>
      </w:r>
    </w:p>
    <w:p>
      <w:pPr>
        <w:pStyle w:val="Heading1"/>
      </w:pPr>
      <w:r>
        <w:t>9. World Chat Rules</w:t>
      </w:r>
    </w:p>
    <w:p>
      <w:r>
        <w:t>World Chat and similar public communication spaces are for lawful, respectful, student-centered discussion. Users should assume that World Chat Content may be viewed, reported, moderated, preserved, and used to enforce these Terms.</w:t>
      </w:r>
    </w:p>
    <w:p>
      <w:r>
        <w:t>Users must not use World Chat to share personal contact details of minors, coordinate harassment, solicit illegal activity, distribute leaked materials, sell academic work, request exam answers, spam communities, or post Content that undermines Study Space's learning purpose.</w:t>
      </w:r>
    </w:p>
    <w:p>
      <w:r>
        <w:t>The Operator may apply automated or manual moderation, rate limits, keyword controls, account restrictions, reporting flows, and record retention to World Chat where appropriate.</w:t>
      </w:r>
    </w:p>
    <w:p>
      <w:pPr>
        <w:pStyle w:val="Heading1"/>
      </w:pPr>
      <w:r>
        <w:t>10. Private Messaging Rules</w:t>
      </w:r>
    </w:p>
    <w:p>
      <w:r>
        <w:t>Private Messaging, if enabled, is provided for legitimate student collaboration and communication. It must not be used for harassment, unsolicited promotion, academic dishonesty, grooming, exploitation, threats, illegal transactions, or circumvention of community moderation.</w:t>
      </w:r>
    </w:p>
    <w:p>
      <w:r>
        <w:t>Private messages are not guaranteed to be end-to-end encrypted unless the Operator expressly states otherwise in writing. The Operator may access, review, preserve, or disclose messages where required by law, necessary for safety or security, or reasonably required to investigate abuse.</w:t>
      </w:r>
    </w:p>
    <w:p>
      <w:r>
        <w:t>Counsel should review whether Private Messaging requires additional child-safety, school-safety, reporting, consent, retention, or monitoring obligations before launch.</w:t>
      </w:r>
    </w:p>
    <w:p>
      <w:pPr>
        <w:pStyle w:val="Heading1"/>
      </w:pPr>
      <w:r>
        <w:t>11. Academic Integrity</w:t>
      </w:r>
    </w:p>
    <w:p>
      <w:r>
        <w:t>Study Space is a learning tool, not a cheating tool. Users remain responsible for complying with all school, university, employer, exam-board, professional, and scholarship rules that apply to their work.</w:t>
      </w:r>
    </w:p>
    <w:p>
      <w:r>
        <w:t>Users must not use Study Space to submit work they did not create, obtain unauthorized answers, share restricted exam content, bypass proctoring, falsify study records, plagiarize, fabricate citations, or assist others in academic misconduct.</w:t>
      </w:r>
    </w:p>
    <w:p>
      <w:r>
        <w:t>Where academic rules require disclosure of assistance from AI Features, collaborators, public notes, flashcards, summaries, or external resources, the user is responsible for making that disclosure.</w:t>
      </w:r>
    </w:p>
    <w:p>
      <w:pPr>
        <w:pStyle w:val="Heading1"/>
      </w:pPr>
      <w:r>
        <w:t>12. AI Usage</w:t>
      </w:r>
    </w:p>
    <w:p>
      <w:r>
        <w:t>AI Features may help summarize, draft, organize, classify, generate, explain, or transform Study Materials. AI output may be inaccurate, incomplete, outdated, biased, non-original, unsuitable for the user's context, or inconsistent with academic requirements.</w:t>
      </w:r>
    </w:p>
    <w:p>
      <w:r>
        <w:t>Users must independently review, verify, and adapt AI output before relying on it. Users must not treat AI output as professional, medical, legal, financial, mental-health, academic-certification, or other regulated advice.</w:t>
      </w:r>
    </w:p>
    <w:p>
      <w:r>
        <w:t>The Operator may impose usage limits, safety filters, logging, abuse detection, disclosure labels, model changes, or provider substitutions for AI Features. If third-party AI providers are used in future releases, their terms and data-processing requirements must be incorporated into the final Terms and Privacy Policy.</w:t>
      </w:r>
    </w:p>
    <w:p>
      <w:pPr>
        <w:pStyle w:val="Heading1"/>
      </w:pPr>
      <w:r>
        <w:t>13. Notes, Tasks, Calendar, Flashcards, and Study Sessions</w:t>
      </w:r>
    </w:p>
    <w:p>
      <w:r>
        <w:t>Study Space may store user-owned notes, tasks, events, flashcards, study-session records, achievements, and related metadata. These features are designed to support study organization and learning workflows.</w:t>
      </w:r>
    </w:p>
    <w:p>
      <w:r>
        <w:t>The user is responsible for the accuracy, legality, retention, backup, and permitted use of their Study Materials. Study Space should not be the only copy of critical work unless a separate backup and continuity commitment is expressly provided.</w:t>
      </w:r>
    </w:p>
    <w:p>
      <w:r>
        <w:t>Study statistics, streaks, achievements, notifications, and productivity analytics are informational and may not perfectly reflect actual study time, academic performance, or learning outcomes.</w:t>
      </w:r>
    </w:p>
    <w:p>
      <w:pPr>
        <w:pStyle w:val="Heading1"/>
      </w:pPr>
      <w:r>
        <w:t>14. File Uploads and Embedded Materials</w:t>
      </w:r>
    </w:p>
    <w:p>
      <w:r>
        <w:t>Users may be permitted to upload profile images or link or embed files such as PDFs. Users must have all rights and permissions required to upload, link, display, process, and share such materials.</w:t>
      </w:r>
    </w:p>
    <w:p>
      <w:r>
        <w:t>Study Space may validate file extensions, MIME types, file signatures, size limits, domains, and embedded PDF sources. The Operator may reject, quarantine, remove, transform, compress, or disable files or links for security, safety, copyright, moderation, bandwidth, or legal reasons.</w:t>
      </w:r>
    </w:p>
    <w:p>
      <w:r>
        <w:t>Embedded PDF behavior is subject to allowlists, sandboxing, content-security policy, browser behavior, and third-party site terms. Users must not use PDF embeds to distribute malware, unauthorized copyrighted materials, leaked exam documents, personal records, or circumvention materials.</w:t>
      </w:r>
    </w:p>
    <w:p>
      <w:pPr>
        <w:pStyle w:val="Heading1"/>
      </w:pPr>
      <w:r>
        <w:t>15. User Generated Content</w:t>
      </w:r>
    </w:p>
    <w:p>
      <w:r>
        <w:t>Users retain ownership of User Content as between the user and the Operator, subject to the licenses granted in these Terms and any rights held by third parties.</w:t>
      </w:r>
    </w:p>
    <w:p>
      <w:r>
        <w:t>Users represent that they have all rights necessary to submit, upload, post, store, process, share, and license their User Content through Study Space, and that their User Content does not violate law, these Terms, academic rules, or third-party rights.</w:t>
      </w:r>
    </w:p>
    <w:p>
      <w:r>
        <w:t>The Operator is not required to pre-screen User Content. The Operator may review, moderate, remove, restrict, label, preserve, or disclose User Content where permitted by law and reasonably necessary to operate Study Space, enforce these Terms, protect users, improve features, or comply with legal obligations.</w:t>
      </w:r>
    </w:p>
    <w:p>
      <w:pPr>
        <w:pStyle w:val="Heading1"/>
      </w:pPr>
      <w:r>
        <w:t>16. Intellectual Property</w:t>
      </w:r>
    </w:p>
    <w:p>
      <w:r>
        <w:t>Study Space, including its software, interface, design, visual identity, product structure, databases, source code, documentation, logos, trademarks, trade dress, and other proprietary materials, is owned by the Operator or its licensors, except for User Content and third-party materials.</w:t>
      </w:r>
    </w:p>
    <w:p>
      <w:r>
        <w:t>These Terms do not transfer any ownership rights in Study Space. Subject to compliance with these Terms, the Operator grants the user a limited, revocable, non-exclusive, non-transferable, non-sublicensable right to access and use the Service for permitted educational and personal productivity purposes.</w:t>
      </w:r>
    </w:p>
    <w:p>
      <w:r>
        <w:t>Users must not copy, modify, distribute, sell, lease, host, white-label, frame, scrape, reverse engineer, or create derivative services from Study Space except where expressly permitted by law or written agreement.</w:t>
      </w:r>
    </w:p>
    <w:p>
      <w:pPr>
        <w:pStyle w:val="Heading1"/>
      </w:pPr>
      <w:r>
        <w:t>17. License to User Content</w:t>
      </w:r>
    </w:p>
    <w:p>
      <w:r>
        <w:t>To operate Study Space, the user grants the Operator a worldwide, non-exclusive, royalty-free license to host, store, reproduce, process, transmit, display, format, adapt, moderate, analyze, and otherwise use User Content as reasonably necessary to provide, secure, maintain, improve, and support the Service.</w:t>
      </w:r>
    </w:p>
    <w:p>
      <w:r>
        <w:t>For User Content that the user chooses to make public, post to Community Features, share with a group, publish as a public note or flashcard, or otherwise make visible to others, the user also grants the Operator the right to display and distribute that User Content to the intended audience through Study Space.</w:t>
      </w:r>
    </w:p>
    <w:p>
      <w:r>
        <w:t>This license ends when the user deletes the User Content or Account, except to the extent the Content has been shared with others, preserved in backups, retained for legal, safety, audit, or security reasons, or otherwise permitted by law.</w:t>
      </w:r>
    </w:p>
    <w:p>
      <w:pPr>
        <w:pStyle w:val="Heading1"/>
      </w:pPr>
      <w:r>
        <w:t>18. Copyright and Complaint Procedure</w:t>
      </w:r>
    </w:p>
    <w:p>
      <w:r>
        <w:t>The Operator respects intellectual property rights and may remove or restrict Content alleged to infringe copyright or equivalent rights. The final procedure must be localized for the Operator's jurisdiction, including whether the United States Digital Millennium Copyright Act, a notice-and-takedown regime, or another copyright complaint process applies.</w:t>
      </w:r>
    </w:p>
    <w:p>
      <w:r>
        <w:t>A copyright complaint should identify the copyrighted work, the allegedly infringing Content, the location of the Content in Study Space, the complainant's contact information, a good-faith statement, an accuracy statement, and an electronic or physical signature where required by law.</w:t>
      </w:r>
    </w:p>
    <w:p>
      <w:r>
        <w:t>Users whose Content is removed may have counter-notice, appeal, or dispute rights depending on applicable law. Repeated infringement may result in account restrictions or termination.</w:t>
      </w:r>
    </w:p>
    <w:p>
      <w:pPr>
        <w:pStyle w:val="Heading1"/>
      </w:pPr>
      <w:r>
        <w:t>19. Third-Party Services and External Integrations</w:t>
      </w:r>
    </w:p>
    <w:p>
      <w:r>
        <w:t>Study Space may link to, embed, or integrate with Third-Party Services such as email delivery providers, Redis or rate-limit storage, PostgreSQL or hosting providers, PDF sources, music services, AI providers, authentication providers, payment processors, analytics, or educational platforms.</w:t>
      </w:r>
    </w:p>
    <w:p>
      <w:r>
        <w:t>Third-Party Services are governed by their own terms, privacy policies, security practices, availability, rate limits, and fees. The Operator is not responsible for third-party content, interruptions, data practices, or acts or omissions, except as required by applicable law.</w:t>
      </w:r>
    </w:p>
    <w:p>
      <w:r>
        <w:t>Users authorize Study Space to transmit data to Third-Party Services as reasonably necessary for enabled integrations, requested features, security controls, email delivery, payment processing, AI processing, hosting, or support. The Privacy Policy should describe these transfers in more detail.</w:t>
      </w:r>
    </w:p>
    <w:p>
      <w:pPr>
        <w:pStyle w:val="Heading1"/>
      </w:pPr>
      <w:r>
        <w:t>20. Payment Terms: Future-Ready</w:t>
      </w:r>
    </w:p>
    <w:p>
      <w:r>
        <w:t>Study Space currently appears to be a development-stage product without activated payment flows. If paid subscriptions, premium AI usage, storage upgrades, school licenses, creator features, marketplace purchases, or other paid features are introduced, additional payment terms must be finalized before launch.</w:t>
      </w:r>
    </w:p>
    <w:p>
      <w:r>
        <w:t>Future payment terms should cover pricing, taxes, billing cycles, renewals, cancellation, refunds, trials, upgrades, downgrades, failed payments, chargebacks, school or institutional procurement, payment-processor terms, currency, and consumer-law disclosures.</w:t>
      </w:r>
    </w:p>
    <w:p>
      <w:r>
        <w:t>No paid feature should be launched until the Terms, Privacy Policy, refund policy, payment UI, email receipts, and provider agreements are aligned.</w:t>
      </w:r>
    </w:p>
    <w:p>
      <w:pPr>
        <w:pStyle w:val="Heading1"/>
      </w:pPr>
      <w:r>
        <w:t>21. Privacy Reference and Data Rights</w:t>
      </w:r>
    </w:p>
    <w:p>
      <w:r>
        <w:t>Study Space's collection, use, disclosure, retention, and protection of personal information should be described in a separate Privacy Policy incorporated by reference into these Terms.</w:t>
      </w:r>
    </w:p>
    <w:p>
      <w:r>
        <w:t>The current application includes account export and account deletion functionality, profile visibility settings, security-event logs, email verification, password reset, and account settings. The Privacy Policy should explain which records are user-owned, which records are system audit records, and how long data remains in backups or logs.</w:t>
      </w:r>
    </w:p>
    <w:p>
      <w:r>
        <w:t>Counsel should review whether Study Space may be subject to student privacy, children's privacy, educational records, consumer privacy, international transfer, biometric, communication-monitoring, or AI transparency obligations based on launch markets and user groups.</w:t>
      </w:r>
    </w:p>
    <w:p>
      <w:pPr>
        <w:pStyle w:val="Heading1"/>
      </w:pPr>
      <w:r>
        <w:t>22. Security</w:t>
      </w:r>
    </w:p>
    <w:p>
      <w:r>
        <w:t>The Operator will use reasonable administrative, technical, and organizational measures designed to protect the Service. Current security design includes hashed passwords, CSRF protection, rate limiting, production secret-key requirements, security headers, upload checks, PDF domain allowlisting, and security-event records.</w:t>
      </w:r>
    </w:p>
    <w:p>
      <w:r>
        <w:t>No online service is perfectly secure. Users must use strong passwords, protect their devices, avoid sharing credentials, review security notifications, and promptly report suspected vulnerabilities or unauthorized access.</w:t>
      </w:r>
    </w:p>
    <w:p>
      <w:r>
        <w:t>Users must not publicly disclose vulnerabilities or exploit security issues. Responsible vulnerability reports should be sent to the designated security contact once finalized by the Operator.</w:t>
      </w:r>
    </w:p>
    <w:p>
      <w:pPr>
        <w:pStyle w:val="Heading1"/>
      </w:pPr>
      <w:r>
        <w:t>23. Account Suspension, Termination, and User Deletion</w:t>
      </w:r>
    </w:p>
    <w:p>
      <w:r>
        <w:t>The user may stop using Study Space at any time and may request or use available account deletion features subject to identity, password, confirmation, legal, audit, security, and backup constraints.</w:t>
      </w:r>
    </w:p>
    <w:p>
      <w:r>
        <w:t>The Operator may suspend or terminate an Account, restrict features, remove Content, require verification, or preserve records where it reasonably believes the user has violated these Terms, created risk, infringed rights, threatened safety, abused Community Features, compromised security, or exposed the Operator to legal or operational risk.</w:t>
      </w:r>
    </w:p>
    <w:p>
      <w:r>
        <w:t>Termination does not affect rights and obligations that by their nature should survive, including intellectual property, User Content licenses already granted for shared Content, payment obligations, disclaimers, limitations of liability, indemnity, dispute provisions, audit retention, and legal compliance obligations.</w:t>
      </w:r>
    </w:p>
    <w:p>
      <w:pPr>
        <w:pStyle w:val="Heading1"/>
      </w:pPr>
      <w:r>
        <w:t>24. Content Removal and Community Moderation</w:t>
      </w:r>
    </w:p>
    <w:p>
      <w:r>
        <w:t>The Operator may moderate Community Features through manual review, user reporting, automated systems, rate limits, access controls, visibility settings, sanctions, or escalation processes.</w:t>
      </w:r>
    </w:p>
    <w:p>
      <w:r>
        <w:t>Moderation decisions may consider context, safety, intent, recurrence, legal risk, age of users, academic-integrity risk, and the purpose of Study Space as a student learning environment.</w:t>
      </w:r>
    </w:p>
    <w:p>
      <w:r>
        <w:t>The Operator may remove or restrict Content without notice where legally required or where the Content creates urgent safety, security, academic-integrity, privacy, copyright, or community risk. Appeal rights, if any, should be defined in a separate moderation policy.</w:t>
      </w:r>
    </w:p>
    <w:p>
      <w:pPr>
        <w:pStyle w:val="Heading1"/>
      </w:pPr>
      <w:r>
        <w:t>25. Service Availability and Changes</w:t>
      </w:r>
    </w:p>
    <w:p>
      <w:r>
        <w:t>Study Space is under active development and may experience interruptions, maintenance, bugs, feature changes, migrations, data model changes, or temporary limitations. The Operator may modify, suspend, or discontinue any part of the Service subject to applicable law and any separate paid-service commitments.</w:t>
      </w:r>
    </w:p>
    <w:p>
      <w:r>
        <w:t>The Operator should use reasonable efforts to avoid unnecessary data loss and should communicate material changes where practical. Users remain responsible for maintaining independent backups of critical Study Materials unless a separate written backup commitment applies.</w:t>
      </w:r>
    </w:p>
    <w:p>
      <w:pPr>
        <w:pStyle w:val="Heading1"/>
      </w:pPr>
      <w:r>
        <w:t>26. Disclaimer of Warranties</w:t>
      </w:r>
    </w:p>
    <w:p>
      <w:r>
        <w:t>To the maximum extent permitted by applicable law, Study Space is provided on an 'as is' and 'as available' basis without warranties of any kind, whether express, implied, statutory, or otherwise.</w:t>
      </w:r>
    </w:p>
    <w:p>
      <w:r>
        <w:t>The Operator does not warrant that the Service will be uninterrupted, error-free, secure, accurate, complete, compatible with every device or school system, or suitable for any specific academic, professional, legal, medical, financial, or educational outcome.</w:t>
      </w:r>
    </w:p>
    <w:p>
      <w:r>
        <w:t>AI outputs, study statistics, summaries, flashcards, reminders, achievements, community posts, and third-party materials are informational only and must be independently verified by the user.</w:t>
      </w:r>
    </w:p>
    <w:p>
      <w:pPr>
        <w:pStyle w:val="Heading1"/>
      </w:pPr>
      <w:r>
        <w:t>27. Limitation of Liability</w:t>
      </w:r>
    </w:p>
    <w:p>
      <w:r>
        <w:t>To the maximum extent permitted by applicable law, the Operator and its affiliates, contributors, licensors, service providers, officers, directors, employees, contractors, and agents will not be liable for indirect, incidental, special, consequential, exemplary, punitive, or similar damages, including loss of data, loss of marks or academic opportunity, lost profits, business interruption, reputational harm, or loss of goodwill.</w:t>
      </w:r>
    </w:p>
    <w:p>
      <w:r>
        <w:t>To the maximum extent permitted by applicable law, the total liability of the Operator for all claims relating to the Service should be capped at an amount selected by counsel, such as the greater of amounts paid by the user in a defined period or a fixed monetary cap.</w:t>
      </w:r>
    </w:p>
    <w:p>
      <w:r>
        <w:t>Some jurisdictions do not allow certain exclusions or limitations. The final clause must be localized to avoid unenforceable overreach.</w:t>
      </w:r>
    </w:p>
    <w:p>
      <w:pPr>
        <w:pStyle w:val="Heading1"/>
      </w:pPr>
      <w:r>
        <w:t>28. Indemnification</w:t>
      </w:r>
    </w:p>
    <w:p>
      <w:r>
        <w:t>To the maximum extent permitted by applicable law, the user agrees to defend, indemnify, and hold harmless the Operator and its affiliates, contributors, licensors, service providers, officers, directors, employees, contractors, and agents from claims, damages, liabilities, losses, costs, and expenses arising from the user's breach of these Terms, User Content, misuse of the Service, violation of law, academic misconduct, infringement, or violation of third-party rights.</w:t>
      </w:r>
    </w:p>
    <w:p>
      <w:r>
        <w:t>Counsel should narrow or adapt this clause for consumer users, minors, students, and jurisdictions where broad indemnities may be restricted or unenforceable.</w:t>
      </w:r>
    </w:p>
    <w:p>
      <w:pPr>
        <w:pStyle w:val="Heading1"/>
      </w:pPr>
      <w:r>
        <w:t>29. Amendments</w:t>
      </w:r>
    </w:p>
    <w:p>
      <w:r>
        <w:t>The Operator may update these Terms from time to time. Material changes should be communicated through the Service, email, or another reasonable method, and the updated Terms should identify the effective date.</w:t>
      </w:r>
    </w:p>
    <w:p>
      <w:r>
        <w:t>Continued use of Study Space after the effective date of updated Terms constitutes acceptance, except where applicable law requires a different process or express consent.</w:t>
      </w:r>
    </w:p>
    <w:p>
      <w:pPr>
        <w:pStyle w:val="Heading1"/>
      </w:pPr>
      <w:r>
        <w:t>30. Notices</w:t>
      </w:r>
    </w:p>
    <w:p>
      <w:r>
        <w:t>The Operator may provide notices by email, in-product notification, account message, website posting, or other reasonable means. Users are responsible for keeping their email address current.</w:t>
      </w:r>
    </w:p>
    <w:p>
      <w:r>
        <w:t>Legal notices to the Operator should be sent to the contact details identified in the finalized Terms. The current draft uses placeholders pending legal entity and jurisdiction decisions.</w:t>
      </w:r>
    </w:p>
    <w:p>
      <w:pPr>
        <w:pStyle w:val="Heading1"/>
      </w:pPr>
      <w:r>
        <w:t>31. Governing Law</w:t>
      </w:r>
    </w:p>
    <w:p>
      <w:r>
        <w:t>[PLACEHOLDER FOR COUNSEL: These Terms are governed by the laws of the jurisdiction selected by the Operator, without regard to conflict-of-law rules, except where mandatory consumer, education, privacy, or local laws provide otherwise.]</w:t>
      </w:r>
    </w:p>
    <w:p>
      <w:r>
        <w:t>The governing-law clause must be reviewed against the Operator's location, target markets, user age groups, consumer-law exposure, school or institutional deployments, and app-store or payment-provider requirements.</w:t>
      </w:r>
    </w:p>
    <w:p>
      <w:pPr>
        <w:pStyle w:val="Heading1"/>
      </w:pPr>
      <w:r>
        <w:t>32. Dispute Resolution</w:t>
      </w:r>
    </w:p>
    <w:p>
      <w:r>
        <w:t>[PLACEHOLDER FOR COUNSEL: The parties will first attempt to resolve disputes informally by contacting the Operator. Any mandatory arbitration, court venue, class-action waiver, small-claims option, regulator complaint process, or consumer-rights carveout must be selected and localized by counsel.]</w:t>
      </w:r>
    </w:p>
    <w:p>
      <w:r>
        <w:t>Dispute terms for students and minors require special care. Counsel should decide whether arbitration is appropriate, whether parental or guardian consent is required, and whether school or institutional contracts require a different dispute process.</w:t>
      </w:r>
    </w:p>
    <w:p>
      <w:pPr>
        <w:pStyle w:val="Heading1"/>
      </w:pPr>
      <w:r>
        <w:t>33. Entire Agreement</w:t>
      </w:r>
    </w:p>
    <w:p>
      <w:r>
        <w:t>These Terms, together with the Privacy Policy and any incorporated policies, constitute the entire agreement between the user and the Operator regarding the Service, unless the user or organization has a separate written agreement signed by the Operator.</w:t>
      </w:r>
    </w:p>
    <w:p>
      <w:r>
        <w:t>If any provision is held invalid or unenforceable, the remaining provisions will remain in effect to the maximum extent permitted by law. The Operator's failure to enforce a provision is not a waiver of its right to do so later.</w:t>
      </w:r>
    </w:p>
    <w:p>
      <w:pPr>
        <w:pStyle w:val="Heading1"/>
      </w:pPr>
      <w:r>
        <w:t>34. Contact Information</w:t>
      </w:r>
    </w:p>
    <w:p>
      <w:r>
        <w:t>Operator legal name: [INSERT LEGAL NAME].</w:t>
      </w:r>
    </w:p>
    <w:p>
      <w:r>
        <w:t>Registered address: [INSERT ADDRESS].</w:t>
      </w:r>
    </w:p>
    <w:p>
      <w:r>
        <w:t>General contact: [INSERT EMAIL].</w:t>
      </w:r>
    </w:p>
    <w:p>
      <w:r>
        <w:t>Security contact: [INSERT SECURITY EMAIL].</w:t>
      </w:r>
    </w:p>
    <w:p>
      <w:r>
        <w:t>Copyright/legal notices: [INSERT LEGAL EMAIL OR AGENT DETAILS].</w:t>
      </w:r>
    </w:p>
    <w:p>
      <w:r>
        <w:br w:type="page"/>
      </w:r>
    </w:p>
    <w:p>
      <w:pPr>
        <w:pStyle w:val="Heading1"/>
      </w:pPr>
      <w:r>
        <w:t>Schedule A: Community Standards</w:t>
      </w:r>
    </w:p>
    <w:p>
      <w:pPr>
        <w:pStyle w:val="ListBullet"/>
      </w:pPr>
      <w:r>
        <w:t>Be useful: post questions, answers, resources, and encouragement that genuinely help students learn.</w:t>
      </w:r>
    </w:p>
    <w:p>
      <w:pPr>
        <w:pStyle w:val="ListBullet"/>
      </w:pPr>
      <w:r>
        <w:t>Be respectful: disagreement is allowed; harassment, humiliation, identity attacks, and hostile pile-ons are not.</w:t>
      </w:r>
    </w:p>
    <w:p>
      <w:pPr>
        <w:pStyle w:val="ListBullet"/>
      </w:pPr>
      <w:r>
        <w:t>Be careful with identity: do not post personal data, private contact information, school records, or information about minors without permission.</w:t>
      </w:r>
    </w:p>
    <w:p>
      <w:pPr>
        <w:pStyle w:val="ListBullet"/>
      </w:pPr>
      <w:r>
        <w:t>Be academically honest: do not request, provide, sell, or distribute unauthorized answers, exam materials, essays, code, or coursework.</w:t>
      </w:r>
    </w:p>
    <w:p>
      <w:pPr>
        <w:pStyle w:val="ListBullet"/>
      </w:pPr>
      <w:r>
        <w:t>Report problems: use reporting tools or contact channels for abuse, safety concerns, copyright complaints, security issues, or suspected misconduct.</w:t>
      </w:r>
    </w:p>
    <w:p>
      <w:pPr>
        <w:pStyle w:val="Heading1"/>
      </w:pPr>
      <w:r>
        <w:t>Schedule B: AI and Academic Integrity Guidelines</w:t>
      </w:r>
    </w:p>
    <w:p>
      <w:pPr>
        <w:pStyle w:val="ListBullet"/>
      </w:pPr>
      <w:r>
        <w:t>Use AI Features to learn, revise, plan, summarize, practice, and understand concepts.</w:t>
      </w:r>
    </w:p>
    <w:p>
      <w:pPr>
        <w:pStyle w:val="ListBullet"/>
      </w:pPr>
      <w:r>
        <w:t>Do not submit AI output as your own work where your institution, teacher, examiner, employer, or scholarship rules prohibit it.</w:t>
      </w:r>
    </w:p>
    <w:p>
      <w:pPr>
        <w:pStyle w:val="ListBullet"/>
      </w:pPr>
      <w:r>
        <w:t>Verify AI output before relying on it, especially for facts, citations, formulas, legal, medical, financial, scientific, or technical claims.</w:t>
      </w:r>
    </w:p>
    <w:p>
      <w:pPr>
        <w:pStyle w:val="ListBullet"/>
      </w:pPr>
      <w:r>
        <w:t>Disclose AI assistance when required by academic policy or professional rules.</w:t>
      </w:r>
    </w:p>
    <w:p>
      <w:pPr>
        <w:pStyle w:val="ListBullet"/>
      </w:pPr>
      <w:r>
        <w:t>Do not use AI Features to generate harmful, illegal, infringing, deceptive, or exploitative Content.</w:t>
      </w:r>
    </w:p>
    <w:p>
      <w:pPr>
        <w:pStyle w:val="Heading1"/>
      </w:pPr>
      <w:r>
        <w:t>Schedule C: Copyright Complaint Procedure</w:t>
      </w:r>
    </w:p>
    <w:p>
      <w:r>
        <w:t>A finalized copyright procedure should identify the legal basis applicable to the Operator's jurisdiction. The following fields are recommended for incoming notices:</w:t>
      </w:r>
    </w:p>
    <w:p>
      <w:pPr>
        <w:pStyle w:val="ListBullet"/>
      </w:pPr>
      <w:r>
        <w:t>complainant name, organization, address, email, and telephone number;</w:t>
      </w:r>
    </w:p>
    <w:p>
      <w:pPr>
        <w:pStyle w:val="ListBullet"/>
      </w:pPr>
      <w:r>
        <w:t>identification of the copyrighted work or protected material;</w:t>
      </w:r>
    </w:p>
    <w:p>
      <w:pPr>
        <w:pStyle w:val="ListBullet"/>
      </w:pPr>
      <w:r>
        <w:t>specific URL, post, file, note, flashcard, group, or message location in Study Space;</w:t>
      </w:r>
    </w:p>
    <w:p>
      <w:pPr>
        <w:pStyle w:val="ListBullet"/>
      </w:pPr>
      <w:r>
        <w:t>statement of good-faith belief that the disputed use is not authorized;</w:t>
      </w:r>
    </w:p>
    <w:p>
      <w:pPr>
        <w:pStyle w:val="ListBullet"/>
      </w:pPr>
      <w:r>
        <w:t>statement that the information is accurate and that the complainant is authorized to act;</w:t>
      </w:r>
    </w:p>
    <w:p>
      <w:pPr>
        <w:pStyle w:val="ListBullet"/>
      </w:pPr>
      <w:r>
        <w:t>physical or electronic signature and any jurisdiction-specific certifications;</w:t>
      </w:r>
    </w:p>
    <w:p>
      <w:pPr>
        <w:pStyle w:val="ListBullet"/>
      </w:pPr>
      <w:r>
        <w:t>counter-notice and repeat-infringer process approved by counsel.</w:t>
      </w:r>
    </w:p>
    <w:p>
      <w:pPr>
        <w:pStyle w:val="Heading1"/>
      </w:pPr>
      <w:r>
        <w:t>Schedule D: Future Payment Terms Checklist</w:t>
      </w:r>
    </w:p>
    <w:tbl>
      <w:tblPr>
        <w:tblStyle w:val="TableGrid"/>
        <w:tblW w:type="dxa" w:w="9360"/>
        <w:jc w:val="left"/>
        <w:tblLayout w:type="fixed"/>
        <w:tblLook w:firstColumn="1" w:firstRow="1" w:lastColumn="0" w:lastRow="0" w:noHBand="0" w:noVBand="1" w:val="04A0"/>
      </w:tblPr>
      <w:tblGrid>
        <w:gridCol w:w="4680"/>
        <w:gridCol w:w="4680"/>
      </w:tblGrid>
      <w:tr>
        <w:tc>
          <w:tcPr>
            <w:tcW w:type="dxa" w:w="2500"/>
            <w:tcMar>
              <w:top w:w="80" w:type="dxa"/>
              <w:start w:w="120" w:type="dxa"/>
              <w:bottom w:w="80" w:type="dxa"/>
              <w:end w:w="120" w:type="dxa"/>
            </w:tcMar>
            <w:vAlign w:val="center"/>
            <w:shd w:fill="F2F4F7"/>
          </w:tcPr>
          <w:p>
            <w:r>
              <w:rPr>
                <w:b/>
              </w:rPr>
              <w:t>Area</w:t>
            </w:r>
          </w:p>
        </w:tc>
        <w:tc>
          <w:tcPr>
            <w:tcW w:type="dxa" w:w="6860"/>
            <w:tcMar>
              <w:top w:w="80" w:type="dxa"/>
              <w:start w:w="120" w:type="dxa"/>
              <w:bottom w:w="80" w:type="dxa"/>
              <w:end w:w="120" w:type="dxa"/>
            </w:tcMar>
            <w:vAlign w:val="center"/>
            <w:shd w:fill="F2F4F7"/>
          </w:tcPr>
          <w:p>
            <w:r>
              <w:rPr>
                <w:b/>
              </w:rPr>
              <w:t>Items to finalize</w:t>
            </w:r>
          </w:p>
        </w:tc>
      </w:tr>
      <w:tr>
        <w:tc>
          <w:tcPr>
            <w:tcW w:type="dxa" w:w="4680"/>
          </w:tcPr>
          <w:p>
            <w:r>
              <w:t>Pricing and plans</w:t>
            </w:r>
          </w:p>
        </w:tc>
        <w:tc>
          <w:tcPr>
            <w:tcW w:type="dxa" w:w="4680"/>
          </w:tcPr>
          <w:p>
            <w:r>
              <w:t>subscription tiers, premium AI usage, storage upgrades, school licenses, annual plans, trials, discounts, taxes, and currency.</w:t>
            </w:r>
          </w:p>
        </w:tc>
      </w:tr>
      <w:tr>
        <w:tc>
          <w:tcPr>
            <w:tcW w:type="dxa" w:w="4680"/>
          </w:tcPr>
          <w:p>
            <w:r>
              <w:t>Billing operations</w:t>
            </w:r>
          </w:p>
        </w:tc>
        <w:tc>
          <w:tcPr>
            <w:tcW w:type="dxa" w:w="4680"/>
          </w:tcPr>
          <w:p>
            <w:r>
              <w:t>processor terms, renewal dates, failed payments, grace periods, invoices, receipts, account owner, and administrator controls.</w:t>
            </w:r>
          </w:p>
        </w:tc>
      </w:tr>
      <w:tr>
        <w:tc>
          <w:tcPr>
            <w:tcW w:type="dxa" w:w="4680"/>
          </w:tcPr>
          <w:p>
            <w:r>
              <w:t>Cancellation and refunds</w:t>
            </w:r>
          </w:p>
        </w:tc>
        <w:tc>
          <w:tcPr>
            <w:tcW w:type="dxa" w:w="4680"/>
          </w:tcPr>
          <w:p>
            <w:r>
              <w:t>self-service cancellation, statutory cooling-off rights, prorated refunds, trial conversions, and school procurement rules.</w:t>
            </w:r>
          </w:p>
        </w:tc>
      </w:tr>
      <w:tr>
        <w:tc>
          <w:tcPr>
            <w:tcW w:type="dxa" w:w="4680"/>
          </w:tcPr>
          <w:p>
            <w:r>
              <w:t>Consumer disclosures</w:t>
            </w:r>
          </w:p>
        </w:tc>
        <w:tc>
          <w:tcPr>
            <w:tcW w:type="dxa" w:w="4680"/>
          </w:tcPr>
          <w:p>
            <w:r>
              <w:t>auto-renewal notices, price-change notices, regional consumer law requirements, and app-store payment rules where applicable.</w:t>
            </w:r>
          </w:p>
        </w:tc>
      </w:tr>
    </w:tbl>
    <w:p>
      <w:pPr>
        <w:pStyle w:val="Heading1"/>
      </w:pPr>
      <w:r>
        <w:t>Schedule E: Study Space Feature Matrix</w:t>
      </w:r>
    </w:p>
    <w:tbl>
      <w:tblPr>
        <w:tblStyle w:val="TableGrid"/>
        <w:tblW w:type="dxa" w:w="9360"/>
        <w:jc w:val="left"/>
        <w:tblLayout w:type="fixed"/>
        <w:tblLook w:firstColumn="1" w:firstRow="1" w:lastColumn="0" w:lastRow="0" w:noHBand="0" w:noVBand="1" w:val="04A0"/>
      </w:tblPr>
      <w:tblGrid>
        <w:gridCol w:w="4680"/>
        <w:gridCol w:w="4680"/>
      </w:tblGrid>
      <w:tr>
        <w:tc>
          <w:tcPr>
            <w:tcW w:type="dxa" w:w="2600"/>
            <w:tcMar>
              <w:top w:w="80" w:type="dxa"/>
              <w:start w:w="120" w:type="dxa"/>
              <w:bottom w:w="80" w:type="dxa"/>
              <w:end w:w="120" w:type="dxa"/>
            </w:tcMar>
            <w:vAlign w:val="center"/>
            <w:shd w:fill="F2F4F7"/>
          </w:tcPr>
          <w:p>
            <w:r>
              <w:rPr>
                <w:b/>
              </w:rPr>
              <w:t>Feature Area</w:t>
            </w:r>
          </w:p>
        </w:tc>
        <w:tc>
          <w:tcPr>
            <w:tcW w:type="dxa" w:w="6760"/>
            <w:tcMar>
              <w:top w:w="80" w:type="dxa"/>
              <w:start w:w="120" w:type="dxa"/>
              <w:bottom w:w="80" w:type="dxa"/>
              <w:end w:w="120" w:type="dxa"/>
            </w:tcMar>
            <w:vAlign w:val="center"/>
            <w:shd w:fill="F2F4F7"/>
          </w:tcPr>
          <w:p>
            <w:r>
              <w:rPr>
                <w:b/>
              </w:rPr>
              <w:t>Terms Relevance</w:t>
            </w:r>
          </w:p>
        </w:tc>
      </w:tr>
      <w:tr>
        <w:tc>
          <w:tcPr>
            <w:tcW w:type="dxa" w:w="4680"/>
          </w:tcPr>
          <w:p>
            <w:r>
              <w:t>Authentication and Accounts</w:t>
            </w:r>
          </w:p>
        </w:tc>
        <w:tc>
          <w:tcPr>
            <w:tcW w:type="dxa" w:w="4680"/>
          </w:tcPr>
          <w:p>
            <w:r>
              <w:t>Registration, login, logout, email verification, password reset, email change, settings, account export, account deletion, security history.</w:t>
            </w:r>
          </w:p>
        </w:tc>
      </w:tr>
      <w:tr>
        <w:tc>
          <w:tcPr>
            <w:tcW w:type="dxa" w:w="4680"/>
          </w:tcPr>
          <w:p>
            <w:r>
              <w:t>Student Workspace</w:t>
            </w:r>
          </w:p>
        </w:tc>
        <w:tc>
          <w:tcPr>
            <w:tcW w:type="dxa" w:w="4680"/>
          </w:tcPr>
          <w:p>
            <w:r>
              <w:t>Notes, note summaries, tasks, due dates, reminders, calendar events, study sessions, timer, achievements, notifications, profile preferences.</w:t>
            </w:r>
          </w:p>
        </w:tc>
      </w:tr>
      <w:tr>
        <w:tc>
          <w:tcPr>
            <w:tcW w:type="dxa" w:w="4680"/>
          </w:tcPr>
          <w:p>
            <w:r>
              <w:t>Learning Materials</w:t>
            </w:r>
          </w:p>
        </w:tc>
        <w:tc>
          <w:tcPr>
            <w:tcW w:type="dxa" w:w="4680"/>
          </w:tcPr>
          <w:p>
            <w:r>
              <w:t>Flashcards, public notes, public flashcards, favorites, pinned and archived notes, subject and tag organization.</w:t>
            </w:r>
          </w:p>
        </w:tc>
      </w:tr>
      <w:tr>
        <w:tc>
          <w:tcPr>
            <w:tcW w:type="dxa" w:w="4680"/>
          </w:tcPr>
          <w:p>
            <w:r>
              <w:t>Community</w:t>
            </w:r>
          </w:p>
        </w:tc>
        <w:tc>
          <w:tcPr>
            <w:tcW w:type="dxa" w:w="4680"/>
          </w:tcPr>
          <w:p>
            <w:r>
              <w:t>Groups, group membership, feed posts, comments, likes, public profiles where enabled, moderation needs, future World Chat and Private Messaging.</w:t>
            </w:r>
          </w:p>
        </w:tc>
      </w:tr>
      <w:tr>
        <w:tc>
          <w:tcPr>
            <w:tcW w:type="dxa" w:w="4680"/>
          </w:tcPr>
          <w:p>
            <w:r>
              <w:t>Files and Embeds</w:t>
            </w:r>
          </w:p>
        </w:tc>
        <w:tc>
          <w:tcPr>
            <w:tcW w:type="dxa" w:w="4680"/>
          </w:tcPr>
          <w:p>
            <w:r>
              <w:t>Profile images checked by extension, MIME, and signature; PDF URL embeds restricted by HTTPS and domain allowlist.</w:t>
            </w:r>
          </w:p>
        </w:tc>
      </w:tr>
      <w:tr>
        <w:tc>
          <w:tcPr>
            <w:tcW w:type="dxa" w:w="4680"/>
          </w:tcPr>
          <w:p>
            <w:r>
              <w:t>AI and Assistant</w:t>
            </w:r>
          </w:p>
        </w:tc>
        <w:tc>
          <w:tcPr>
            <w:tcW w:type="dxa" w:w="4680"/>
          </w:tcPr>
          <w:p>
            <w:r>
              <w:t>Local summarizer/assistant foundation today; future third-party AI provider integration should trigger provider-specific terms and privacy disclosures.</w:t>
            </w:r>
          </w:p>
        </w:tc>
      </w:tr>
      <w:tr>
        <w:tc>
          <w:tcPr>
            <w:tcW w:type="dxa" w:w="4680"/>
          </w:tcPr>
          <w:p>
            <w:r>
              <w:t>Infrastructure and Security</w:t>
            </w:r>
          </w:p>
        </w:tc>
        <w:tc>
          <w:tcPr>
            <w:tcW w:type="dxa" w:w="4680"/>
          </w:tcPr>
          <w:p>
            <w:r>
              <w:t>Flask, SQLAlchemy, Flask-Migrate/Alembic, SQLite development database with PostgreSQL-ready design, Redis-ready rate limiting, Flask-Talisman/CSP, CSRF, deployment through WSGI/Waitress.</w:t>
            </w:r>
          </w:p>
        </w:tc>
      </w:tr>
    </w:tbl>
    <w:p>
      <w:r>
        <w:br w:type="page"/>
      </w:r>
    </w:p>
    <w:p>
      <w:pPr>
        <w:pStyle w:val="Heading1"/>
      </w:pPr>
      <w:r>
        <w:t>Items Requiring Lawyer Review</w:t>
      </w:r>
    </w:p>
    <w:p>
      <w:pPr>
        <w:pStyle w:val="ListBullet"/>
      </w:pPr>
      <w:r>
        <w:t>Insert the Operator's legal entity name, address, support email, security email, copyright contact, and any registered agent information.</w:t>
      </w:r>
    </w:p>
    <w:p>
      <w:pPr>
        <w:pStyle w:val="ListBullet"/>
      </w:pPr>
      <w:r>
        <w:t>Select governing law, venue, dispute resolution, arbitration/class-action terms, consumer-law carveouts, and minor/student-specific dispute protections.</w:t>
      </w:r>
    </w:p>
    <w:p>
      <w:pPr>
        <w:pStyle w:val="ListBullet"/>
      </w:pPr>
      <w:r>
        <w:t>Finalize minimum age, parental consent, school consent, child-safety, student privacy, and education-record rules for each launch market.</w:t>
      </w:r>
    </w:p>
    <w:p>
      <w:pPr>
        <w:pStyle w:val="ListBullet"/>
      </w:pPr>
      <w:r>
        <w:t>Prepare a Privacy Policy aligned with account data, profile visibility, security events, email flows, exports, deletion, backups, logs, AI processing, and third-party providers.</w:t>
      </w:r>
    </w:p>
    <w:p>
      <w:pPr>
        <w:pStyle w:val="ListBullet"/>
      </w:pPr>
      <w:r>
        <w:t>Localize copyright complaint procedures, including DMCA if the Operator targets or operates from the United States, or equivalent notice regimes elsewhere.</w:t>
      </w:r>
    </w:p>
    <w:p>
      <w:pPr>
        <w:pStyle w:val="ListBullet"/>
      </w:pPr>
      <w:r>
        <w:t>Review enforceability of warranty disclaimers, liability caps, indemnities, community moderation rights, and unilateral amendment provisions.</w:t>
      </w:r>
    </w:p>
    <w:p>
      <w:pPr>
        <w:pStyle w:val="ListBullet"/>
      </w:pPr>
      <w:r>
        <w:t>Add payment, refund, auto-renewal, tax, processor, and consumer disclosure language before launching paid features.</w:t>
      </w:r>
    </w:p>
    <w:p>
      <w:pPr>
        <w:pStyle w:val="ListBullet"/>
      </w:pPr>
      <w:r>
        <w:t>Review whether World Chat, Private Messaging, school deployments, or minor users require additional safety, moderation, retention, reporting, or verification controls.</w:t>
      </w:r>
    </w:p>
    <w:p>
      <w:pPr>
        <w:pStyle w:val="ListBullet"/>
      </w:pPr>
      <w:r>
        <w:t>Verify open-source license obligations and add a repository LICENSE file and third-party notices before public or commercial distribution.</w:t>
      </w:r>
    </w:p>
    <w:p>
      <w:pPr>
        <w:pStyle w:val="Heading1"/>
      </w:pPr>
      <w:r>
        <w:t>Potential Legal Risks</w:t>
      </w:r>
    </w:p>
    <w:p>
      <w:pPr>
        <w:pStyle w:val="ListBullet"/>
      </w:pPr>
      <w:r>
        <w:t>Students and minors may trigger heightened privacy, safety, consent, moderation, and educational-record obligations.</w:t>
      </w:r>
    </w:p>
    <w:p>
      <w:pPr>
        <w:pStyle w:val="ListBullet"/>
      </w:pPr>
      <w:r>
        <w:t>AI Features can create academic-integrity, hallucination, plagiarism, citation, transparency, and provider data-processing risks.</w:t>
      </w:r>
    </w:p>
    <w:p>
      <w:pPr>
        <w:pStyle w:val="ListBullet"/>
      </w:pPr>
      <w:r>
        <w:t>Community features can create harassment, harmful content, copyright, defamation, privacy, and moderation consistency risks.</w:t>
      </w:r>
    </w:p>
    <w:p>
      <w:pPr>
        <w:pStyle w:val="ListBullet"/>
      </w:pPr>
      <w:r>
        <w:t>Private messaging and World Chat may require abuse-reporting workflows, blocking tools, message-retention policies, and safety escalation processes.</w:t>
      </w:r>
    </w:p>
    <w:p>
      <w:pPr>
        <w:pStyle w:val="ListBullet"/>
      </w:pPr>
      <w:r>
        <w:t>File uploads and PDF embeds can introduce malware, copyright, leaked exam, personal data, and third-party content risks.</w:t>
      </w:r>
    </w:p>
    <w:p>
      <w:pPr>
        <w:pStyle w:val="ListBullet"/>
      </w:pPr>
      <w:r>
        <w:t>The README currently describes a migration head that may lag the actual migration chain; production documentation should be reconciled before launch.</w:t>
      </w:r>
    </w:p>
    <w:p>
      <w:pPr>
        <w:pStyle w:val="ListBullet"/>
      </w:pPr>
      <w:r>
        <w:t>The repository appears to lack a standalone LICENSE file; commercial and contributor rights should be clarified before broader collaboration.</w:t>
      </w:r>
    </w:p>
    <w:p>
      <w:pPr>
        <w:pStyle w:val="ListBullet"/>
      </w:pPr>
      <w:r>
        <w:t>SQLite is appropriate for development, but production should use managed PostgreSQL or equivalent backups and operational controls.</w:t>
      </w:r>
    </w:p>
    <w:p>
      <w:pPr>
        <w:pStyle w:val="Heading1"/>
      </w:pPr>
      <w:r>
        <w:t>Suggested Product and Legal Improvements</w:t>
      </w:r>
    </w:p>
    <w:p>
      <w:pPr>
        <w:pStyle w:val="ListBullet"/>
      </w:pPr>
      <w:r>
        <w:t>Publish separate Privacy Policy, Community Guidelines, AI Use Policy, Copyright Policy, Security Policy, and Payment Terms when the corresponding features go live.</w:t>
      </w:r>
    </w:p>
    <w:p>
      <w:pPr>
        <w:pStyle w:val="ListBullet"/>
      </w:pPr>
      <w:r>
        <w:t>Add clear in-product disclosure where content is public, shared with a group, visible on profiles, processed by AI, or retained as an audit/security record.</w:t>
      </w:r>
    </w:p>
    <w:p>
      <w:pPr>
        <w:pStyle w:val="ListBullet"/>
      </w:pPr>
      <w:r>
        <w:t>Add user reporting, blocking, moderation queues, appeal states, and audit logs before scaling World Chat or Private Messaging.</w:t>
      </w:r>
    </w:p>
    <w:p>
      <w:pPr>
        <w:pStyle w:val="ListBullet"/>
      </w:pPr>
      <w:r>
        <w:t>Add school/institution mode if Study Space will be used by classrooms, with administrator roles, student-consent flows, and separate school agreements.</w:t>
      </w:r>
    </w:p>
    <w:p>
      <w:pPr>
        <w:pStyle w:val="ListBullet"/>
      </w:pPr>
      <w:r>
        <w:t>Add downloadable third-party notices for dependencies and finalize the project's own license strategy.</w:t>
      </w:r>
    </w:p>
    <w:p>
      <w:pPr>
        <w:pStyle w:val="ListBullet"/>
      </w:pPr>
      <w:r>
        <w:t>Maintain versioned legal documents in the repository or document system with effective dates, publication history, and lawyer approval status.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E"/>
        <w:sz w:val="18"/>
      </w:rPr>
      <w:t xml:space="preserve">Page </w:t>
    </w:r>
    <w:r>
      <w:rPr>
        <w:color w:val="5A626E"/>
        <w:sz w:val="18"/>
      </w:rPr>
      <w:fldChar w:fldCharType="begin"/>
      <w:instrText xml:space="preserve">PAGE</w:instrText>
      <w:fldChar w:fldCharType="separate"/>
      <w:t>Right-click and update field in Word to refresh.</w:t>
      <w:fldChar w:fldCharType="end"/>
    </w:r>
    <w:r>
      <w:rPr>
        <w:color w:val="5A626E"/>
        <w:sz w:val="18"/>
      </w:rPr>
      <w:t xml:space="preserve"> of </w:t>
    </w:r>
    <w:r>
      <w:rPr>
        <w:color w:val="5A626E"/>
        <w:sz w:val="18"/>
      </w:rPr>
      <w:fldChar w:fldCharType="begin"/>
      <w:instrText xml:space="preserve">NUMPAGES</w:instrText>
      <w:fldChar w:fldCharType="separate"/>
      <w:t>Right-click and update field in Word to refresh.</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E1E5EA"/>
      </w:pBdr>
    </w:pPr>
    <w:r>
      <w:rPr>
        <w:color w:val="5A626E"/>
        <w:sz w:val="18"/>
      </w:rPr>
      <w:t>Study Space Terms of Service | Attorney-Review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