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220"/>
        <w:gridCol w:w="2357"/>
        <w:gridCol w:w="3916"/>
        <w:gridCol w:w="1410"/>
      </w:tblGrid>
      <w:tr w:rsidR="00001249" w:rsidTr="00036E36">
        <w:tc>
          <w:tcPr>
            <w:tcW w:w="442" w:type="dxa"/>
          </w:tcPr>
          <w:p w:rsidR="00001249" w:rsidRDefault="00001249">
            <w:r>
              <w:t>№</w:t>
            </w:r>
          </w:p>
        </w:tc>
        <w:tc>
          <w:tcPr>
            <w:tcW w:w="1220" w:type="dxa"/>
          </w:tcPr>
          <w:p w:rsidR="00001249" w:rsidRDefault="00001249">
            <w:r>
              <w:t>Дата</w:t>
            </w:r>
          </w:p>
        </w:tc>
        <w:tc>
          <w:tcPr>
            <w:tcW w:w="2357" w:type="dxa"/>
          </w:tcPr>
          <w:p w:rsidR="00001249" w:rsidRDefault="00001249">
            <w:r>
              <w:t>Тема</w:t>
            </w:r>
          </w:p>
        </w:tc>
        <w:tc>
          <w:tcPr>
            <w:tcW w:w="3916" w:type="dxa"/>
          </w:tcPr>
          <w:p w:rsidR="00001249" w:rsidRDefault="00001249">
            <w:r>
              <w:t>Отчет о выполненной работе</w:t>
            </w:r>
          </w:p>
        </w:tc>
        <w:tc>
          <w:tcPr>
            <w:tcW w:w="1410" w:type="dxa"/>
          </w:tcPr>
          <w:p w:rsidR="00001249" w:rsidRDefault="00001249">
            <w:r>
              <w:t>Отметка о выполнении</w:t>
            </w:r>
          </w:p>
        </w:tc>
      </w:tr>
      <w:tr w:rsidR="00036E36" w:rsidTr="00036E36">
        <w:tc>
          <w:tcPr>
            <w:tcW w:w="442" w:type="dxa"/>
            <w:vMerge w:val="restart"/>
          </w:tcPr>
          <w:p w:rsidR="00036E36" w:rsidRDefault="00036E36" w:rsidP="00001249">
            <w:r>
              <w:t>1</w:t>
            </w:r>
          </w:p>
        </w:tc>
        <w:tc>
          <w:tcPr>
            <w:tcW w:w="1220" w:type="dxa"/>
            <w:vMerge w:val="restart"/>
          </w:tcPr>
          <w:p w:rsidR="00036E36" w:rsidRDefault="00036E36" w:rsidP="00001249">
            <w:r>
              <w:t>18.05.2023</w:t>
            </w:r>
          </w:p>
        </w:tc>
        <w:tc>
          <w:tcPr>
            <w:tcW w:w="2357" w:type="dxa"/>
          </w:tcPr>
          <w:p w:rsidR="00036E36" w:rsidRPr="00C75573" w:rsidRDefault="00036E36" w:rsidP="00001249">
            <w:pPr>
              <w:ind w:right="11"/>
              <w:rPr>
                <w:szCs w:val="24"/>
              </w:rPr>
            </w:pPr>
            <w:r w:rsidRPr="00C75573">
              <w:rPr>
                <w:szCs w:val="24"/>
              </w:rPr>
              <w:t>Вводный инструктаж по технике безопасности во время прохождения практики.</w:t>
            </w:r>
          </w:p>
        </w:tc>
        <w:tc>
          <w:tcPr>
            <w:tcW w:w="3916" w:type="dxa"/>
          </w:tcPr>
          <w:p w:rsidR="00036E36" w:rsidRPr="00C75573" w:rsidRDefault="00036E36" w:rsidP="00001249">
            <w:pPr>
              <w:ind w:right="11"/>
              <w:rPr>
                <w:szCs w:val="24"/>
              </w:rPr>
            </w:pPr>
            <w:r>
              <w:rPr>
                <w:szCs w:val="24"/>
              </w:rPr>
              <w:t>Изучены правила поведения в компьютерном кабинете. Пройден инструктаж по технике безопасности</w:t>
            </w:r>
          </w:p>
        </w:tc>
        <w:tc>
          <w:tcPr>
            <w:tcW w:w="1410" w:type="dxa"/>
            <w:vMerge w:val="restart"/>
          </w:tcPr>
          <w:p w:rsidR="00036E36" w:rsidRDefault="00036E36" w:rsidP="00001249"/>
        </w:tc>
      </w:tr>
      <w:tr w:rsidR="00036E36" w:rsidTr="00036E36">
        <w:tc>
          <w:tcPr>
            <w:tcW w:w="442" w:type="dxa"/>
            <w:vMerge/>
          </w:tcPr>
          <w:p w:rsidR="00036E36" w:rsidRDefault="00036E36" w:rsidP="00001249"/>
        </w:tc>
        <w:tc>
          <w:tcPr>
            <w:tcW w:w="1220" w:type="dxa"/>
            <w:vMerge/>
          </w:tcPr>
          <w:p w:rsidR="00036E36" w:rsidRDefault="00036E36" w:rsidP="00001249"/>
        </w:tc>
        <w:tc>
          <w:tcPr>
            <w:tcW w:w="2357" w:type="dxa"/>
          </w:tcPr>
          <w:p w:rsidR="00036E36" w:rsidRPr="00C75573" w:rsidRDefault="00036E36" w:rsidP="00001249">
            <w:pPr>
              <w:ind w:right="11"/>
              <w:rPr>
                <w:rFonts w:eastAsia="Calibri"/>
                <w:bCs/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 xml:space="preserve">Разработка технического задания. </w:t>
            </w:r>
          </w:p>
        </w:tc>
        <w:tc>
          <w:tcPr>
            <w:tcW w:w="3916" w:type="dxa"/>
          </w:tcPr>
          <w:p w:rsidR="00036E36" w:rsidRDefault="00036E36" w:rsidP="00001249">
            <w:pPr>
              <w:ind w:right="11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Изучена нормативная документация, определяющая методику и требования к разработке ТЗ.</w:t>
            </w:r>
          </w:p>
          <w:p w:rsidR="00036E36" w:rsidRPr="00C75573" w:rsidRDefault="00036E36" w:rsidP="00001249">
            <w:pPr>
              <w:ind w:right="11"/>
              <w:rPr>
                <w:rFonts w:eastAsia="Calibri"/>
                <w:bCs/>
                <w:szCs w:val="24"/>
              </w:rPr>
            </w:pPr>
          </w:p>
        </w:tc>
        <w:tc>
          <w:tcPr>
            <w:tcW w:w="1410" w:type="dxa"/>
            <w:vMerge/>
          </w:tcPr>
          <w:p w:rsidR="00036E36" w:rsidRDefault="00036E36" w:rsidP="00001249"/>
        </w:tc>
      </w:tr>
      <w:tr w:rsidR="00036E36" w:rsidTr="00036E36">
        <w:tc>
          <w:tcPr>
            <w:tcW w:w="442" w:type="dxa"/>
            <w:vMerge/>
          </w:tcPr>
          <w:p w:rsidR="00036E36" w:rsidRDefault="00036E36" w:rsidP="00001249"/>
        </w:tc>
        <w:tc>
          <w:tcPr>
            <w:tcW w:w="1220" w:type="dxa"/>
            <w:vMerge/>
          </w:tcPr>
          <w:p w:rsidR="00036E36" w:rsidRDefault="00036E36" w:rsidP="00001249"/>
        </w:tc>
        <w:tc>
          <w:tcPr>
            <w:tcW w:w="2357" w:type="dxa"/>
          </w:tcPr>
          <w:p w:rsidR="00036E36" w:rsidRPr="00C75573" w:rsidRDefault="00036E36" w:rsidP="00001249">
            <w:pPr>
              <w:ind w:right="11"/>
              <w:rPr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Выработка требований к программному обеспечению и программному модулю</w:t>
            </w:r>
          </w:p>
        </w:tc>
        <w:tc>
          <w:tcPr>
            <w:tcW w:w="3916" w:type="dxa"/>
          </w:tcPr>
          <w:p w:rsidR="00036E36" w:rsidRPr="00C75573" w:rsidRDefault="00036E36" w:rsidP="00001249">
            <w:pPr>
              <w:ind w:right="11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Разработано Примерное техническое задание к разработке программного продукта</w:t>
            </w:r>
            <w:r>
              <w:rPr>
                <w:rFonts w:eastAsia="Calibri"/>
                <w:bCs/>
                <w:szCs w:val="24"/>
              </w:rPr>
              <w:t>, определены требования к программному обеспечению</w:t>
            </w:r>
          </w:p>
        </w:tc>
        <w:tc>
          <w:tcPr>
            <w:tcW w:w="1410" w:type="dxa"/>
            <w:vMerge/>
          </w:tcPr>
          <w:p w:rsidR="00036E36" w:rsidRDefault="00036E36" w:rsidP="00001249"/>
        </w:tc>
      </w:tr>
      <w:tr w:rsidR="00036E36" w:rsidTr="00036E36">
        <w:trPr>
          <w:trHeight w:val="135"/>
        </w:trPr>
        <w:tc>
          <w:tcPr>
            <w:tcW w:w="442" w:type="dxa"/>
            <w:vMerge w:val="restart"/>
          </w:tcPr>
          <w:p w:rsidR="00036E36" w:rsidRDefault="00036E36" w:rsidP="00036E36">
            <w:r>
              <w:t>2</w:t>
            </w:r>
          </w:p>
        </w:tc>
        <w:tc>
          <w:tcPr>
            <w:tcW w:w="1220" w:type="dxa"/>
            <w:vMerge w:val="restart"/>
          </w:tcPr>
          <w:p w:rsidR="00036E36" w:rsidRDefault="00036E36" w:rsidP="00036E36">
            <w:r>
              <w:t>19.05.2023</w:t>
            </w:r>
          </w:p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b/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Проектирование программного обеспечения для решения прикладных задач.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 w:val="restart"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/>
          </w:tcPr>
          <w:p w:rsidR="00036E36" w:rsidRDefault="00036E36" w:rsidP="00036E36"/>
        </w:tc>
        <w:tc>
          <w:tcPr>
            <w:tcW w:w="1220" w:type="dxa"/>
            <w:vMerge/>
          </w:tcPr>
          <w:p w:rsidR="00036E36" w:rsidRDefault="00036E36" w:rsidP="00036E36"/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rFonts w:eastAsia="Calibri"/>
                <w:bCs/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Построение структуры программного продукта.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/>
          </w:tcPr>
          <w:p w:rsidR="00036E36" w:rsidRDefault="00036E36" w:rsidP="00036E36"/>
        </w:tc>
      </w:tr>
      <w:tr w:rsidR="00036E36" w:rsidTr="00036E36">
        <w:tc>
          <w:tcPr>
            <w:tcW w:w="442" w:type="dxa"/>
          </w:tcPr>
          <w:p w:rsidR="00036E36" w:rsidRDefault="00036E36" w:rsidP="00036E36">
            <w:r>
              <w:t>3</w:t>
            </w:r>
          </w:p>
        </w:tc>
        <w:tc>
          <w:tcPr>
            <w:tcW w:w="1220" w:type="dxa"/>
          </w:tcPr>
          <w:p w:rsidR="00036E36" w:rsidRDefault="00036E36" w:rsidP="00036E36">
            <w:r>
              <w:t>20.05.2023</w:t>
            </w:r>
          </w:p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rFonts w:eastAsia="Calibri"/>
                <w:bCs/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Кодирование программного обеспечения.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 w:val="restart"/>
          </w:tcPr>
          <w:p w:rsidR="00036E36" w:rsidRDefault="00036E36" w:rsidP="00036E36">
            <w:r>
              <w:t>4</w:t>
            </w:r>
          </w:p>
        </w:tc>
        <w:tc>
          <w:tcPr>
            <w:tcW w:w="1220" w:type="dxa"/>
            <w:vMerge w:val="restart"/>
          </w:tcPr>
          <w:p w:rsidR="00036E36" w:rsidRDefault="00036E36" w:rsidP="00036E36">
            <w:r>
              <w:t>22.05.2023</w:t>
            </w:r>
          </w:p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Тестирование и сопровождение программного обеспечения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 w:val="restart"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/>
          </w:tcPr>
          <w:p w:rsidR="00036E36" w:rsidRDefault="00036E36" w:rsidP="00036E36"/>
        </w:tc>
        <w:tc>
          <w:tcPr>
            <w:tcW w:w="1220" w:type="dxa"/>
            <w:vMerge/>
          </w:tcPr>
          <w:p w:rsidR="00036E36" w:rsidRDefault="00036E36" w:rsidP="00036E36"/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Проведение функционального и оценочного тестирования готового программного продукта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 w:val="restart"/>
          </w:tcPr>
          <w:p w:rsidR="00036E36" w:rsidRDefault="00036E36" w:rsidP="00036E36">
            <w:r>
              <w:t>5</w:t>
            </w:r>
          </w:p>
        </w:tc>
        <w:tc>
          <w:tcPr>
            <w:tcW w:w="1220" w:type="dxa"/>
            <w:vMerge w:val="restart"/>
          </w:tcPr>
          <w:p w:rsidR="00036E36" w:rsidRDefault="00036E36" w:rsidP="00036E36">
            <w:r>
              <w:t>23.05.2023</w:t>
            </w:r>
          </w:p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Разработка и оформление технической документации.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 w:val="restart"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/>
          </w:tcPr>
          <w:p w:rsidR="00036E36" w:rsidRDefault="00036E36" w:rsidP="00036E36"/>
        </w:tc>
        <w:tc>
          <w:tcPr>
            <w:tcW w:w="1220" w:type="dxa"/>
            <w:vMerge/>
          </w:tcPr>
          <w:p w:rsidR="00036E36" w:rsidRDefault="00036E36" w:rsidP="00036E36"/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Составление описания на программный продукт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 w:val="restart"/>
          </w:tcPr>
          <w:p w:rsidR="00036E36" w:rsidRDefault="00036E36" w:rsidP="00036E36">
            <w:bookmarkStart w:id="0" w:name="_GoBack" w:colFirst="3" w:colLast="3"/>
            <w:r>
              <w:t>6</w:t>
            </w:r>
          </w:p>
        </w:tc>
        <w:tc>
          <w:tcPr>
            <w:tcW w:w="1220" w:type="dxa"/>
            <w:vMerge w:val="restart"/>
          </w:tcPr>
          <w:p w:rsidR="00036E36" w:rsidRDefault="00036E36" w:rsidP="00036E36">
            <w:r>
              <w:t>24.05.2023</w:t>
            </w:r>
          </w:p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rFonts w:eastAsia="Calibri"/>
                <w:bCs/>
                <w:szCs w:val="24"/>
              </w:rPr>
            </w:pPr>
            <w:r w:rsidRPr="00C75573">
              <w:rPr>
                <w:rFonts w:eastAsia="Calibri"/>
                <w:bCs/>
                <w:szCs w:val="24"/>
              </w:rPr>
              <w:t>Администрирование программного обеспечения.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 w:val="restart"/>
          </w:tcPr>
          <w:p w:rsidR="00036E36" w:rsidRDefault="00036E36" w:rsidP="00036E36"/>
        </w:tc>
      </w:tr>
      <w:tr w:rsidR="00036E36" w:rsidTr="00036E36">
        <w:trPr>
          <w:trHeight w:val="135"/>
        </w:trPr>
        <w:tc>
          <w:tcPr>
            <w:tcW w:w="442" w:type="dxa"/>
            <w:vMerge/>
          </w:tcPr>
          <w:p w:rsidR="00036E36" w:rsidRDefault="00036E36" w:rsidP="00036E36"/>
        </w:tc>
        <w:tc>
          <w:tcPr>
            <w:tcW w:w="1220" w:type="dxa"/>
            <w:vMerge/>
          </w:tcPr>
          <w:p w:rsidR="00036E36" w:rsidRDefault="00036E36" w:rsidP="00036E36"/>
        </w:tc>
        <w:tc>
          <w:tcPr>
            <w:tcW w:w="2357" w:type="dxa"/>
          </w:tcPr>
          <w:p w:rsidR="00036E36" w:rsidRPr="00C75573" w:rsidRDefault="00036E36" w:rsidP="00036E36">
            <w:pPr>
              <w:ind w:right="11"/>
              <w:rPr>
                <w:b/>
                <w:szCs w:val="24"/>
              </w:rPr>
            </w:pPr>
            <w:r w:rsidRPr="00C75573">
              <w:rPr>
                <w:szCs w:val="24"/>
              </w:rPr>
              <w:t>Зачетное занятие</w:t>
            </w:r>
          </w:p>
        </w:tc>
        <w:tc>
          <w:tcPr>
            <w:tcW w:w="3916" w:type="dxa"/>
          </w:tcPr>
          <w:p w:rsidR="00036E36" w:rsidRDefault="00036E36" w:rsidP="00036E36"/>
        </w:tc>
        <w:tc>
          <w:tcPr>
            <w:tcW w:w="1410" w:type="dxa"/>
            <w:vMerge/>
          </w:tcPr>
          <w:p w:rsidR="00036E36" w:rsidRDefault="00036E36" w:rsidP="00036E36"/>
        </w:tc>
      </w:tr>
      <w:bookmarkEnd w:id="0"/>
    </w:tbl>
    <w:p w:rsidR="00DC52B4" w:rsidRDefault="00DC52B4"/>
    <w:sectPr w:rsidR="00DC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49"/>
    <w:rsid w:val="00001249"/>
    <w:rsid w:val="00036E36"/>
    <w:rsid w:val="006D5087"/>
    <w:rsid w:val="00901BED"/>
    <w:rsid w:val="00D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E3D6"/>
  <w15:chartTrackingRefBased/>
  <w15:docId w15:val="{29DE5CC9-322C-46FF-9BCF-13B58475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Cab42-Teacher</dc:creator>
  <cp:keywords/>
  <dc:description/>
  <cp:lastModifiedBy>Cab42-Teacher</cp:lastModifiedBy>
  <cp:revision>1</cp:revision>
  <dcterms:created xsi:type="dcterms:W3CDTF">2023-05-18T05:07:00Z</dcterms:created>
  <dcterms:modified xsi:type="dcterms:W3CDTF">2023-05-18T05:21:00Z</dcterms:modified>
</cp:coreProperties>
</file>