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Court Document Templates: Worked Examples</w:t>
      </w:r>
    </w:p>
    <w:p>
      <w:pPr>
        <w:spacing w:after="300"/>
        <w:jc w:val="center"/>
      </w:pPr>
      <w:r>
        <w:rPr>
          <w:i/>
          <w:iCs/>
        </w:rPr>
        <w:t xml:space="preserve">Scotland (Sheriff Appeal Court) · England &amp; Wales (Family Court) · European Court of Human Rights</w:t>
      </w:r>
    </w:p>
    <w:p>
      <w:pPr>
        <w:pBdr>
          <w:left w:val="single" w:color="999999" w:sz="12" w:space="8"/>
        </w:pBdr>
        <w:spacing w:after="200"/>
      </w:pPr>
      <w:r>
        <w:rPr>
          <w:i/>
          <w:iCs/>
          <w:color w:val="555555"/>
        </w:rPr>
        <w:t xml:space="preserve">This is not legal advice. Every document below is a fictionalised, fully worked specimen — the applicant, respondent, child, dates, addresses and case references are all invented ("Callum Reid", "Freya Reid" and "Bridgeford Council" do not refer to any real person, child or authority). They exist so you can see what complete, correctly structured content looks like. Replace every detail with your own before using any of it. Court rules and forms change — check the current official version before lodging anything, and get advice from a solicitor or law centre where you can.</w:t>
      </w:r>
    </w:p>
    <w:p>
      <w:r>
        <w:br w:type="page"/>
      </w:r>
    </w:p>
    <w:p>
      <w:pPr>
        <w:pStyle w:val="Heading1"/>
        <w:spacing w:after="200" w:before="200"/>
      </w:pPr>
      <w:r>
        <w:t xml:space="preserve">Template 1 — Motion (Form 15.1), Scotland</w:t>
      </w:r>
    </w:p>
    <w:p>
      <w:pPr>
        <w:pBdr>
          <w:left w:val="single" w:color="999999" w:sz="12" w:space="8"/>
        </w:pBdr>
        <w:spacing w:after="300" w:before="100"/>
      </w:pPr>
      <w:r>
        <w:rPr>
          <w:b/>
          <w:bCs/>
          <w:i/>
          <w:iCs/>
          <w:color w:val="555555"/>
        </w:rPr>
        <w:t xml:space="preserve">Guidance note: </w:t>
      </w:r>
      <w:r>
        <w:rPr>
          <w:i/>
          <w:iCs/>
          <w:color w:val="555555"/>
        </w:rPr>
        <w:t xml:space="preserve">A motion asks the court for one specific interim order while your main case is ongoing. Effective motions do ONE thing, name the order sought precisely, and give a short, factual, dated reason. Lodge one motion per order sought.</w:t>
      </w:r>
    </w:p>
    <w:p>
      <w:pPr>
        <w:spacing w:after="200"/>
        <w:jc w:val="center"/>
      </w:pPr>
      <w:r>
        <w:rPr>
          <w:b/>
          <w:bCs/>
          <w:i/>
          <w:iCs/>
          <w:color w:val="B00000"/>
          <w:sz w:val="18"/>
          <w:szCs w:val="18"/>
        </w:rPr>
        <w:t xml:space="preserve">— FICTIONAL WORKED EXAMPLE — every name, address, date and reference below is invented for illustration only —</w:t>
      </w:r>
    </w:p>
    <w:p>
      <w:pPr>
        <w:spacing w:after="100"/>
        <w:jc w:val="center"/>
      </w:pPr>
      <w:r>
        <w:rPr>
          <w:b/>
          <w:bCs/>
        </w:rPr>
        <w:t xml:space="preserve">FORM 15.1</w:t>
      </w:r>
    </w:p>
    <w:p>
      <w:pPr>
        <w:spacing w:after="100"/>
        <w:jc w:val="center"/>
      </w:pPr>
      <w:r>
        <w:rPr>
          <w:b/>
          <w:bCs/>
        </w:rPr>
        <w:t xml:space="preserve">IN THE SHERIFF APPEAL COURT</w:t>
      </w:r>
    </w:p>
    <w:p>
      <w:pPr>
        <w:spacing w:after="100"/>
        <w:jc w:val="center"/>
      </w:pPr>
      <w:r>
        <w:rPr>
          <w:b/>
          <w:bCs/>
        </w:rPr>
        <w:t xml:space="preserve">MOTION FOR THE APPELLANT</w:t>
      </w:r>
    </w:p>
    <w:p>
      <w:pPr>
        <w:spacing w:after="160"/>
      </w:pPr>
      <w:r>
        <w:t xml:space="preserve">Case Ref: FAL-A101-26</w:t>
      </w:r>
    </w:p>
    <w:p>
      <w:pPr>
        <w:spacing w:after="160"/>
      </w:pPr>
      <w:r>
        <w:t xml:space="preserve">In the appeal in the cause</w:t>
      </w:r>
    </w:p>
    <w:p>
      <w:pPr>
        <w:spacing w:after="100"/>
        <w:jc w:val="center"/>
      </w:pPr>
      <w:r>
        <w:rPr>
          <w:b/>
          <w:bCs/>
        </w:rPr>
        <w:t xml:space="preserve">Callum James Reid</w:t>
      </w:r>
    </w:p>
    <w:p>
      <w:pPr>
        <w:spacing w:after="100"/>
        <w:jc w:val="center"/>
      </w:pPr>
      <w:r>
        <w:t xml:space="preserve">(Appellant)</w:t>
      </w:r>
    </w:p>
    <w:p>
      <w:pPr>
        <w:spacing w:after="100"/>
        <w:jc w:val="center"/>
      </w:pPr>
      <w:r>
        <w:t xml:space="preserve">against</w:t>
      </w:r>
    </w:p>
    <w:p>
      <w:pPr>
        <w:spacing w:after="100"/>
        <w:jc w:val="center"/>
      </w:pPr>
      <w:r>
        <w:rPr>
          <w:b/>
          <w:bCs/>
        </w:rPr>
        <w:t xml:space="preserve">Bridgeford Council and The Principal Reporter, Scottish Children's Reporter Administration</w:t>
      </w:r>
    </w:p>
    <w:p>
      <w:pPr>
        <w:spacing w:after="100"/>
        <w:jc w:val="center"/>
      </w:pPr>
      <w:r>
        <w:t xml:space="preserve">(Respondents)</w:t>
      </w:r>
    </w:p>
    <w:p>
      <w:pPr>
        <w:spacing w:after="160"/>
      </w:pPr>
      <w:r>
        <w:t xml:space="preserve">In respect of: Freya Anne Reid (DOB: 3 June 2023)</w:t>
      </w:r>
    </w:p>
    <w:p>
      <w:pPr>
        <w:spacing w:after="160"/>
      </w:pPr>
      <w:r>
        <w:t xml:space="preserve">Date of Intimation: 3 August 2026</w:t>
      </w:r>
    </w:p>
    <w:p>
      <w:pPr>
        <w:spacing w:after="160"/>
      </w:pPr>
      <w:r>
        <w:rPr>
          <w:b/>
          <w:bCs/>
        </w:rPr>
        <w:t xml:space="preserve">1. </w:t>
      </w:r>
      <w:r>
        <w:t xml:space="preserve">The Appellant moves the Court to order recovery and production of the kinship care assessment concerning the Appellant, dated 10 January 2026, referred to but not disclosed at the hearing of 21 July 2026.</w:t>
      </w:r>
    </w:p>
    <w:p>
      <w:pPr>
        <w:spacing w:after="160"/>
      </w:pPr>
      <w:r>
        <w:rPr>
          <w:b/>
          <w:bCs/>
        </w:rPr>
        <w:t xml:space="preserve">2. </w:t>
      </w:r>
      <w:r>
        <w:t xml:space="preserve">The Section 67 grounds relied upon at the hearing of 14 February 2025 referred to the outcome of this assessment without the document itself being produced to the Appellant. The Appellant submits he could not effectively test evidence he had not seen, engaging Article 6 ECHR and the participation principle in McMichael v United Kingdom (1995) 20 EHRR 205.</w:t>
      </w:r>
    </w:p>
    <w:p>
      <w:pPr>
        <w:spacing w:after="160"/>
      </w:pPr>
      <w:r>
        <w:rPr>
          <w:b/>
          <w:bCs/>
        </w:rPr>
        <w:t xml:space="preserve">3. </w:t>
      </w:r>
      <w:r>
        <w:t xml:space="preserve">Last date for lodging opposition: 10 August 2026.</w:t>
      </w:r>
    </w:p>
    <w:p>
      <w:pPr>
        <w:spacing w:after="160"/>
      </w:pPr>
      <w:r>
        <w:rPr>
          <w:b/>
          <w:bCs/>
        </w:rPr>
        <w:t xml:space="preserve">4. </w:t>
      </w:r>
      <w:r>
        <w:t xml:space="preserve">Documents accompanying this Motion:</w:t>
      </w:r>
    </w:p>
    <w:p>
      <w:pPr>
        <w:pStyle w:val="ListParagraph"/>
        <w:numPr>
          <w:ilvl w:val="0"/>
          <w:numId w:val="1"/>
        </w:numPr>
      </w:pPr>
      <w:r>
        <w:t xml:space="preserve">Grounds of Appeal</w:t>
      </w:r>
    </w:p>
    <w:p>
      <w:pPr>
        <w:pStyle w:val="ListParagraph"/>
        <w:numPr>
          <w:ilvl w:val="0"/>
          <w:numId w:val="1"/>
        </w:numPr>
      </w:pPr>
      <w:r>
        <w:t xml:space="preserve">Supporting Statement of Callum Reid, dated 28 July 2026</w:t>
      </w:r>
    </w:p>
    <w:p>
      <w:r>
        <w:br w:type="page"/>
      </w:r>
    </w:p>
    <w:p>
      <w:pPr>
        <w:pStyle w:val="Heading1"/>
        <w:spacing w:after="200" w:before="200"/>
      </w:pPr>
      <w:r>
        <w:t xml:space="preserve">Template 2 — Notes of Argument, Scotland</w:t>
      </w:r>
    </w:p>
    <w:p>
      <w:pPr>
        <w:pBdr>
          <w:left w:val="single" w:color="999999" w:sz="12" w:space="8"/>
        </w:pBdr>
        <w:spacing w:after="300" w:before="100"/>
      </w:pPr>
      <w:r>
        <w:rPr>
          <w:b/>
          <w:bCs/>
          <w:i/>
          <w:iCs/>
          <w:color w:val="555555"/>
        </w:rPr>
        <w:t xml:space="preserve">Guidance note: </w:t>
      </w:r>
      <w:r>
        <w:rPr>
          <w:i/>
          <w:iCs/>
          <w:color w:val="555555"/>
        </w:rPr>
        <w:t xml:space="preserve">Each ground follows the same shape: state the ground, state the facts, cite the authority, say what should follow if it succeeds. Keep this to legal error, not relationship history.</w:t>
      </w:r>
    </w:p>
    <w:p>
      <w:pPr>
        <w:spacing w:after="200"/>
        <w:jc w:val="center"/>
      </w:pPr>
      <w:r>
        <w:rPr>
          <w:b/>
          <w:bCs/>
          <w:i/>
          <w:iCs/>
          <w:color w:val="B00000"/>
          <w:sz w:val="18"/>
          <w:szCs w:val="18"/>
        </w:rPr>
        <w:t xml:space="preserve">— FICTIONAL WORKED EXAMPLE — every name, address, date and reference below is invented for illustration only —</w:t>
      </w:r>
    </w:p>
    <w:p>
      <w:pPr>
        <w:spacing w:after="100"/>
        <w:jc w:val="center"/>
      </w:pPr>
      <w:r>
        <w:rPr>
          <w:b/>
          <w:bCs/>
        </w:rPr>
        <w:t xml:space="preserve">IN THE SHERIFF APPEAL COURT</w:t>
      </w:r>
    </w:p>
    <w:p>
      <w:pPr>
        <w:spacing w:after="100"/>
        <w:jc w:val="center"/>
      </w:pPr>
      <w:r>
        <w:rPr>
          <w:b/>
          <w:bCs/>
        </w:rPr>
        <w:t xml:space="preserve">NOTES OF ARGUMENT FOR THE APPELLANT</w:t>
      </w:r>
    </w:p>
    <w:p>
      <w:pPr>
        <w:spacing w:after="160"/>
      </w:pPr>
      <w:r>
        <w:t xml:space="preserve">Case Ref: FAL-A101-26</w:t>
      </w:r>
    </w:p>
    <w:p>
      <w:pPr>
        <w:spacing w:after="160"/>
      </w:pPr>
      <w:r>
        <w:t xml:space="preserve">Stated Case by Sheriff M. Hardie, for the opinion of the Sheriff Appeal Court</w:t>
      </w:r>
    </w:p>
    <w:p>
      <w:pPr>
        <w:spacing w:after="100"/>
        <w:jc w:val="center"/>
      </w:pPr>
      <w:r>
        <w:rPr>
          <w:b/>
          <w:bCs/>
        </w:rPr>
        <w:t xml:space="preserve">Callum James Reid</w:t>
      </w:r>
    </w:p>
    <w:p>
      <w:pPr>
        <w:spacing w:after="100"/>
        <w:jc w:val="center"/>
      </w:pPr>
      <w:r>
        <w:t xml:space="preserve">Appellant</w:t>
      </w:r>
    </w:p>
    <w:p>
      <w:pPr>
        <w:spacing w:after="100"/>
        <w:jc w:val="center"/>
      </w:pPr>
      <w:r>
        <w:t xml:space="preserve">against</w:t>
      </w:r>
    </w:p>
    <w:p>
      <w:pPr>
        <w:spacing w:after="100"/>
        <w:jc w:val="center"/>
      </w:pPr>
      <w:r>
        <w:rPr>
          <w:b/>
          <w:bCs/>
        </w:rPr>
        <w:t xml:space="preserve">The Principal Reporter, Scottish Children's Reporter Administration</w:t>
      </w:r>
    </w:p>
    <w:p>
      <w:pPr>
        <w:spacing w:after="100"/>
        <w:jc w:val="center"/>
      </w:pPr>
      <w:r>
        <w:t xml:space="preserve">Respondent</w:t>
      </w:r>
    </w:p>
    <w:p>
      <w:pPr>
        <w:spacing w:after="160"/>
      </w:pPr>
      <w:r>
        <w:rPr>
          <w:i/>
          <w:iCs/>
        </w:rPr>
        <w:t xml:space="preserve">Questions certified: (1) whether the Sheriff erred in law in refusing the appeal against the decision of the Children's Hearing of 14 February 2025; (2) whether the Appellant was afforded a fair opportunity to participate.</w:t>
      </w:r>
    </w:p>
    <w:p>
      <w:pPr>
        <w:pStyle w:val="Heading2"/>
        <w:spacing w:after="100" w:before="200"/>
      </w:pPr>
      <w:r>
        <w:t xml:space="preserve">Ground 1: Absence of effective notice of the hearing establishing grounds</w:t>
      </w:r>
    </w:p>
    <w:p>
      <w:pPr>
        <w:spacing w:after="160"/>
      </w:pPr>
      <w:r>
        <w:rPr>
          <w:b/>
          <w:bCs/>
        </w:rPr>
        <w:t xml:space="preserve">1. </w:t>
      </w:r>
      <w:r>
        <w:t xml:space="preserve">The Section 67 ground was recorded as established on 14 February 2025. The Appellant's position, supported by his supporting statement, is that he received intimation only two days beforehand and was not provided with the social work report relied upon.</w:t>
      </w:r>
    </w:p>
    <w:p>
      <w:pPr>
        <w:spacing w:after="160"/>
      </w:pPr>
      <w:r>
        <w:rPr>
          <w:b/>
          <w:bCs/>
        </w:rPr>
        <w:t xml:space="preserve">2. </w:t>
      </w:r>
      <w:r>
        <w:t xml:space="preserve">This engages Article 6(1) ECHR and Article 8 ECHR. In McMichael v United Kingdom (1995) 20 EHRR 205, the Court held that effective participation requires the opportunity to know and respond to material relied on, not a merely formal step.</w:t>
      </w:r>
    </w:p>
    <w:p>
      <w:pPr>
        <w:spacing w:after="160"/>
      </w:pPr>
      <w:r>
        <w:rPr>
          <w:b/>
          <w:bCs/>
        </w:rPr>
        <w:t xml:space="preserve">3. </w:t>
      </w:r>
      <w:r>
        <w:t xml:space="preserve">If this ground succeeds, the Appellant submits the appeal should be allowed and the matter remitted for a fresh hearing on notice.</w:t>
      </w:r>
    </w:p>
    <w:p>
      <w:pPr>
        <w:pStyle w:val="Heading2"/>
        <w:spacing w:after="100" w:before="200"/>
      </w:pPr>
      <w:r>
        <w:t xml:space="preserve">Ground 2: Apparent bias in the conduct of the hearing of 7 May 2026</w:t>
      </w:r>
    </w:p>
    <w:p>
      <w:pPr>
        <w:spacing w:after="160"/>
      </w:pPr>
      <w:r>
        <w:rPr>
          <w:b/>
          <w:bCs/>
        </w:rPr>
        <w:t xml:space="preserve">1. </w:t>
      </w:r>
      <w:r>
        <w:t xml:space="preserve">Sheriff M. Hardie had prior involvement in the linked proceedings FAL-A088-25, concerning the same family, which was not disclosed until raised by the Appellant.</w:t>
      </w:r>
    </w:p>
    <w:p>
      <w:pPr>
        <w:spacing w:after="160"/>
      </w:pPr>
      <w:r>
        <w:rPr>
          <w:b/>
          <w:bCs/>
        </w:rPr>
        <w:t xml:space="preserve">2. </w:t>
      </w:r>
      <w:r>
        <w:t xml:space="preserve">The test in Porter v Magill [2001] UKHL 67 asks whether a fair-minded and informed observer, aware of the facts, would conclude there was a real possibility of bias.</w:t>
      </w:r>
    </w:p>
    <w:p>
      <w:pPr>
        <w:spacing w:after="160"/>
      </w:pPr>
      <w:r>
        <w:rPr>
          <w:b/>
          <w:bCs/>
        </w:rPr>
        <w:t xml:space="preserve">3. </w:t>
      </w:r>
      <w:r>
        <w:t xml:space="preserve">If this ground succeeds, the Appellant submits the decision should be set aside and the matter reheard by a different sheriff.</w:t>
      </w:r>
    </w:p>
    <w:p>
      <w:pPr>
        <w:pStyle w:val="Heading2"/>
        <w:spacing w:after="100" w:before="200"/>
      </w:pPr>
      <w:r>
        <w:t xml:space="preserve">Orders Sought</w:t>
      </w:r>
    </w:p>
    <w:p>
      <w:pPr>
        <w:spacing w:after="160"/>
      </w:pPr>
      <w:r>
        <w:t xml:space="preserve">That the appeal be allowed, the decision of the Sheriff be set aside, and the matter remitted for a fresh hearing before a different sheriff, on proper notice.</w:t>
      </w:r>
    </w:p>
    <w:p>
      <w:pPr>
        <w:pStyle w:val="Heading2"/>
        <w:spacing w:after="100" w:before="200"/>
      </w:pPr>
      <w:r>
        <w:t xml:space="preserve">Conclusion</w:t>
      </w:r>
    </w:p>
    <w:p>
      <w:pPr>
        <w:spacing w:after="160"/>
      </w:pPr>
      <w:r>
        <w:t xml:space="preserve">For the reasons above, the Appellant submits the appeal should succeed on Grounds 1 and 2.</w:t>
      </w:r>
    </w:p>
    <w:p>
      <w:r>
        <w:br w:type="page"/>
      </w:r>
    </w:p>
    <w:p>
      <w:pPr>
        <w:pStyle w:val="Heading1"/>
        <w:spacing w:after="200" w:before="200"/>
      </w:pPr>
      <w:r>
        <w:t xml:space="preserve">Template 3 — Bundle of Authorities, Scotland</w:t>
      </w:r>
    </w:p>
    <w:p>
      <w:pPr>
        <w:pBdr>
          <w:left w:val="single" w:color="999999" w:sz="12" w:space="8"/>
        </w:pBdr>
        <w:spacing w:after="300" w:before="100"/>
      </w:pPr>
      <w:r>
        <w:rPr>
          <w:b/>
          <w:bCs/>
          <w:i/>
          <w:iCs/>
          <w:color w:val="555555"/>
        </w:rPr>
        <w:t xml:space="preserve">Guidance note: </w:t>
      </w:r>
      <w:r>
        <w:rPr>
          <w:i/>
          <w:iCs/>
          <w:color w:val="555555"/>
        </w:rPr>
        <w:t xml:space="preserve">Courts expect the FULL judgment text lodged for each authority (from BAILII or HUDOC) — summaries here are for your working draft only.</w:t>
      </w:r>
    </w:p>
    <w:p>
      <w:pPr>
        <w:spacing w:after="200"/>
        <w:jc w:val="center"/>
      </w:pPr>
      <w:r>
        <w:rPr>
          <w:b/>
          <w:bCs/>
          <w:i/>
          <w:iCs/>
          <w:color w:val="B00000"/>
          <w:sz w:val="18"/>
          <w:szCs w:val="18"/>
        </w:rPr>
        <w:t xml:space="preserve">— FICTIONAL WORKED EXAMPLE — every name, address, date and reference below is invented for illustration only —</w:t>
      </w:r>
    </w:p>
    <w:p>
      <w:pPr>
        <w:spacing w:after="100"/>
        <w:jc w:val="center"/>
      </w:pPr>
      <w:r>
        <w:rPr>
          <w:b/>
          <w:bCs/>
        </w:rPr>
        <w:t xml:space="preserve">JOINT BUNDLE OF AUTHORITIES</w:t>
      </w:r>
    </w:p>
    <w:p>
      <w:pPr>
        <w:spacing w:after="160"/>
      </w:pPr>
      <w:r>
        <w:t xml:space="preserve">Case Ref: FAL-A101-26 — Callum James Reid, Appellant v The Principal Reporter, Scottish Children's Reporter Administration, Respondent</w:t>
      </w:r>
    </w:p>
    <w:p>
      <w:pPr>
        <w:pStyle w:val="Heading2"/>
        <w:spacing w:after="100" w:before="200"/>
      </w:pPr>
      <w:r>
        <w:t xml:space="preserve">1. McMichael v United Kingdom</w:t>
      </w:r>
    </w:p>
    <w:p>
      <w:pPr>
        <w:spacing w:after="160"/>
      </w:pPr>
      <w:r>
        <w:t xml:space="preserve">(1995) 20 EHRR 205, European Court of Human Rights</w:t>
      </w:r>
    </w:p>
    <w:p>
      <w:pPr>
        <w:spacing w:after="160"/>
      </w:pPr>
      <w:r>
        <w:rPr>
          <w:b/>
          <w:bCs/>
        </w:rPr>
        <w:t xml:space="preserve">Relied upon for: </w:t>
      </w:r>
      <w:r>
        <w:t xml:space="preserve">Ground 1 — effective participation requires knowledge of, and a chance to respond to, evidence relied on.</w:t>
      </w:r>
    </w:p>
    <w:p>
      <w:pPr>
        <w:pStyle w:val="Heading2"/>
        <w:spacing w:after="100" w:before="200"/>
      </w:pPr>
      <w:r>
        <w:t xml:space="preserve">2. Porter v Magill</w:t>
      </w:r>
    </w:p>
    <w:p>
      <w:pPr>
        <w:spacing w:after="160"/>
      </w:pPr>
      <w:r>
        <w:t xml:space="preserve">[2001] UKHL 67; [2002] 2 AC 357, House of Lords</w:t>
      </w:r>
    </w:p>
    <w:p>
      <w:pPr>
        <w:spacing w:after="160"/>
      </w:pPr>
      <w:r>
        <w:rPr>
          <w:b/>
          <w:bCs/>
        </w:rPr>
        <w:t xml:space="preserve">Relied upon for: </w:t>
      </w:r>
      <w:r>
        <w:t xml:space="preserve">Ground 2 — the fair-minded, informed observer test for apparent bias.</w:t>
      </w:r>
    </w:p>
    <w:p>
      <w:pPr>
        <w:pStyle w:val="Heading2"/>
        <w:spacing w:after="100" w:before="200"/>
      </w:pPr>
      <w:r>
        <w:t xml:space="preserve">3. Principal Reporter v K</w:t>
      </w:r>
    </w:p>
    <w:p>
      <w:pPr>
        <w:spacing w:after="160"/>
      </w:pPr>
      <w:r>
        <w:t xml:space="preserve">[2010] UKSC 56; 2011 SC (UKSC) 91, UK Supreme Court</w:t>
      </w:r>
    </w:p>
    <w:p>
      <w:pPr>
        <w:spacing w:after="160"/>
      </w:pPr>
      <w:r>
        <w:rPr>
          <w:b/>
          <w:bCs/>
        </w:rPr>
        <w:t xml:space="preserve">Relied upon for: </w:t>
      </w:r>
      <w:r>
        <w:t xml:space="preserve">A father's participation rights track the reality of family life and the substance of allegations against him, not formal status alone.</w:t>
      </w:r>
    </w:p>
    <w:p>
      <w:r>
        <w:br w:type="page"/>
      </w:r>
    </w:p>
    <w:p>
      <w:pPr>
        <w:pStyle w:val="Heading1"/>
        <w:spacing w:after="200" w:before="200"/>
      </w:pPr>
      <w:r>
        <w:t xml:space="preserve">Template 4 — Appeal Print (Structure), Scotland</w:t>
      </w:r>
    </w:p>
    <w:p>
      <w:pPr>
        <w:pBdr>
          <w:left w:val="single" w:color="999999" w:sz="12" w:space="8"/>
        </w:pBdr>
        <w:spacing w:after="300" w:before="100"/>
      </w:pPr>
      <w:r>
        <w:rPr>
          <w:b/>
          <w:bCs/>
          <w:i/>
          <w:iCs/>
          <w:color w:val="555555"/>
        </w:rPr>
        <w:t xml:space="preserve">Guidance note: </w:t>
      </w:r>
      <w:r>
        <w:rPr>
          <w:i/>
          <w:iCs/>
          <w:color w:val="555555"/>
        </w:rPr>
        <w:t xml:space="preserve">Build this last, once every other document is final, so the index and pagination are accurate.</w:t>
      </w:r>
    </w:p>
    <w:p>
      <w:pPr>
        <w:spacing w:after="200"/>
        <w:jc w:val="center"/>
      </w:pPr>
      <w:r>
        <w:rPr>
          <w:b/>
          <w:bCs/>
          <w:i/>
          <w:iCs/>
          <w:color w:val="B00000"/>
          <w:sz w:val="18"/>
          <w:szCs w:val="18"/>
        </w:rPr>
        <w:t xml:space="preserve">— FICTIONAL WORKED EXAMPLE — every name, address, date and reference below is invented for illustration only —</w:t>
      </w:r>
    </w:p>
    <w:p>
      <w:pPr>
        <w:spacing w:after="100"/>
        <w:jc w:val="center"/>
      </w:pPr>
      <w:r>
        <w:rPr>
          <w:b/>
          <w:bCs/>
        </w:rPr>
        <w:t xml:space="preserve">SHERIFF APPEAL COURT — APPEAL PRINT</w:t>
      </w:r>
    </w:p>
    <w:p>
      <w:pPr>
        <w:spacing w:after="160"/>
      </w:pPr>
      <w:r>
        <w:t xml:space="preserve">Appeal under Chapter 7 of the Sheriff Appeal Court (Civil) Rules</w:t>
      </w:r>
    </w:p>
    <w:p>
      <w:pPr>
        <w:spacing w:after="160"/>
      </w:pPr>
      <w:r>
        <w:t xml:space="preserve">Case Reference: FAL-A101-26 (linked: FAL-A088-25)</w:t>
      </w:r>
    </w:p>
    <w:p>
      <w:pPr>
        <w:spacing w:after="160"/>
      </w:pPr>
      <w:r>
        <w:t xml:space="preserve">In the appeal of Callum James Reid against The Principal Reporter, Scottish Children's Reporter Administration, in respect of Freya Anne Reid</w:t>
      </w:r>
    </w:p>
    <w:p>
      <w:pPr>
        <w:pStyle w:val="Heading2"/>
        <w:spacing w:after="100" w:before="200"/>
      </w:pPr>
      <w:r>
        <w:t xml:space="preserve">Master Index</w:t>
      </w:r>
    </w:p>
    <w:p>
      <w:pPr>
        <w:pStyle w:val="ListParagraph"/>
        <w:numPr>
          <w:ilvl w:val="0"/>
          <w:numId w:val="1"/>
        </w:numPr>
      </w:pPr>
      <w:r>
        <w:t xml:space="preserve">Volume 1 — Appeal Print</w:t>
      </w:r>
    </w:p>
    <w:p>
      <w:pPr>
        <w:pStyle w:val="ListParagraph"/>
        <w:numPr>
          <w:ilvl w:val="0"/>
          <w:numId w:val="1"/>
        </w:numPr>
      </w:pPr>
      <w:r>
        <w:t xml:space="preserve">Volume 2 — Appendix (Productions)</w:t>
      </w:r>
    </w:p>
    <w:p>
      <w:pPr>
        <w:pStyle w:val="ListParagraph"/>
        <w:numPr>
          <w:ilvl w:val="0"/>
          <w:numId w:val="1"/>
        </w:numPr>
      </w:pPr>
      <w:r>
        <w:t xml:space="preserve">Volume 3 — Joint Bundle of Authorities</w:t>
      </w:r>
    </w:p>
    <w:p>
      <w:pPr>
        <w:pStyle w:val="ListParagraph"/>
        <w:numPr>
          <w:ilvl w:val="0"/>
          <w:numId w:val="1"/>
        </w:numPr>
      </w:pPr>
      <w:r>
        <w:t xml:space="preserve">Volume 4 — Notes of Argument</w:t>
      </w:r>
    </w:p>
    <w:p>
      <w:pPr>
        <w:pStyle w:val="ListParagraph"/>
        <w:numPr>
          <w:ilvl w:val="0"/>
          <w:numId w:val="1"/>
        </w:numPr>
      </w:pPr>
      <w:r>
        <w:t xml:space="preserve">Volume 5 — Motion Bundle</w:t>
      </w:r>
    </w:p>
    <w:p>
      <w:pPr>
        <w:pStyle w:val="ListParagraph"/>
        <w:numPr>
          <w:ilvl w:val="0"/>
          <w:numId w:val="1"/>
        </w:numPr>
      </w:pPr>
      <w:r>
        <w:t xml:space="preserve">Volume 6 — Productions</w:t>
      </w:r>
    </w:p>
    <w:p>
      <w:pPr>
        <w:pStyle w:val="ListParagraph"/>
        <w:numPr>
          <w:ilvl w:val="0"/>
          <w:numId w:val="1"/>
        </w:numPr>
      </w:pPr>
      <w:r>
        <w:t xml:space="preserve">Volume 7 — Supporting Statements</w:t>
      </w:r>
    </w:p>
    <w:p>
      <w:pPr>
        <w:pStyle w:val="Heading2"/>
        <w:spacing w:after="100" w:before="200"/>
      </w:pPr>
      <w:r>
        <w:t xml:space="preserve">Chronology of Proceedings (extract)</w:t>
      </w:r>
    </w:p>
    <w:p>
      <w:pPr>
        <w:spacing w:after="160"/>
      </w:pPr>
      <w:r>
        <w:t xml:space="preserve">2 December 2024 — Child Protection Order granted. 14 February 2025 — Section 67 grounds established. 21 July 2026 — Children's Hearing giving rise to this appeal. 29 July 2026 — Sheriff Appeal Court procedural timetable issued.</w:t>
      </w:r>
    </w:p>
    <w:p>
      <w:pPr>
        <w:pBdr>
          <w:left w:val="single" w:color="999999" w:sz="12" w:space="8"/>
        </w:pBdr>
        <w:spacing w:after="300" w:before="100"/>
      </w:pPr>
      <w:r>
        <w:rPr>
          <w:b/>
          <w:bCs/>
          <w:i/>
          <w:iCs/>
          <w:color w:val="555555"/>
        </w:rPr>
        <w:t xml:space="preserve">Guidance note: </w:t>
      </w:r>
      <w:r>
        <w:rPr>
          <w:i/>
          <w:iCs/>
          <w:color w:val="555555"/>
        </w:rPr>
        <w:t xml:space="preserve">Keep the chronology to procedural facts — dates, orders, hearings — not characterisation of the other party's conduct.</w:t>
      </w:r>
    </w:p>
    <w:p>
      <w:r>
        <w:br w:type="page"/>
      </w:r>
    </w:p>
    <w:p>
      <w:pPr>
        <w:pStyle w:val="Heading1"/>
        <w:spacing w:after="200" w:before="200"/>
      </w:pPr>
      <w:r>
        <w:t xml:space="preserve">Template 5 — Section 11 Application (Residence/Contact), Scotland</w:t>
      </w:r>
    </w:p>
    <w:p>
      <w:pPr>
        <w:pBdr>
          <w:left w:val="single" w:color="999999" w:sz="12" w:space="8"/>
        </w:pBdr>
        <w:spacing w:after="300" w:before="100"/>
      </w:pPr>
      <w:r>
        <w:rPr>
          <w:b/>
          <w:bCs/>
          <w:i/>
          <w:iCs/>
          <w:color w:val="555555"/>
        </w:rPr>
        <w:t xml:space="preserve">Guidance note: </w:t>
      </w:r>
      <w:r>
        <w:rPr>
          <w:i/>
          <w:iCs/>
          <w:color w:val="555555"/>
        </w:rPr>
        <w:t xml:space="preserve">Craves are framed around the child's welfare, not the conduct of the other parent. Personal history belongs in a separate supporting statement, phrased factually.</w:t>
      </w:r>
    </w:p>
    <w:p>
      <w:pPr>
        <w:spacing w:after="200"/>
        <w:jc w:val="center"/>
      </w:pPr>
      <w:r>
        <w:rPr>
          <w:b/>
          <w:bCs/>
          <w:i/>
          <w:iCs/>
          <w:color w:val="B00000"/>
          <w:sz w:val="18"/>
          <w:szCs w:val="18"/>
        </w:rPr>
        <w:t xml:space="preserve">— FICTIONAL WORKED EXAMPLE — every name, address, date and reference below is invented for illustration only —</w:t>
      </w:r>
    </w:p>
    <w:p>
      <w:pPr>
        <w:spacing w:after="100"/>
        <w:jc w:val="center"/>
      </w:pPr>
      <w:r>
        <w:rPr>
          <w:b/>
          <w:bCs/>
        </w:rPr>
        <w:t xml:space="preserve">SECTION 11 APPLICATION</w:t>
      </w:r>
    </w:p>
    <w:p>
      <w:pPr>
        <w:spacing w:after="160"/>
      </w:pPr>
      <w:r>
        <w:t xml:space="preserve">in the cause</w:t>
      </w:r>
    </w:p>
    <w:p>
      <w:pPr>
        <w:spacing w:after="100"/>
        <w:jc w:val="center"/>
      </w:pPr>
      <w:r>
        <w:rPr>
          <w:b/>
          <w:bCs/>
        </w:rPr>
        <w:t xml:space="preserve">Callum James Reid</w:t>
      </w:r>
    </w:p>
    <w:p>
      <w:pPr>
        <w:spacing w:after="100"/>
        <w:jc w:val="center"/>
      </w:pPr>
      <w:r>
        <w:t xml:space="preserve">14 Kirkwood Terrace, Falkirk, FK1 2AB</w:t>
      </w:r>
    </w:p>
    <w:p>
      <w:pPr>
        <w:spacing w:after="100"/>
        <w:jc w:val="center"/>
      </w:pPr>
      <w:r>
        <w:t xml:space="preserve">Pursuer</w:t>
      </w:r>
    </w:p>
    <w:p>
      <w:pPr>
        <w:spacing w:after="100"/>
        <w:jc w:val="center"/>
      </w:pPr>
      <w:r>
        <w:t xml:space="preserve">against</w:t>
      </w:r>
    </w:p>
    <w:p>
      <w:pPr>
        <w:spacing w:after="100"/>
        <w:jc w:val="center"/>
      </w:pPr>
      <w:r>
        <w:rPr>
          <w:b/>
          <w:bCs/>
        </w:rPr>
        <w:t xml:space="preserve">Bridgeford Council</w:t>
      </w:r>
    </w:p>
    <w:p>
      <w:pPr>
        <w:spacing w:after="100"/>
        <w:jc w:val="center"/>
      </w:pPr>
      <w:r>
        <w:t xml:space="preserve">Defender</w:t>
      </w:r>
    </w:p>
    <w:p>
      <w:pPr>
        <w:pStyle w:val="Heading2"/>
        <w:spacing w:after="100" w:before="200"/>
      </w:pPr>
      <w:r>
        <w:t xml:space="preserve">Crave</w:t>
      </w:r>
    </w:p>
    <w:p>
      <w:pPr>
        <w:spacing w:after="160"/>
      </w:pPr>
      <w:r>
        <w:rPr>
          <w:b/>
          <w:bCs/>
        </w:rPr>
        <w:t xml:space="preserve">1. </w:t>
      </w:r>
      <w:r>
        <w:t xml:space="preserve">To grant an order under section 11(2)(d) of the Children (Scotland) Act 1995 regulating contact between the Pursuer and the child, Freya Anne Reid (born 3 June 2023), providing for supervised contact for two hours fortnightly, reviewed after three months.</w:t>
      </w:r>
    </w:p>
    <w:p>
      <w:pPr>
        <w:spacing w:after="160"/>
      </w:pPr>
      <w:r>
        <w:rPr>
          <w:b/>
          <w:bCs/>
        </w:rPr>
        <w:t xml:space="preserve">2. </w:t>
      </w:r>
      <w:r>
        <w:t xml:space="preserve">To ordain the Defender to facilitate such contact and to provide the Pursuer with 14 days' written notice of any proposed change to the child's placement.</w:t>
      </w:r>
    </w:p>
    <w:p>
      <w:pPr>
        <w:spacing w:after="160"/>
      </w:pPr>
      <w:r>
        <w:rPr>
          <w:b/>
          <w:bCs/>
        </w:rPr>
        <w:t xml:space="preserve">3. </w:t>
      </w:r>
      <w:r>
        <w:t xml:space="preserve">To find no expenses due to or by either party.</w:t>
      </w:r>
    </w:p>
    <w:p>
      <w:pPr>
        <w:pStyle w:val="Heading2"/>
        <w:spacing w:after="100" w:before="200"/>
      </w:pPr>
      <w:r>
        <w:t xml:space="preserve">Statement of Facts</w:t>
      </w:r>
    </w:p>
    <w:p>
      <w:pPr>
        <w:spacing w:after="160"/>
      </w:pPr>
      <w:r>
        <w:rPr>
          <w:b/>
          <w:bCs/>
        </w:rPr>
        <w:t xml:space="preserve">1. </w:t>
      </w:r>
      <w:r>
        <w:t xml:space="preserve">The child was born on 3 June 2023. The Pursuer is the child's father and has parental responsibilities and rights.</w:t>
      </w:r>
    </w:p>
    <w:p>
      <w:pPr>
        <w:spacing w:after="160"/>
      </w:pPr>
      <w:r>
        <w:rPr>
          <w:b/>
          <w:bCs/>
        </w:rPr>
        <w:t xml:space="preserve">2. </w:t>
      </w:r>
      <w:r>
        <w:t xml:space="preserve">Between the child's birth and 2 December 2024, the Pursuer had daily care of the child alongside the child's mother.</w:t>
      </w:r>
    </w:p>
    <w:p>
      <w:pPr>
        <w:spacing w:after="160"/>
      </w:pPr>
      <w:r>
        <w:rPr>
          <w:b/>
          <w:bCs/>
        </w:rPr>
        <w:t xml:space="preserve">3. </w:t>
      </w:r>
      <w:r>
        <w:t xml:space="preserve">The Pursuer has attended every offered contact session since January 2025 and has completed a parenting assessment recommended by the Defender in March 2026.</w:t>
      </w:r>
    </w:p>
    <w:p>
      <w:pPr>
        <w:spacing w:after="160"/>
      </w:pPr>
      <w:r>
        <w:rPr>
          <w:b/>
          <w:bCs/>
        </w:rPr>
        <w:t xml:space="preserve">4. </w:t>
      </w:r>
      <w:r>
        <w:t xml:space="preserve">The Pursuer submits that regular, supervised contact serves the child's welfare by maintaining her relationship with her father while any wider concerns are assessed.</w:t>
      </w:r>
    </w:p>
    <w:p>
      <w:r>
        <w:br w:type="page"/>
      </w:r>
    </w:p>
    <w:p>
      <w:pPr>
        <w:pStyle w:val="Heading1"/>
        <w:spacing w:after="200" w:before="200"/>
      </w:pPr>
      <w:r>
        <w:t xml:space="preserve">Template 6 — Child's Views / Form 49.8A, Scotland</w:t>
      </w:r>
    </w:p>
    <w:p>
      <w:pPr>
        <w:pBdr>
          <w:left w:val="single" w:color="999999" w:sz="12" w:space="8"/>
        </w:pBdr>
        <w:spacing w:after="300" w:before="100"/>
      </w:pPr>
      <w:r>
        <w:rPr>
          <w:b/>
          <w:bCs/>
          <w:i/>
          <w:iCs/>
          <w:color w:val="555555"/>
        </w:rPr>
        <w:t xml:space="preserve">Guidance note: </w:t>
      </w:r>
      <w:r>
        <w:rPr>
          <w:i/>
          <w:iCs/>
          <w:color w:val="555555"/>
        </w:rPr>
        <w:t xml:space="preserve">This procedure is for a child capable of forming and expressing their own views (Article 12 UNCRC). For a baby or pre-verbal child, put welfare evidence in your own supporting statement instead, not as a statement written in the child's voice — it carries more weight that way.</w:t>
      </w:r>
    </w:p>
    <w:p>
      <w:pPr>
        <w:spacing w:after="200"/>
        <w:jc w:val="center"/>
      </w:pPr>
      <w:r>
        <w:rPr>
          <w:b/>
          <w:bCs/>
          <w:i/>
          <w:iCs/>
          <w:color w:val="B00000"/>
          <w:sz w:val="18"/>
          <w:szCs w:val="18"/>
        </w:rPr>
        <w:t xml:space="preserve">— FICTIONAL WORKED EXAMPLE — every name, address, date and reference below is invented for illustration only —</w:t>
      </w:r>
    </w:p>
    <w:p>
      <w:pPr>
        <w:pStyle w:val="Heading2"/>
        <w:spacing w:after="100" w:before="200"/>
      </w:pPr>
      <w:r>
        <w:t xml:space="preserve">Where the child is old enough to express views</w:t>
      </w:r>
    </w:p>
    <w:p>
      <w:pPr>
        <w:spacing w:after="160"/>
      </w:pPr>
      <w:r>
        <w:t xml:space="preserve">Example: in linked proceedings concerning an older sibling, Amy Reid (born 2019, age 7 at the relevant hearing), the Form 49.8A request read: "The Appellant asks that the Safeguarder ascertain Amy's views on contact arrangements with her father, and that those views be recorded and presented to the Hearing, having regard to her age and stage of understanding."</w:t>
      </w:r>
    </w:p>
    <w:p>
      <w:pPr>
        <w:pStyle w:val="Heading2"/>
        <w:spacing w:after="100" w:before="200"/>
      </w:pPr>
      <w:r>
        <w:t xml:space="preserve">Where the child is too young to express views (Freya's position)</w:t>
      </w:r>
    </w:p>
    <w:p>
      <w:pPr>
        <w:spacing w:after="160"/>
      </w:pPr>
      <w:r>
        <w:t xml:space="preserve">"I am Freya's father. She was born on 3 June 2023. From birth until 2 December 2024 I shared her day-to-day care with her mother, including night feeds, medical appointments and nursery drop-offs. I say this pattern of care is relevant to the Court's assessment of Freya's attachments and welfare, notwithstanding that she is too young to express her own views under Article 12 UNCRC."</w:t>
      </w:r>
    </w:p>
    <w:p>
      <w:r>
        <w:br w:type="page"/>
      </w:r>
    </w:p>
    <w:p>
      <w:pPr>
        <w:pStyle w:val="Heading1"/>
        <w:spacing w:after="200" w:before="200"/>
      </w:pPr>
      <w:r>
        <w:t xml:space="preserve">Template 7 — Application to the European Court of Human Rights</w:t>
      </w:r>
    </w:p>
    <w:p>
      <w:pPr>
        <w:pBdr>
          <w:left w:val="single" w:color="999999" w:sz="12" w:space="8"/>
        </w:pBdr>
        <w:spacing w:after="300" w:before="100"/>
      </w:pPr>
      <w:r>
        <w:rPr>
          <w:b/>
          <w:bCs/>
          <w:i/>
          <w:iCs/>
          <w:color w:val="555555"/>
        </w:rPr>
        <w:t xml:space="preserve">Guidance note: </w:t>
      </w:r>
      <w:r>
        <w:rPr>
          <w:i/>
          <w:iCs/>
          <w:color w:val="555555"/>
        </w:rPr>
        <w:t xml:space="preserve">Only use this once every effective domestic remedy is exhausted (in a Scottish children's case, typically after the Sheriff Appeal Court and, where permission is given, the Court of Session/UK Supreme Court). Time limit: four months from the date of the FINAL domestic decision (Article 35 §1 ECHR, reduced from six months by Protocol 15, in force since 1 February 2022) — this is strict and not extendable. You must use the Court's own official application form (echr.coe.int) — nothing else stops the clock, per Rule 47 of the Rules of Court. Rule 34 governs which language you may use (normally an official language of a Convention State — English is accepted).</w:t>
      </w:r>
    </w:p>
    <w:p>
      <w:pPr>
        <w:spacing w:after="200"/>
        <w:jc w:val="center"/>
      </w:pPr>
      <w:r>
        <w:rPr>
          <w:b/>
          <w:bCs/>
          <w:i/>
          <w:iCs/>
          <w:color w:val="B00000"/>
          <w:sz w:val="18"/>
          <w:szCs w:val="18"/>
        </w:rPr>
        <w:t xml:space="preserve">— FICTIONAL WORKED EXAMPLE — every name, address, date and reference below is invented for illustration only —</w:t>
      </w:r>
    </w:p>
    <w:p>
      <w:pPr>
        <w:spacing w:after="100"/>
        <w:jc w:val="center"/>
      </w:pPr>
      <w:r>
        <w:rPr>
          <w:b/>
          <w:bCs/>
        </w:rPr>
        <w:t xml:space="preserve">EUROPEAN COURT OF HUMAN RIGHTS — APPLICATION (Rule 47)</w:t>
      </w:r>
    </w:p>
    <w:p>
      <w:pPr>
        <w:pStyle w:val="Heading2"/>
        <w:spacing w:after="100" w:before="200"/>
      </w:pPr>
      <w:r>
        <w:t xml:space="preserve">A. The Applicant</w:t>
      </w:r>
    </w:p>
    <w:p>
      <w:pPr>
        <w:spacing w:after="160"/>
      </w:pPr>
      <w:r>
        <w:t xml:space="preserve">Callum James Reid, born [date], of 14 Kirkwood Terrace, Falkirk, FK1 2AB, United Kingdom. Applying on his own behalf and, where relevant, as a person with parental responsibilities for Freya Anne Reid.</w:t>
      </w:r>
    </w:p>
    <w:p>
      <w:pPr>
        <w:pStyle w:val="Heading2"/>
        <w:spacing w:after="100" w:before="200"/>
      </w:pPr>
      <w:r>
        <w:t xml:space="preserve">B. The High Contracting Party</w:t>
      </w:r>
    </w:p>
    <w:p>
      <w:pPr>
        <w:spacing w:after="160"/>
      </w:pPr>
      <w:r>
        <w:t xml:space="preserve">United Kingdom of Great Britain and Northern Ireland.</w:t>
      </w:r>
    </w:p>
    <w:p>
      <w:pPr>
        <w:pStyle w:val="Heading2"/>
        <w:spacing w:after="100" w:before="200"/>
      </w:pPr>
      <w:r>
        <w:t xml:space="preserve">C. Statement of the Facts</w:t>
      </w:r>
    </w:p>
    <w:p>
      <w:pPr>
        <w:spacing w:after="160"/>
      </w:pPr>
      <w:r>
        <w:t xml:space="preserve">Concise, numbered, chronological statement — e.g.: "1. On 2 December 2024, a Child Protection Order was granted removing the Applicant's daughter from his care. 2. On 14 February 2025, grounds were established at a hearing of which the Applicant received two days' notice and no advance sight of the social work report relied upon. 3. On [date], the Sheriff Appeal Court refused the Applicant's appeal. This was the final domestic decision."</w:t>
      </w:r>
    </w:p>
    <w:p>
      <w:pPr>
        <w:pStyle w:val="Heading2"/>
        <w:spacing w:after="100" w:before="200"/>
      </w:pPr>
      <w:r>
        <w:t xml:space="preserve">D. Statement of Alleged Violation(s) and Supporting Arguments</w:t>
      </w:r>
    </w:p>
    <w:p>
      <w:pPr>
        <w:spacing w:after="160"/>
      </w:pPr>
      <w:r>
        <w:t xml:space="preserve">E.g.: "The Applicant alleges a violation of Article 8 ECHR (right to respect for family life) on the basis that he was not afforded effective participation in the decision-making process, contrary to the principle in McMichael v United Kingdom (1995) 20 EHRR 205. He further alleges a violation of Article 6 §1 in respect of the fairness of the appeal procedure."</w:t>
      </w:r>
    </w:p>
    <w:p>
      <w:pPr>
        <w:pStyle w:val="Heading2"/>
        <w:spacing w:after="100" w:before="200"/>
      </w:pPr>
      <w:r>
        <w:t xml:space="preserve">E. Compliance with Admissibility Criteria</w:t>
      </w:r>
    </w:p>
    <w:p>
      <w:pPr>
        <w:spacing w:after="160"/>
      </w:pPr>
      <w:r>
        <w:t xml:space="preserve">State the date of the final domestic decision and confirm the application is being lodged within four months of it, and list each domestic remedy exhausted (e.g. "appeal to the Sheriff Appeal Court, refused [date]; permission to appeal further refused [date]").</w:t>
      </w:r>
    </w:p>
    <w:p>
      <w:pPr>
        <w:pStyle w:val="Heading2"/>
        <w:spacing w:after="100" w:before="200"/>
      </w:pPr>
      <w:r>
        <w:t xml:space="preserve">F. The Object of the Application</w:t>
      </w:r>
    </w:p>
    <w:p>
      <w:pPr>
        <w:spacing w:after="160"/>
      </w:pPr>
      <w:r>
        <w:t xml:space="preserve">State what you are asking the Court to find and, if relevant, what just satisfaction (compensation) is sought.</w:t>
      </w:r>
    </w:p>
    <w:p>
      <w:pPr>
        <w:pStyle w:val="Heading2"/>
        <w:spacing w:after="100" w:before="200"/>
      </w:pPr>
      <w:r>
        <w:t xml:space="preserve">G. Documents</w:t>
      </w:r>
    </w:p>
    <w:p>
      <w:pPr>
        <w:spacing w:after="160"/>
      </w:pPr>
      <w:r>
        <w:t xml:space="preserve">Attach copies (not originals) of every domestic decision referred to, in date order, each clearly labelled.</w:t>
      </w:r>
    </w:p>
    <w:p>
      <w:r>
        <w:br w:type="page"/>
      </w:r>
    </w:p>
    <w:p>
      <w:pPr>
        <w:pStyle w:val="Heading1"/>
        <w:spacing w:after="200" w:before="200"/>
      </w:pPr>
      <w:r>
        <w:t xml:space="preserve">Template 8 — Form C100, England &amp; Wales</w:t>
      </w:r>
    </w:p>
    <w:p>
      <w:pPr>
        <w:pBdr>
          <w:left w:val="single" w:color="999999" w:sz="12" w:space="8"/>
        </w:pBdr>
        <w:spacing w:after="300" w:before="100"/>
      </w:pPr>
      <w:r>
        <w:rPr>
          <w:b/>
          <w:bCs/>
          <w:i/>
          <w:iCs/>
          <w:color w:val="555555"/>
        </w:rPr>
        <w:t xml:space="preserve">Guidance note: </w:t>
      </w:r>
      <w:r>
        <w:rPr>
          <w:i/>
          <w:iCs/>
          <w:color w:val="555555"/>
        </w:rPr>
        <w:t xml:space="preserve">C100 is the application form for a Child Arrangements, Prohibited Steps, or Specific Issue Order under the Children Act 1989 in the Family Court (England &amp; Wales — this is the equivalent of a section 11 application in Scotland, not the same form). Before applying you must normally attend a MIAM (Mediation Information and Assessment Meeting), unless an exemption applies — e.g. domestic abuse, risk of harm to the child, or urgency. The form has a section to confirm this.</w:t>
      </w:r>
    </w:p>
    <w:p>
      <w:pPr>
        <w:spacing w:after="200"/>
        <w:jc w:val="center"/>
      </w:pPr>
      <w:r>
        <w:rPr>
          <w:b/>
          <w:bCs/>
          <w:i/>
          <w:iCs/>
          <w:color w:val="B00000"/>
          <w:sz w:val="18"/>
          <w:szCs w:val="18"/>
        </w:rPr>
        <w:t xml:space="preserve">— FICTIONAL WORKED EXAMPLE — every name, address, date and reference below is invented for illustration only —</w:t>
      </w:r>
    </w:p>
    <w:p>
      <w:pPr>
        <w:spacing w:after="100"/>
        <w:jc w:val="center"/>
      </w:pPr>
      <w:r>
        <w:rPr>
          <w:b/>
          <w:bCs/>
        </w:rPr>
        <w:t xml:space="preserve">FORM C100 — APPLICATION UNDER THE CHILDREN ACT 1989</w:t>
      </w:r>
    </w:p>
    <w:p>
      <w:pPr>
        <w:pStyle w:val="Heading2"/>
        <w:spacing w:after="100" w:before="200"/>
      </w:pPr>
      <w:r>
        <w:t xml:space="preserve">About the applicant</w:t>
      </w:r>
    </w:p>
    <w:p>
      <w:pPr>
        <w:spacing w:after="160"/>
      </w:pPr>
      <w:r>
        <w:t xml:space="preserve">Callum James Reid, 14 Kirkwood Terrace, Manchester, M1 4WX. Relationship to child: father.</w:t>
      </w:r>
    </w:p>
    <w:p>
      <w:pPr>
        <w:pStyle w:val="Heading2"/>
        <w:spacing w:after="100" w:before="200"/>
      </w:pPr>
      <w:r>
        <w:t xml:space="preserve">About the child(ren)</w:t>
      </w:r>
    </w:p>
    <w:p>
      <w:pPr>
        <w:spacing w:after="160"/>
      </w:pPr>
      <w:r>
        <w:t xml:space="preserve">Freya Anne Reid, date of birth 3 June 2023. Lives with: mother (respondent). Applicant seeks: a Child Arrangements Order for contact.</w:t>
      </w:r>
    </w:p>
    <w:p>
      <w:pPr>
        <w:pStyle w:val="Heading2"/>
        <w:spacing w:after="100" w:before="200"/>
      </w:pPr>
      <w:r>
        <w:t xml:space="preserve">Orders sought</w:t>
      </w:r>
    </w:p>
    <w:p>
      <w:pPr>
        <w:spacing w:after="160"/>
      </w:pPr>
      <w:r>
        <w:t xml:space="preserve">A Child Arrangements Order providing for the child to spend time with the applicant on alternate weekends and one weekday evening per week, with arrangements reviewed after six months.</w:t>
      </w:r>
    </w:p>
    <w:p>
      <w:pPr>
        <w:pStyle w:val="Heading2"/>
        <w:spacing w:after="100" w:before="200"/>
      </w:pPr>
      <w:r>
        <w:t xml:space="preserve">MIAM confirmation</w:t>
      </w:r>
    </w:p>
    <w:p>
      <w:pPr>
        <w:spacing w:after="160"/>
      </w:pPr>
      <w:r>
        <w:t xml:space="preserve">Confirm attendance at a MIAM, attach the mediator's signed FM1 form, or state which exemption applies (e.g. "Exemption claimed: allegation of domestic abuse — evidence to follow at Section C1A").</w:t>
      </w:r>
    </w:p>
    <w:p>
      <w:pPr>
        <w:pStyle w:val="Heading2"/>
        <w:spacing w:after="100" w:before="200"/>
      </w:pPr>
      <w:r>
        <w:t xml:space="preserve">Safeguarding</w:t>
      </w:r>
    </w:p>
    <w:p>
      <w:pPr>
        <w:spacing w:after="160"/>
      </w:pPr>
      <w:r>
        <w:t xml:space="preserve">State briefly whether there are any concerns about harm to the child from any party, and whether Cafcass or the local authority has been involved. Full detail of any harm/domestic abuse allegations goes in the separate Form C1A, not in C100 itself.</w:t>
      </w:r>
    </w:p>
    <w:p>
      <w:r>
        <w:br w:type="page"/>
      </w:r>
    </w:p>
    <w:p>
      <w:pPr>
        <w:pStyle w:val="Heading1"/>
        <w:spacing w:after="200" w:before="200"/>
      </w:pPr>
      <w:r>
        <w:t xml:space="preserve">Template 9 — Form C1A (Supplemental Information — Allegations of Harm), England &amp; Wales</w:t>
      </w:r>
    </w:p>
    <w:p>
      <w:pPr>
        <w:pBdr>
          <w:left w:val="single" w:color="999999" w:sz="12" w:space="8"/>
        </w:pBdr>
        <w:spacing w:after="300" w:before="100"/>
      </w:pPr>
      <w:r>
        <w:rPr>
          <w:b/>
          <w:bCs/>
          <w:i/>
          <w:iCs/>
          <w:color w:val="555555"/>
        </w:rPr>
        <w:t xml:space="preserve">Guidance note: </w:t>
      </w:r>
      <w:r>
        <w:rPr>
          <w:i/>
          <w:iCs/>
          <w:color w:val="555555"/>
        </w:rPr>
        <w:t xml:space="preserve">Filed alongside C100 whenever there's a safeguarding concern or allegation of harm/domestic abuse — by either party, not only the applicant. Cafcass and the court use this to decide whether a fact-finding hearing or interim safeguards (e.g. no direct contact pending assessment) are needed. Be factual and specific — dates, incidents, any police or social work involvement — rather than general characterisations.</w:t>
      </w:r>
    </w:p>
    <w:p>
      <w:pPr>
        <w:spacing w:after="200"/>
        <w:jc w:val="center"/>
      </w:pPr>
      <w:r>
        <w:rPr>
          <w:b/>
          <w:bCs/>
          <w:i/>
          <w:iCs/>
          <w:color w:val="B00000"/>
          <w:sz w:val="18"/>
          <w:szCs w:val="18"/>
        </w:rPr>
        <w:t xml:space="preserve">— FICTIONAL WORKED EXAMPLE — every name, address, date and reference below is invented for illustration only —</w:t>
      </w:r>
    </w:p>
    <w:p>
      <w:pPr>
        <w:spacing w:after="100"/>
        <w:jc w:val="center"/>
      </w:pPr>
      <w:r>
        <w:rPr>
          <w:b/>
          <w:bCs/>
        </w:rPr>
        <w:t xml:space="preserve">FORM C1A — SUPPLEMENTAL INFORMATION FORM</w:t>
      </w:r>
    </w:p>
    <w:p>
      <w:pPr>
        <w:pStyle w:val="Heading2"/>
        <w:spacing w:after="100" w:before="200"/>
      </w:pPr>
      <w:r>
        <w:t xml:space="preserve">Types of harm alleged</w:t>
      </w:r>
    </w:p>
    <w:p>
      <w:pPr>
        <w:spacing w:after="160"/>
      </w:pPr>
      <w:r>
        <w:t xml:space="preserve">Tick the relevant categories (e.g. domestic abuse, emotional harm, drug or alcohol misuse) and, for each, give specific incidents with approximate dates.</w:t>
      </w:r>
    </w:p>
    <w:p>
      <w:pPr>
        <w:pStyle w:val="Heading2"/>
        <w:spacing w:after="100" w:before="200"/>
      </w:pPr>
      <w:r>
        <w:t xml:space="preserve">Example entry</w:t>
      </w:r>
    </w:p>
    <w:p>
      <w:pPr>
        <w:spacing w:after="160"/>
      </w:pPr>
      <w:r>
        <w:t xml:space="preserve">"On [date], an incident occurred at the family home involving [specific, factual description]. Police were called and a report made (reference: [if known]). No further action was taken. This is relevant to the arrangements sought because [explain the link to the child's safety, not just the incident itself]."</w:t>
      </w:r>
    </w:p>
    <w:p>
      <w:pPr>
        <w:pStyle w:val="Heading2"/>
        <w:spacing w:after="100" w:before="200"/>
      </w:pPr>
      <w:r>
        <w:t xml:space="preserve">Steps already taken</w:t>
      </w:r>
    </w:p>
    <w:p>
      <w:pPr>
        <w:spacing w:after="160"/>
      </w:pPr>
      <w:r>
        <w:t xml:space="preserve">List any protective steps already in place — e.g. a non-molestation order, supervised contact, or a safety plan agreed with children's services — and their current status.</w:t>
      </w:r>
    </w:p>
    <w:p>
      <w:r>
        <w:br w:type="page"/>
      </w:r>
    </w:p>
    <w:p>
      <w:pPr>
        <w:pStyle w:val="Heading1"/>
        <w:spacing w:after="200" w:before="200"/>
      </w:pPr>
      <w:r>
        <w:t xml:space="preserve">Template 10 — Other forms worth knowing about</w:t>
      </w:r>
    </w:p>
    <w:p>
      <w:pPr>
        <w:pStyle w:val="Heading2"/>
        <w:spacing w:after="100" w:before="200"/>
      </w:pPr>
      <w:r>
        <w:t xml:space="preserve">Form C2, England &amp; Wales</w:t>
      </w:r>
    </w:p>
    <w:p>
      <w:pPr>
        <w:spacing w:after="160"/>
      </w:pPr>
      <w:r>
        <w:t xml:space="preserve">Used to apply for permission to make an application within existing proceedings, or for a specific order during proceedings that are already running (e.g. permission to instruct an expert, or an interim order pending the final hearing) — the in-proceedings equivalent of a Scottish Form 15.1 motion.</w:t>
      </w:r>
    </w:p>
    <w:p>
      <w:pPr>
        <w:pStyle w:val="Heading2"/>
        <w:spacing w:after="100" w:before="200"/>
      </w:pPr>
      <w:r>
        <w:t xml:space="preserve">Form N161, England &amp; Wales</w:t>
      </w:r>
    </w:p>
    <w:p>
      <w:pPr>
        <w:spacing w:after="160"/>
      </w:pPr>
      <w:r>
        <w:t xml:space="preserve">The Appellant's Notice used to appeal a Family Court decision to a higher court — broadly the England &amp; Wales equivalent of the Scottish Note of Appeal (Form 6.2).</w:t>
      </w:r>
    </w:p>
    <w:p>
      <w:pPr>
        <w:pStyle w:val="Heading2"/>
        <w:spacing w:after="100" w:before="200"/>
      </w:pPr>
      <w:r>
        <w:t xml:space="preserve">Form FM1, England &amp; Wales</w:t>
      </w:r>
    </w:p>
    <w:p>
      <w:pPr>
        <w:spacing w:after="160"/>
      </w:pPr>
      <w:r>
        <w:t xml:space="preserve">Signed by an authorised mediator to confirm attendance at, or exemption from, a MIAM — attach this to your C100 where relevant.</w:t>
      </w:r>
    </w:p>
    <w:p>
      <w:pPr>
        <w:pBdr>
          <w:left w:val="single" w:color="999999" w:sz="12" w:space="8"/>
        </w:pBdr>
        <w:spacing w:after="300" w:before="100"/>
      </w:pPr>
      <w:r>
        <w:rPr>
          <w:b/>
          <w:bCs/>
          <w:i/>
          <w:iCs/>
          <w:color w:val="555555"/>
        </w:rPr>
        <w:t xml:space="preserve">Guidance note: </w:t>
      </w:r>
      <w:r>
        <w:rPr>
          <w:i/>
          <w:iCs/>
          <w:color w:val="555555"/>
        </w:rPr>
        <w:t xml:space="preserve">This pack currently covers the two main jurisdictions (Scotland and England &amp; Wales) and the European Court of Human Rights. Northern Ireland has its own, separate family court forms — worth adding as a further template set if the app needs to cover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2026-08-16T12:57:54.690Z</dcterms:created>
  <dcterms:modified xsi:type="dcterms:W3CDTF">2026-08-16T12:57:54.705Z</dcterms:modified>
</cp:coreProperties>
</file>

<file path=docProps/custom.xml><?xml version="1.0" encoding="utf-8"?>
<Properties xmlns="http://schemas.openxmlformats.org/officeDocument/2006/custom-properties" xmlns:vt="http://schemas.openxmlformats.org/officeDocument/2006/docPropsVTypes"/>
</file>