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Know Your Rights: A Plain-English Guide</w:t>
      </w:r>
    </w:p>
    <w:p>
      <w:pPr>
        <w:spacing w:after="300"/>
        <w:jc w:val="center"/>
      </w:pPr>
      <w:r>
        <w:rPr>
          <w:i/>
          <w:iCs/>
        </w:rPr>
        <w:t xml:space="preserve">ECHR · UNCRC · UK civil rights — for people involved in civil and family court proceedings</w:t>
      </w:r>
    </w:p>
    <w:p>
      <w:pPr>
        <w:pBdr>
          <w:left w:val="single" w:color="999999" w:sz="12" w:space="8"/>
        </w:pBdr>
        <w:spacing w:after="200"/>
      </w:pPr>
      <w:r>
        <w:rPr>
          <w:i/>
          <w:iCs/>
          <w:color w:val="555555"/>
        </w:rPr>
        <w:t xml:space="preserve">This is general legal information, not legal advice. Rights don't apply automatically or absolutely — courts weigh them against other rights and interests, and how they apply depends on your specific facts. If you can, get advice from a solicitor, a law centre, or a free legal clinic before relying on any of this in court.</w:t>
      </w:r>
    </w:p>
    <w:p>
      <w:pPr>
        <w:pStyle w:val="Heading1"/>
        <w:spacing w:after="200" w:before="400"/>
      </w:pPr>
      <w:r>
        <w:t xml:space="preserve">Why this matters</w:t>
      </w:r>
    </w:p>
    <w:p>
      <w:pPr>
        <w:spacing w:after="160"/>
      </w:pPr>
      <w:r>
        <w:t xml:space="preserve">Most people in the UK are never taught what rights they actually have when the state — a council, a court, a hearing panel — gets involved in their family life. That's not an accident of your education; it simply isn't on the curriculum. This guide sets out, in plain terms, the main sources of rights that come up in civil and family proceedings, particularly where children are involved.</w:t>
      </w:r>
    </w:p>
    <w:p>
      <w:pPr>
        <w:pStyle w:val="Heading1"/>
        <w:spacing w:after="200" w:before="400"/>
      </w:pPr>
      <w:r>
        <w:t xml:space="preserve">1. The European Convention on Human Rights (ECHR)</w:t>
      </w:r>
    </w:p>
    <w:p>
      <w:pPr>
        <w:spacing w:after="160"/>
      </w:pPr>
      <w:r>
        <w:t xml:space="preserve">The ECHR is an international treaty. In the UK it's given effect through the Human Rights Act 1998 (see Section 3), which means you can rely on these rights directly in a UK court — you don't need to go to Strasbourg first.</w:t>
      </w:r>
    </w:p>
    <w:p>
      <w:pPr>
        <w:pStyle w:val="Heading2"/>
        <w:spacing w:after="150" w:before="300"/>
      </w:pPr>
      <w:r>
        <w:t xml:space="preserve">Article 6 — Right to a fair trial</w:t>
      </w:r>
    </w:p>
    <w:p>
      <w:pPr>
        <w:spacing w:after="160"/>
      </w:pPr>
      <w:r>
        <w:t xml:space="preserve">In the determination of your civil rights (which includes family and children's proceedings), you're entitled to a fair and public hearing, within a reasonable time, by an independent and impartial tribunal.</w:t>
      </w:r>
    </w:p>
    <w:p>
      <w:pPr>
        <w:pStyle w:val="ListParagraph"/>
        <w:numPr>
          <w:ilvl w:val="0"/>
          <w:numId w:val="1"/>
        </w:numPr>
        <w:spacing w:after="100"/>
      </w:pPr>
      <w:r>
        <w:t xml:space="preserve">You must be told the case against you and given a real chance to see and respond to the evidence relied on.</w:t>
      </w:r>
    </w:p>
    <w:p>
      <w:pPr>
        <w:pStyle w:val="ListParagraph"/>
        <w:numPr>
          <w:ilvl w:val="0"/>
          <w:numId w:val="1"/>
        </w:numPr>
        <w:spacing w:after="100"/>
      </w:pPr>
      <w:r>
        <w:t xml:space="preserve">The decision-maker must actually be impartial — a fair-minded, informed observer must not be able to conclude there's a real possibility of bias (the test from Porter v Magill [2001] UKHL 67).</w:t>
      </w:r>
    </w:p>
    <w:p>
      <w:pPr>
        <w:pStyle w:val="ListParagraph"/>
        <w:numPr>
          <w:ilvl w:val="0"/>
          <w:numId w:val="1"/>
        </w:numPr>
        <w:spacing w:after="100"/>
      </w:pPr>
      <w:r>
        <w:t xml:space="preserve">Delay can itself breach Article 6 if a case drags on for no good reason.</w:t>
      </w:r>
    </w:p>
    <w:p>
      <w:pPr>
        <w:pStyle w:val="Heading2"/>
        <w:spacing w:after="150" w:before="300"/>
      </w:pPr>
      <w:r>
        <w:t xml:space="preserve">Article 8 — Right to respect for private and family life</w:t>
      </w:r>
    </w:p>
    <w:p>
      <w:pPr>
        <w:spacing w:after="160"/>
      </w:pPr>
      <w:r>
        <w:t xml:space="preserve">"Everyone has the right to respect for his private and family life, his home and his correspondence." A public authority can only interfere with this where it is (1) in accordance with the law, (2) in pursuit of a legitimate aim (e.g. protecting a child), and (3) necessary and proportionate — not just convenient.</w:t>
      </w:r>
    </w:p>
    <w:p>
      <w:pPr>
        <w:pStyle w:val="ListParagraph"/>
        <w:numPr>
          <w:ilvl w:val="0"/>
          <w:numId w:val="1"/>
        </w:numPr>
        <w:spacing w:after="100"/>
      </w:pPr>
      <w:r>
        <w:t xml:space="preserve">This applies to parents and to children. Removing a child, restricting contact, or excluding a parent from decisions all engage Article 8.</w:t>
      </w:r>
    </w:p>
    <w:p>
      <w:pPr>
        <w:pStyle w:val="ListParagraph"/>
        <w:numPr>
          <w:ilvl w:val="0"/>
          <w:numId w:val="1"/>
        </w:numPr>
        <w:spacing w:after="100"/>
      </w:pPr>
      <w:r>
        <w:t xml:space="preserve">Article 8 has a procedural dimension: even if the outcome might be justified, you're entitled to be genuinely and effectively involved in the decision-making process that leads to it (McMichael v United Kingdom (1995) 20 EHRR 205).</w:t>
      </w:r>
    </w:p>
    <w:p>
      <w:pPr>
        <w:pStyle w:val="ListParagraph"/>
        <w:numPr>
          <w:ilvl w:val="0"/>
          <w:numId w:val="1"/>
        </w:numPr>
        <w:spacing w:after="100"/>
      </w:pPr>
      <w:r>
        <w:t xml:space="preserve">A parent who has established family life with a child is generally entitled to be heard, even if they lack formal parental rights and responsibilities (Principal Reporter v K [2010] UKSC 56).</w:t>
      </w:r>
    </w:p>
    <w:p>
      <w:pPr>
        <w:pStyle w:val="Heading2"/>
        <w:spacing w:after="150" w:before="300"/>
      </w:pPr>
      <w:r>
        <w:t xml:space="preserve">Article 13 — Right to an effective remedy</w:t>
      </w:r>
    </w:p>
    <w:p>
      <w:pPr>
        <w:spacing w:after="160"/>
      </w:pPr>
      <w:r>
        <w:t xml:space="preserve">If your Convention rights are breached, you're entitled to an effective remedy before a national authority — not just a theoretical right with no way to enforce it.</w:t>
      </w:r>
    </w:p>
    <w:p>
      <w:pPr>
        <w:pStyle w:val="Heading2"/>
        <w:spacing w:after="150" w:before="300"/>
      </w:pPr>
      <w:r>
        <w:t xml:space="preserve">Article 3 — Prohibition of inhuman or degrading treatment</w:t>
      </w:r>
    </w:p>
    <w:p>
      <w:pPr>
        <w:spacing w:after="160"/>
      </w:pPr>
      <w:r>
        <w:t xml:space="preserve">An absolute right (it can never be justified or balanced away). Rarely the central issue in family proceedings, but relevant if a child or parent is treated in a way that crosses this threshold.</w:t>
      </w:r>
    </w:p>
    <w:p>
      <w:pPr>
        <w:pStyle w:val="Heading1"/>
        <w:spacing w:after="200" w:before="400"/>
      </w:pPr>
      <w:r>
        <w:t xml:space="preserve">2. UN Convention on the Rights of the Child (UNCRC)</w:t>
      </w:r>
    </w:p>
    <w:p>
      <w:pPr>
        <w:spacing w:after="160"/>
      </w:pPr>
      <w:r>
        <w:t xml:space="preserve">The UNCRC is the most widely ratified human rights treaty in the world. In Scotland, the UNCRC (Incorporation) (Scotland) Act 2024 gives it direct legal effect for matters within devolved competence. Across the UK, courts and children's hearings are expected to treat it as a key reference point even where it isn't directly incorporated.</w:t>
      </w:r>
    </w:p>
    <w:p>
      <w:pPr>
        <w:pStyle w:val="Heading2"/>
        <w:spacing w:after="150" w:before="300"/>
      </w:pPr>
      <w:r>
        <w:t xml:space="preserve">Article 3 — Best interests of the child</w:t>
      </w:r>
    </w:p>
    <w:p>
      <w:pPr>
        <w:spacing w:after="160"/>
      </w:pPr>
      <w:r>
        <w:t xml:space="preserve">In all actions concerning children, the child's best interests must be a primary consideration.</w:t>
      </w:r>
    </w:p>
    <w:p>
      <w:pPr>
        <w:pStyle w:val="Heading2"/>
        <w:spacing w:after="150" w:before="300"/>
      </w:pPr>
      <w:r>
        <w:t xml:space="preserve">Article 9 — Separation from parents</w:t>
      </w:r>
    </w:p>
    <w:p>
      <w:pPr>
        <w:spacing w:after="160"/>
      </w:pPr>
      <w:r>
        <w:t xml:space="preserve">A child should not be separated from their parents against their will, except where a competent authority decides — subject to judicial review — that separation is necessary for the child's best interests. Where separation happens, the child has the right to maintain personal relations and direct contact with both parents, unless that's contrary to their best interests.</w:t>
      </w:r>
    </w:p>
    <w:p>
      <w:pPr>
        <w:pStyle w:val="Heading2"/>
        <w:spacing w:after="150" w:before="300"/>
      </w:pPr>
      <w:r>
        <w:t xml:space="preserve">Article 12 — The child's own views</w:t>
      </w:r>
    </w:p>
    <w:p>
      <w:pPr>
        <w:spacing w:after="160"/>
      </w:pPr>
      <w:r>
        <w:t xml:space="preserve">A child capable of forming their own views has the right to express them freely in all matters affecting them, and to have those views given due weight in line with their age and maturity — including directly, or through a representative, in judicial and administrative proceedings.</w:t>
      </w:r>
    </w:p>
    <w:p>
      <w:pPr>
        <w:pStyle w:val="Heading2"/>
        <w:spacing w:after="150" w:before="300"/>
      </w:pPr>
      <w:r>
        <w:t xml:space="preserve">Article 25 — Periodic review of placement</w:t>
      </w:r>
    </w:p>
    <w:p>
      <w:pPr>
        <w:spacing w:after="160"/>
      </w:pPr>
      <w:r>
        <w:t xml:space="preserve">A child placed by the state for care, protection, or treatment has the right to a periodic review of that placement and of all circumstances relevant to it.</w:t>
      </w:r>
    </w:p>
    <w:p>
      <w:pPr>
        <w:pBdr>
          <w:left w:val="single" w:color="999999" w:sz="12" w:space="8"/>
        </w:pBdr>
        <w:spacing w:after="200"/>
      </w:pPr>
      <w:r>
        <w:rPr>
          <w:i/>
          <w:iCs/>
          <w:color w:val="555555"/>
        </w:rPr>
        <w:t xml:space="preserve">A note on Article 12: it protects the views of a child who is capable of forming and expressing them. For an infant or pre-verbal child, courts generally look to the evidence about the child's welfare and attachments (from parents, health visitors, social workers) rather than a first-person "statement" attributed to the child — see the guidance note in the Child's Views template.</w:t>
      </w:r>
    </w:p>
    <w:p>
      <w:pPr>
        <w:pStyle w:val="Heading1"/>
        <w:spacing w:after="200" w:before="400"/>
      </w:pPr>
      <w:r>
        <w:t xml:space="preserve">3. Your UK civil rights</w:t>
      </w:r>
    </w:p>
    <w:p>
      <w:pPr>
        <w:pStyle w:val="Heading2"/>
        <w:spacing w:after="150" w:before="300"/>
      </w:pPr>
      <w:r>
        <w:t xml:space="preserve">The Human Rights Act 1998</w:t>
      </w:r>
    </w:p>
    <w:p>
      <w:pPr>
        <w:spacing w:after="160"/>
      </w:pPr>
      <w:r>
        <w:t xml:space="preserve">Makes it unlawful for a public authority (a council, a court, a children's hearing, an NHS body) to act incompatibly with your Convention rights. You can raise a Convention right directly in the course of your existing case — you don't usually need a separate claim.</w:t>
      </w:r>
    </w:p>
    <w:p>
      <w:pPr>
        <w:pStyle w:val="Heading2"/>
        <w:spacing w:after="150" w:before="300"/>
      </w:pPr>
      <w:r>
        <w:t xml:space="preserve">Common law fairness (natural justice)</w:t>
      </w:r>
    </w:p>
    <w:p>
      <w:pPr>
        <w:spacing w:after="160"/>
      </w:pPr>
      <w:r>
        <w:t xml:space="preserve">Independently of the Human Rights Act, UK common law has long required that a decision-maker act fairly: hear both sides, give reasons, and not be a judge in their own cause. This backs up Article 6 and often applies even where the Convention doesn't strictly bite.</w:t>
      </w:r>
    </w:p>
    <w:p>
      <w:pPr>
        <w:pStyle w:val="Heading2"/>
        <w:spacing w:after="150" w:before="300"/>
      </w:pPr>
      <w:r>
        <w:t xml:space="preserve">Right to representation and support</w:t>
      </w:r>
    </w:p>
    <w:p>
      <w:pPr>
        <w:pStyle w:val="ListParagraph"/>
        <w:numPr>
          <w:ilvl w:val="0"/>
          <w:numId w:val="1"/>
        </w:numPr>
        <w:spacing w:after="100"/>
      </w:pPr>
      <w:r>
        <w:t xml:space="preserve">You're generally entitled to bring a McKenzie Friend — a lay supporter who can sit with you, take notes, and quietly advise — to most civil and family hearings.</w:t>
      </w:r>
    </w:p>
    <w:p>
      <w:pPr>
        <w:pStyle w:val="ListParagraph"/>
        <w:numPr>
          <w:ilvl w:val="0"/>
          <w:numId w:val="1"/>
        </w:numPr>
        <w:spacing w:after="100"/>
      </w:pPr>
      <w:r>
        <w:t xml:space="preserve">Civil legal aid may be available for certain family and children's cases, especially where domestic abuse or child protection is involved — check with the Scottish Legal Aid Board (Scotland) or the Legal Aid Agency (England &amp; Wales).</w:t>
      </w:r>
    </w:p>
    <w:p>
      <w:pPr>
        <w:pStyle w:val="ListParagraph"/>
        <w:numPr>
          <w:ilvl w:val="0"/>
          <w:numId w:val="1"/>
        </w:numPr>
        <w:spacing w:after="100"/>
      </w:pPr>
      <w:r>
        <w:t xml:space="preserve">Free or low-cost help: Citizens Advice, local law centres, university legal clinics, and (in Scotland) FLAG (Family Law Association) and CALM can point you toward pro bono or fixed-fee help.</w:t>
      </w:r>
    </w:p>
    <w:p>
      <w:pPr>
        <w:pStyle w:val="Heading2"/>
        <w:spacing w:after="150" w:before="300"/>
      </w:pPr>
      <w:r>
        <w:t xml:space="preserve">Data protection and Subject Access Requests</w:t>
      </w:r>
    </w:p>
    <w:p>
      <w:pPr>
        <w:spacing w:after="160"/>
      </w:pPr>
      <w:r>
        <w:t xml:space="preserve">Under UK GDPR and the Data Protection Act 2018, you can ask any organisation holding information about you — a council, a health board, a children's reporter — for a copy of the personal data they hold on you (a Subject Access Request). This is a separate right from court recovery of documents and can sometimes be quicker.</w:t>
      </w:r>
    </w:p>
    <w:p>
      <w:pPr>
        <w:pStyle w:val="Heading2"/>
        <w:spacing w:after="150" w:before="300"/>
      </w:pPr>
      <w:r>
        <w:t xml:space="preserve">Equality Act 2010</w:t>
      </w:r>
    </w:p>
    <w:p>
      <w:pPr>
        <w:spacing w:after="160"/>
      </w:pPr>
      <w:r>
        <w:t xml:space="preserve">Protects you from discrimination, harassment, and unfair treatment in public services on the basis of protected characteristics (e.g. disability, sex, race, religion). Relevant if you believe a decision was influenced by such treatment rather than the facts of the case.</w:t>
      </w:r>
    </w:p>
    <w:p>
      <w:pPr>
        <w:pStyle w:val="Heading1"/>
        <w:spacing w:after="200" w:before="400"/>
      </w:pPr>
      <w:r>
        <w:t xml:space="preserve">4. Using this in your own case</w:t>
      </w:r>
    </w:p>
    <w:p>
      <w:pPr>
        <w:pStyle w:val="ListParagraph"/>
        <w:numPr>
          <w:ilvl w:val="0"/>
          <w:numId w:val="1"/>
        </w:numPr>
        <w:spacing w:after="100"/>
      </w:pPr>
      <w:r>
        <w:t xml:space="preserve">Don't just cite a right in the abstract — tie it to a specific fact, date, or document in your case.</w:t>
      </w:r>
    </w:p>
    <w:p>
      <w:pPr>
        <w:pStyle w:val="ListParagraph"/>
        <w:numPr>
          <w:ilvl w:val="0"/>
          <w:numId w:val="1"/>
        </w:numPr>
        <w:spacing w:after="100"/>
      </w:pPr>
      <w:r>
        <w:t xml:space="preserve">Courts respond to precision, not volume. One well-evidenced Article 8 point beats ten vague ones.</w:t>
      </w:r>
    </w:p>
    <w:p>
      <w:pPr>
        <w:pStyle w:val="ListParagraph"/>
        <w:numPr>
          <w:ilvl w:val="0"/>
          <w:numId w:val="1"/>
        </w:numPr>
        <w:spacing w:after="100"/>
      </w:pPr>
      <w:r>
        <w:t xml:space="preserve">Rights are rarely absolute — expect the other side to argue their interference was lawful, necessary, and proportionate. Be ready to address that, not just assert the right.</w:t>
      </w:r>
    </w:p>
    <w:p>
      <w:pPr>
        <w:pBdr>
          <w:left w:val="single" w:color="999999" w:sz="12" w:space="8"/>
        </w:pBdr>
        <w:spacing w:after="200"/>
      </w:pPr>
      <w:r>
        <w:rPr>
          <w:i/>
          <w:iCs/>
          <w:color w:val="555555"/>
        </w:rPr>
        <w:t xml:space="preserve">This guide gives you the vocabulary and the structure. It is not a substitute for advice on how these rights apply to your specific facts — for that, a solicitor, law centre, or free legal clinic is worth the conversation.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2026-08-16T12:53:51.236Z</dcterms:created>
  <dcterms:modified xsi:type="dcterms:W3CDTF">2026-08-16T12:53:51.236Z</dcterms:modified>
</cp:coreProperties>
</file>

<file path=docProps/custom.xml><?xml version="1.0" encoding="utf-8"?>
<Properties xmlns="http://schemas.openxmlformats.org/officeDocument/2006/custom-properties" xmlns:vt="http://schemas.openxmlformats.org/officeDocument/2006/docPropsVTypes"/>
</file>