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ELITE DAILY TRADING INTELLIGENCE BRIEF</w:t>
      </w:r>
    </w:p>
    <w:p>
      <w:pPr>
        <w:jc w:val="center"/>
      </w:pPr>
      <w:r>
        <w:rPr>
          <w:i/>
          <w:color w:val="555555"/>
          <w:sz w:val="22"/>
        </w:rPr>
        <w:t>Indian F&amp;O Day Trader — Nifty + Stocks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DATE</w:t>
              <w:br/>
              <w:t>2026-04-27 (Mon)</w:t>
            </w:r>
          </w:p>
        </w:tc>
        <w:tc>
          <w:tcPr>
            <w:tcW w:type="dxa" w:w="3400"/>
            <w:shd w:val="clear" w:color="auto" w:fill="C0392B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BIAS</w:t>
              <w:br/>
              <w:t>BEAR</w:t>
            </w:r>
          </w:p>
        </w:tc>
        <w:tc>
          <w:tcPr>
            <w:tcW w:type="dxa" w:w="3400"/>
            <w:shd w:val="clear" w:color="auto" w:fill="E67E22"/>
          </w:tcPr>
          <w:p>
            <w:pPr>
              <w:jc w:val="center"/>
            </w:pPr>
            <w:r>
              <w:rPr>
                <w:b/>
                <w:color w:val="FFFFFF"/>
                <w:sz w:val="24"/>
              </w:rPr>
              <w:t>ENTRY</w:t>
              <w:br/>
              <w:t>CAUTION</w:t>
            </w:r>
          </w:p>
        </w:tc>
      </w:tr>
    </w:tbl>
    <w:p/>
    <w:p>
      <w:pPr>
        <w:pStyle w:val="Heading1"/>
      </w:pPr>
      <w:r>
        <w:rPr>
          <w:color w:val="1F4E79"/>
        </w:rPr>
        <w:t>Section 1 — Macro Snapshot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  <w:sz w:val="21"/>
              </w:rPr>
              <w:t>MCX Crude (May)</w:t>
            </w:r>
          </w:p>
        </w:tc>
        <w:tc>
          <w:tcPr>
            <w:tcW w:type="dxa" w:w="5100"/>
          </w:tcPr>
          <w:p>
            <w:r>
              <w:rPr>
                <w:sz w:val="21"/>
              </w:rPr>
              <w:t>~₹9,191 (Fri close, -0.77%); gap-up risk on Sunday Brent +2%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21"/>
              </w:rPr>
              <w:t>Brent / WTI</w:t>
            </w:r>
          </w:p>
        </w:tc>
        <w:tc>
          <w:tcPr>
            <w:tcW w:type="dxa" w:w="5100"/>
          </w:tcPr>
          <w:p>
            <w:r>
              <w:rPr>
                <w:sz w:val="21"/>
              </w:rPr>
              <w:t>$107.89 / $96.63 (+2% Sunday, 3-week high)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21"/>
              </w:rPr>
              <w:t>US S&amp;P 500</w:t>
            </w:r>
          </w:p>
        </w:tc>
        <w:tc>
          <w:tcPr>
            <w:tcW w:type="dxa" w:w="5100"/>
          </w:tcPr>
          <w:p>
            <w:r>
              <w:rPr>
                <w:sz w:val="21"/>
              </w:rPr>
              <w:t>7,165.08 (+0.80%) — record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21"/>
              </w:rPr>
              <w:t>US Nasdaq</w:t>
            </w:r>
          </w:p>
        </w:tc>
        <w:tc>
          <w:tcPr>
            <w:tcW w:type="dxa" w:w="5100"/>
          </w:tcPr>
          <w:p>
            <w:r>
              <w:rPr>
                <w:sz w:val="21"/>
              </w:rPr>
              <w:t>24,836.60 (+1.63%) — record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21"/>
              </w:rPr>
              <w:t>US Dow</w:t>
            </w:r>
          </w:p>
        </w:tc>
        <w:tc>
          <w:tcPr>
            <w:tcW w:type="dxa" w:w="5100"/>
          </w:tcPr>
          <w:p>
            <w:r>
              <w:rPr>
                <w:sz w:val="21"/>
              </w:rPr>
              <w:t>49,230.71 (-0.16%)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21"/>
              </w:rPr>
              <w:t>US VIX</w:t>
            </w:r>
          </w:p>
        </w:tc>
        <w:tc>
          <w:tcPr>
            <w:tcW w:type="dxa" w:w="5100"/>
          </w:tcPr>
          <w:p>
            <w:r>
              <w:rPr>
                <w:sz w:val="21"/>
              </w:rPr>
              <w:t>18.71 (-3.11%) — normal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21"/>
              </w:rPr>
              <w:t>CNN Fear &amp; Greed</w:t>
            </w:r>
          </w:p>
        </w:tc>
        <w:tc>
          <w:tcPr>
            <w:tcW w:type="dxa" w:w="5100"/>
          </w:tcPr>
          <w:p>
            <w:r>
              <w:rPr>
                <w:sz w:val="21"/>
              </w:rPr>
              <w:t>67 — Greed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21"/>
              </w:rPr>
              <w:t>Nikkei / Hang Seng / Kospi</w:t>
            </w:r>
          </w:p>
        </w:tc>
        <w:tc>
          <w:tcPr>
            <w:tcW w:type="dxa" w:w="5100"/>
          </w:tcPr>
          <w:p>
            <w:r>
              <w:rPr>
                <w:sz w:val="21"/>
              </w:rPr>
              <w:t>+0.53% / +0.24% / +1.0%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21"/>
              </w:rPr>
              <w:t>Gift Nifty</w:t>
            </w:r>
          </w:p>
        </w:tc>
        <w:tc>
          <w:tcPr>
            <w:tcW w:type="dxa" w:w="5100"/>
          </w:tcPr>
          <w:p>
            <w:r>
              <w:rPr>
                <w:sz w:val="21"/>
              </w:rPr>
              <w:t>~23,954 (-180 / -0.75%) → modest GAP DOWN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21"/>
              </w:rPr>
              <w:t>DXY / USD-INR</w:t>
            </w:r>
          </w:p>
        </w:tc>
        <w:tc>
          <w:tcPr>
            <w:tcW w:type="dxa" w:w="5100"/>
          </w:tcPr>
          <w:p>
            <w:r>
              <w:rPr>
                <w:sz w:val="21"/>
              </w:rPr>
              <w:t>97.62 / 94.11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21"/>
              </w:rPr>
              <w:t>Today's Event Risk</w:t>
            </w:r>
          </w:p>
        </w:tc>
        <w:tc>
          <w:tcPr>
            <w:tcW w:type="dxa" w:w="5100"/>
          </w:tcPr>
          <w:p>
            <w:r>
              <w:rPr>
                <w:sz w:val="21"/>
              </w:rPr>
              <w:t>HIGH (FOMC Wed + Iran headlines + Q4 wave)</w:t>
            </w:r>
          </w:p>
        </w:tc>
      </w:tr>
    </w:tbl>
    <w:p/>
    <w:p>
      <w:pPr>
        <w:pStyle w:val="Heading1"/>
      </w:pPr>
      <w:r>
        <w:rPr>
          <w:color w:val="C0392B"/>
        </w:rPr>
        <w:t>Section 2 — Crude Rule Applied</w:t>
      </w:r>
    </w:p>
    <w:p>
      <w:r>
        <w:rPr>
          <w:b/>
          <w:i w:val="0"/>
          <w:color w:val="C0392B"/>
          <w:sz w:val="26"/>
        </w:rPr>
        <w:t>TODAY'S CRUDE RULE MODE: BEAR — PUTS ONLY</w:t>
      </w:r>
    </w:p>
    <w:p>
      <w:pPr>
        <w:pStyle w:val="ListBullet"/>
      </w:pPr>
      <w:r>
        <w:t>MCX Crude at ₹9,191 sits in the ₹9,000–₹10,000 BEAR band.</w:t>
      </w:r>
    </w:p>
    <w:p>
      <w:pPr>
        <w:pStyle w:val="ListBullet"/>
      </w:pPr>
      <w:r>
        <w:t>Brent +2% Sunday to $107.89 after Trump cancelled the Witkoff/Kushner Islamabad mission.</w:t>
      </w:r>
    </w:p>
    <w:p>
      <w:pPr>
        <w:pStyle w:val="ListBullet"/>
      </w:pPr>
      <w:r>
        <w:t>Strait of Hormuz remains effectively closed for the third straight month; Iran ruled out 'forced negotiations'.</w:t>
      </w:r>
    </w:p>
    <w:p>
      <w:pPr>
        <w:pStyle w:val="ListBullet"/>
      </w:pPr>
      <w:r>
        <w:t>Implication: long-only crude beneficiaries (ONGC, Oil India) okay; downstream OMC, paints, aviation = avoid longs.</w:t>
      </w:r>
    </w:p>
    <w:p>
      <w:pPr>
        <w:pStyle w:val="ListBullet"/>
      </w:pPr>
      <w:r>
        <w:t>Critical flip level: a sustained move BELOW ₹9,000 resets bias to neutral and re-allows directional calls.</w:t>
      </w:r>
    </w:p>
    <w:p/>
    <w:p>
      <w:pPr>
        <w:pStyle w:val="Heading1"/>
      </w:pPr>
      <w:r>
        <w:rPr>
          <w:color w:val="1F4E79"/>
        </w:rPr>
        <w:t>Section 3 — Indian Market Internals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  <w:sz w:val="21"/>
              </w:rPr>
              <w:t>Nifty Friday Close</w:t>
            </w:r>
          </w:p>
        </w:tc>
        <w:tc>
          <w:tcPr>
            <w:tcW w:type="dxa" w:w="5100"/>
          </w:tcPr>
          <w:p>
            <w:r>
              <w:rPr>
                <w:sz w:val="21"/>
              </w:rPr>
              <w:t>23,897.95 (-275 / -1.14%) — 3rd red session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21"/>
              </w:rPr>
              <w:t>Key Support</w:t>
            </w:r>
          </w:p>
        </w:tc>
        <w:tc>
          <w:tcPr>
            <w:tcW w:type="dxa" w:w="5100"/>
          </w:tcPr>
          <w:p>
            <w:r>
              <w:rPr>
                <w:sz w:val="21"/>
              </w:rPr>
              <w:t>23,800 (S1) | 23,555–23,500 (S2)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21"/>
              </w:rPr>
              <w:t>Key Resistance</w:t>
            </w:r>
          </w:p>
        </w:tc>
        <w:tc>
          <w:tcPr>
            <w:tcW w:type="dxa" w:w="5100"/>
          </w:tcPr>
          <w:p>
            <w:r>
              <w:rPr>
                <w:sz w:val="21"/>
              </w:rPr>
              <w:t>24,200 (R1) | 24,350–24,400 (R2)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21"/>
              </w:rPr>
              <w:t>Trend (50 DMA)</w:t>
            </w:r>
          </w:p>
        </w:tc>
        <w:tc>
          <w:tcPr>
            <w:tcW w:type="dxa" w:w="5100"/>
          </w:tcPr>
          <w:p>
            <w:r>
              <w:rPr>
                <w:sz w:val="21"/>
              </w:rPr>
              <w:t>Just broke below — bearish short-term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21"/>
              </w:rPr>
              <w:t>India VIX</w:t>
            </w:r>
          </w:p>
        </w:tc>
        <w:tc>
          <w:tcPr>
            <w:tcW w:type="dxa" w:w="5100"/>
          </w:tcPr>
          <w:p>
            <w:r>
              <w:rPr>
                <w:sz w:val="21"/>
              </w:rPr>
              <w:t>19.7 (+6%) — ELEVATED FEAR (half-size rule)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21"/>
              </w:rPr>
              <w:t>FII (23-Apr cash)</w:t>
            </w:r>
          </w:p>
        </w:tc>
        <w:tc>
          <w:tcPr>
            <w:tcW w:type="dxa" w:w="5100"/>
          </w:tcPr>
          <w:p>
            <w:r>
              <w:rPr>
                <w:sz w:val="21"/>
              </w:rPr>
              <w:t>Net SELL ₹3,254.71 cr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21"/>
              </w:rPr>
              <w:t>DII (23-Apr cash)</w:t>
            </w:r>
          </w:p>
        </w:tc>
        <w:tc>
          <w:tcPr>
            <w:tcW w:type="dxa" w:w="5100"/>
          </w:tcPr>
          <w:p>
            <w:r>
              <w:rPr>
                <w:sz w:val="21"/>
              </w:rPr>
              <w:t>Net BUY ₹941.35 cr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21"/>
              </w:rPr>
              <w:t>FII 5-day trend</w:t>
            </w:r>
          </w:p>
        </w:tc>
        <w:tc>
          <w:tcPr>
            <w:tcW w:type="dxa" w:w="5100"/>
          </w:tcPr>
          <w:p>
            <w:r>
              <w:rPr>
                <w:sz w:val="21"/>
              </w:rPr>
              <w:t>Consistent SELLING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21"/>
              </w:rPr>
              <w:t>Nifty PCR</w:t>
            </w:r>
          </w:p>
        </w:tc>
        <w:tc>
          <w:tcPr>
            <w:tcW w:type="dxa" w:w="5100"/>
          </w:tcPr>
          <w:p>
            <w:r>
              <w:rPr>
                <w:sz w:val="21"/>
              </w:rPr>
              <w:t>~0.67 — bearish (call writers dominant)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21"/>
              </w:rPr>
              <w:t>Max OI Call (resistance)</w:t>
            </w:r>
          </w:p>
        </w:tc>
        <w:tc>
          <w:tcPr>
            <w:tcW w:type="dxa" w:w="5100"/>
          </w:tcPr>
          <w:p>
            <w:r>
              <w:rPr>
                <w:sz w:val="21"/>
              </w:rPr>
              <w:t>24,000 / 24,200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21"/>
              </w:rPr>
              <w:t>Max OI Put (support)</w:t>
            </w:r>
          </w:p>
        </w:tc>
        <w:tc>
          <w:tcPr>
            <w:tcW w:type="dxa" w:w="5100"/>
          </w:tcPr>
          <w:p>
            <w:r>
              <w:rPr>
                <w:sz w:val="21"/>
              </w:rPr>
              <w:t>23,800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21"/>
              </w:rPr>
              <w:t>Max Pain</w:t>
            </w:r>
          </w:p>
        </w:tc>
        <w:tc>
          <w:tcPr>
            <w:tcW w:type="dxa" w:w="5100"/>
          </w:tcPr>
          <w:p>
            <w:r>
              <w:rPr>
                <w:sz w:val="21"/>
              </w:rPr>
              <w:t>~23,900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21"/>
              </w:rPr>
              <w:t>Weekly/Monthly Expiry</w:t>
            </w:r>
          </w:p>
        </w:tc>
        <w:tc>
          <w:tcPr>
            <w:tcW w:type="dxa" w:w="5100"/>
          </w:tcPr>
          <w:p>
            <w:r>
              <w:rPr>
                <w:sz w:val="21"/>
              </w:rPr>
              <w:t>Thursday 30-Apr (monthly)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21"/>
              </w:rPr>
              <w:t>Bank Nifty</w:t>
            </w:r>
          </w:p>
        </w:tc>
        <w:tc>
          <w:tcPr>
            <w:tcW w:type="dxa" w:w="5100"/>
          </w:tcPr>
          <w:p>
            <w:r>
              <w:rPr>
                <w:sz w:val="21"/>
              </w:rPr>
              <w:t>55,956.85 (-0.62%) — slightly weaker than Nifty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21"/>
              </w:rPr>
              <w:t>Sector Leaders</w:t>
            </w:r>
          </w:p>
        </w:tc>
        <w:tc>
          <w:tcPr>
            <w:tcW w:type="dxa" w:w="5100"/>
          </w:tcPr>
          <w:p>
            <w:r>
              <w:rPr>
                <w:sz w:val="21"/>
              </w:rPr>
              <w:t>Metals, FMCG, Upstream Oil PSU (ONGC/OIL)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21"/>
              </w:rPr>
              <w:t>Sector Laggards</w:t>
            </w:r>
          </w:p>
        </w:tc>
        <w:tc>
          <w:tcPr>
            <w:tcW w:type="dxa" w:w="5100"/>
          </w:tcPr>
          <w:p>
            <w:r>
              <w:rPr>
                <w:sz w:val="21"/>
              </w:rPr>
              <w:t>IT (-5.29%), Aviation, Paints, Downstream OMC</w:t>
            </w:r>
          </w:p>
        </w:tc>
      </w:tr>
    </w:tbl>
    <w:p/>
    <w:p>
      <w:pPr>
        <w:pStyle w:val="Heading1"/>
      </w:pPr>
      <w:r>
        <w:rPr>
          <w:color w:val="C0392B"/>
        </w:rPr>
        <w:t>Section 4 — Stock Opportunities (F&amp;O)</w:t>
      </w:r>
    </w:p>
    <w:p>
      <w:r>
        <w:rPr>
          <w:b w:val="0"/>
          <w:i/>
          <w:color w:val="555555"/>
          <w:sz w:val="21"/>
        </w:rPr>
        <w:t>Two clean setups; honest call — skipping a third weak setup. Trade only when full pre-conditions align.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FF4E6"/>
          </w:tcPr>
          <w:p>
            <w:r>
              <w:rPr>
                <w:b/>
                <w:color w:val="C0392B"/>
                <w:sz w:val="26"/>
              </w:rPr>
              <w:t>INFOSYS  (NSE: INFY)</w:t>
            </w:r>
          </w:p>
          <w:p>
            <w:r>
              <w:rPr>
                <w:b/>
                <w:sz w:val="21"/>
              </w:rPr>
              <w:t xml:space="preserve">CMP: </w:t>
            </w:r>
            <w:r>
              <w:rPr>
                <w:sz w:val="21"/>
              </w:rPr>
              <w:t>~₹1,395 (after 5%+ Friday slide)</w:t>
            </w:r>
          </w:p>
          <w:p>
            <w:r>
              <w:rPr>
                <w:b/>
                <w:sz w:val="21"/>
              </w:rPr>
              <w:t xml:space="preserve">Catalyst: </w:t>
            </w:r>
            <w:r>
              <w:rPr>
                <w:sz w:val="21"/>
              </w:rPr>
              <w:t>Cautious FY27 guidance dragged the entire IT pack -5.29% Friday; weekend risk-off + weak rupee extends downside.</w:t>
            </w:r>
          </w:p>
          <w:p>
            <w:r>
              <w:rPr>
                <w:b/>
                <w:sz w:val="21"/>
              </w:rPr>
              <w:t xml:space="preserve">Crude Alignment: </w:t>
            </w:r>
            <w:r>
              <w:rPr>
                <w:sz w:val="21"/>
              </w:rPr>
              <w:t>YES — BEAR-mode aligned (PUT permitted).</w:t>
            </w:r>
          </w:p>
          <w:p>
            <w:r>
              <w:rPr>
                <w:b/>
                <w:sz w:val="21"/>
              </w:rPr>
              <w:t xml:space="preserve">Option Watch: </w:t>
            </w:r>
            <w:r>
              <w:rPr>
                <w:sz w:val="21"/>
              </w:rPr>
              <w:t>INFY 1380 PE / 1400 PE (30-Apr monthly expiry).</w:t>
            </w:r>
          </w:p>
          <w:p>
            <w:r>
              <w:rPr>
                <w:b/>
                <w:sz w:val="21"/>
              </w:rPr>
              <w:t xml:space="preserve">Entry Trigger: </w:t>
            </w:r>
            <w:r>
              <w:rPr>
                <w:sz w:val="21"/>
              </w:rPr>
              <w:t>Sustained break below ₹1,390 on 5-min close + Nifty rejecting 23,950.</w:t>
            </w:r>
          </w:p>
          <w:p>
            <w:r>
              <w:rPr>
                <w:b/>
                <w:sz w:val="21"/>
              </w:rPr>
              <w:t xml:space="preserve">Target: </w:t>
            </w:r>
            <w:r>
              <w:rPr>
                <w:sz w:val="21"/>
              </w:rPr>
              <w:t>₹1,360 (≈ -2.5%).</w:t>
            </w:r>
          </w:p>
          <w:p>
            <w:r>
              <w:rPr>
                <w:b/>
                <w:sz w:val="21"/>
              </w:rPr>
              <w:t xml:space="preserve">Stop Loss: </w:t>
            </w:r>
            <w:r>
              <w:rPr>
                <w:sz w:val="21"/>
              </w:rPr>
              <w:t>Close above ₹1,415 OR Nifty reclaims 24,050.</w:t>
            </w:r>
          </w:p>
          <w:p>
            <w:r>
              <w:rPr>
                <w:b/>
                <w:sz w:val="21"/>
              </w:rPr>
              <w:t xml:space="preserve">Confidence: </w:t>
            </w:r>
            <w:r>
              <w:rPr>
                <w:sz w:val="21"/>
              </w:rPr>
              <w:t>MEDIUM (oversold bounce risk).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FF4E6"/>
          </w:tcPr>
          <w:p>
            <w:r>
              <w:rPr>
                <w:b/>
                <w:color w:val="C0392B"/>
                <w:sz w:val="26"/>
              </w:rPr>
              <w:t>ONGC  (NSE: ONGC)</w:t>
            </w:r>
          </w:p>
          <w:p>
            <w:r>
              <w:rPr>
                <w:b/>
                <w:sz w:val="21"/>
              </w:rPr>
              <w:t xml:space="preserve">CMP: </w:t>
            </w:r>
            <w:r>
              <w:rPr>
                <w:sz w:val="21"/>
              </w:rPr>
              <w:t>~₹290–295</w:t>
            </w:r>
          </w:p>
          <w:p>
            <w:r>
              <w:rPr>
                <w:b/>
                <w:sz w:val="21"/>
              </w:rPr>
              <w:t xml:space="preserve">Catalyst: </w:t>
            </w:r>
            <w:r>
              <w:rPr>
                <w:sz w:val="21"/>
              </w:rPr>
              <w:t>Brent $107+ and Hormuz shut → upstream realisation tailwind. ONGC already +14% YTD; Sunday's crude jump reignites the trade.</w:t>
            </w:r>
          </w:p>
          <w:p>
            <w:r>
              <w:rPr>
                <w:b/>
                <w:sz w:val="21"/>
              </w:rPr>
              <w:t xml:space="preserve">Crude Alignment: </w:t>
            </w:r>
            <w:r>
              <w:rPr>
                <w:sz w:val="21"/>
              </w:rPr>
              <w:t>YES — anti-correlation long permitted under BEAR-crude rule (only crude-beneficiary call allowed).</w:t>
            </w:r>
          </w:p>
          <w:p>
            <w:r>
              <w:rPr>
                <w:b/>
                <w:sz w:val="21"/>
              </w:rPr>
              <w:t xml:space="preserve">Option Watch: </w:t>
            </w:r>
            <w:r>
              <w:rPr>
                <w:sz w:val="21"/>
              </w:rPr>
              <w:t>ONGC 300 CE (30-Apr expiry).</w:t>
            </w:r>
          </w:p>
          <w:p>
            <w:r>
              <w:rPr>
                <w:b/>
                <w:sz w:val="21"/>
              </w:rPr>
              <w:t xml:space="preserve">Entry Trigger: </w:t>
            </w:r>
            <w:r>
              <w:rPr>
                <w:sz w:val="21"/>
              </w:rPr>
              <w:t>ONGC opens flat/green AND MCX crude holds above ₹9,300 by 9:45 AM.</w:t>
            </w:r>
          </w:p>
          <w:p>
            <w:r>
              <w:rPr>
                <w:b/>
                <w:sz w:val="21"/>
              </w:rPr>
              <w:t xml:space="preserve">Target: </w:t>
            </w:r>
            <w:r>
              <w:rPr>
                <w:sz w:val="21"/>
              </w:rPr>
              <w:t>₹305 (≈ +3%).</w:t>
            </w:r>
          </w:p>
          <w:p>
            <w:r>
              <w:rPr>
                <w:b/>
                <w:sz w:val="21"/>
              </w:rPr>
              <w:t xml:space="preserve">Stop Loss: </w:t>
            </w:r>
            <w:r>
              <w:rPr>
                <w:sz w:val="21"/>
              </w:rPr>
              <w:t>Close below ₹287 OR crude flips below ₹9,000.</w:t>
            </w:r>
          </w:p>
          <w:p>
            <w:r>
              <w:rPr>
                <w:b/>
                <w:sz w:val="21"/>
              </w:rPr>
              <w:t xml:space="preserve">Confidence: </w:t>
            </w:r>
            <w:r>
              <w:rPr>
                <w:sz w:val="21"/>
              </w:rPr>
              <w:t>HIGH.</w:t>
            </w:r>
          </w:p>
        </w:tc>
      </w:tr>
    </w:tbl>
    <w:p/>
    <w:p/>
    <w:p>
      <w:pPr>
        <w:pStyle w:val="Heading1"/>
      </w:pPr>
      <w:r>
        <w:rPr>
          <w:color w:val="1F4E79"/>
        </w:rPr>
        <w:t>Section 5 — Domestic Macro &amp; Triggers</w:t>
      </w:r>
    </w:p>
    <w:p>
      <w:pPr>
        <w:pStyle w:val="ListBullet"/>
      </w:pPr>
      <w:r>
        <w:t>RBI: Held repo at 5.25% on 8-Apr meeting; neutral stance; FY27 CPI projection 4.6%. No fresh action today.</w:t>
      </w:r>
    </w:p>
    <w:p>
      <w:pPr>
        <w:pStyle w:val="ListBullet"/>
      </w:pPr>
      <w:r>
        <w:t>CPI (March): 3.4% YoY — below 4% target; oil-driven import inflation rising as a watch-item.</w:t>
      </w:r>
    </w:p>
    <w:p>
      <w:pPr>
        <w:pStyle w:val="ListBullet"/>
      </w:pPr>
      <w:r>
        <w:t>Earnings done: RIL Q4 PAT -12.55% YoY to ₹16,971 cr; ₹6 dividend; stock -0.81% to ₹1,332. Mild negative drag at open.</w:t>
      </w:r>
    </w:p>
    <w:p>
      <w:pPr>
        <w:pStyle w:val="ListBullet"/>
      </w:pPr>
      <w:r>
        <w:t>Earnings ahead this week: 28-Apr — Coal India, UltraTech Cement, Varun Beverages. Later: Maruti, Adani Ports, Kotak Bank.</w:t>
      </w:r>
    </w:p>
    <w:p>
      <w:pPr>
        <w:pStyle w:val="ListBullet"/>
      </w:pPr>
      <w:r>
        <w:t>US FOMC: 28–29 Apr — 99.7% odds of HOLD at 3.50–3.75% (Polymarket). Fed-week chop expected.</w:t>
      </w:r>
    </w:p>
    <w:p>
      <w:pPr>
        <w:pStyle w:val="ListBullet"/>
      </w:pPr>
      <w:r>
        <w:t>SEBI / NSE: No fresh F&amp;O regulatory action overnight.</w:t>
      </w:r>
    </w:p>
    <w:p/>
    <w:p>
      <w:pPr>
        <w:pStyle w:val="Heading1"/>
      </w:pPr>
      <w:r>
        <w:rPr>
          <w:color w:val="C0392B"/>
        </w:rPr>
        <w:t>Section 6 — Final Verdict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</w:tcPr>
          <w:p>
            <w:r>
              <w:rPr>
                <w:b/>
                <w:sz w:val="21"/>
              </w:rPr>
              <w:t>Crude Rule Mode</w:t>
            </w:r>
          </w:p>
        </w:tc>
        <w:tc>
          <w:tcPr>
            <w:tcW w:type="dxa" w:w="5100"/>
          </w:tcPr>
          <w:p>
            <w:r>
              <w:rPr>
                <w:sz w:val="21"/>
              </w:rPr>
              <w:t>BEAR — PUTS ONLY (MCX ₹9,191, rising)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21"/>
              </w:rPr>
              <w:t>Market Bias</w:t>
            </w:r>
          </w:p>
        </w:tc>
        <w:tc>
          <w:tcPr>
            <w:tcW w:type="dxa" w:w="5100"/>
          </w:tcPr>
          <w:p>
            <w:r>
              <w:rPr>
                <w:sz w:val="21"/>
              </w:rPr>
              <w:t>BEAR (3rd red session, IT collapse, Iran talks failed Sun)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21"/>
              </w:rPr>
              <w:t>VIX Sizing Rule</w:t>
            </w:r>
          </w:p>
        </w:tc>
        <w:tc>
          <w:tcPr>
            <w:tcW w:type="dxa" w:w="5100"/>
          </w:tcPr>
          <w:p>
            <w:r>
              <w:rPr>
                <w:sz w:val="21"/>
              </w:rPr>
              <w:t>HALF SIZE — VIX 19.7 (elevated)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21"/>
              </w:rPr>
              <w:t>Key Support</w:t>
            </w:r>
          </w:p>
        </w:tc>
        <w:tc>
          <w:tcPr>
            <w:tcW w:type="dxa" w:w="5100"/>
          </w:tcPr>
          <w:p>
            <w:r>
              <w:rPr>
                <w:sz w:val="21"/>
              </w:rPr>
              <w:t>23,800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21"/>
              </w:rPr>
              <w:t>Key Resistance</w:t>
            </w:r>
          </w:p>
        </w:tc>
        <w:tc>
          <w:tcPr>
            <w:tcW w:type="dxa" w:w="5100"/>
          </w:tcPr>
          <w:p>
            <w:r>
              <w:rPr>
                <w:sz w:val="21"/>
              </w:rPr>
              <w:t>24,200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21"/>
              </w:rPr>
              <w:t>Critical Crude Flip Level</w:t>
            </w:r>
          </w:p>
        </w:tc>
        <w:tc>
          <w:tcPr>
            <w:tcW w:type="dxa" w:w="5100"/>
          </w:tcPr>
          <w:p>
            <w:r>
              <w:rPr>
                <w:sz w:val="21"/>
              </w:rPr>
              <w:t>₹9,000 — below this, bias resets to neutral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21"/>
              </w:rPr>
              <w:t>Top 2 Risk Events</w:t>
            </w:r>
          </w:p>
        </w:tc>
        <w:tc>
          <w:tcPr>
            <w:tcW w:type="dxa" w:w="5100"/>
          </w:tcPr>
          <w:p>
            <w:r>
              <w:rPr>
                <w:sz w:val="21"/>
              </w:rPr>
              <w:t>1) Surprise Iran-US backchannel news during cash hours; 2) Fed Wednesday + RIL Q4 digestion</w:t>
            </w:r>
          </w:p>
        </w:tc>
      </w:tr>
      <w:tr>
        <w:tc>
          <w:tcPr>
            <w:tcW w:type="dxa" w:w="5100"/>
          </w:tcPr>
          <w:p>
            <w:r>
              <w:rPr>
                <w:b/>
                <w:sz w:val="21"/>
              </w:rPr>
              <w:t>ENTRY PERMISSION</w:t>
            </w:r>
          </w:p>
        </w:tc>
        <w:tc>
          <w:tcPr>
            <w:tcW w:type="dxa" w:w="5100"/>
          </w:tcPr>
          <w:p>
            <w:r>
              <w:rPr>
                <w:sz w:val="21"/>
              </w:rPr>
              <w:t>CAUTION</w:t>
            </w:r>
          </w:p>
        </w:tc>
      </w:tr>
    </w:tbl>
    <w:p>
      <w:r>
        <w:rPr>
          <w:b w:val="0"/>
          <w:i w:val="0"/>
          <w:sz w:val="22"/>
        </w:rPr>
      </w:r>
    </w:p>
    <w:p>
      <w:pPr>
        <w:jc w:val="left"/>
      </w:pPr>
      <w:r>
        <w:rPr>
          <w:b/>
          <w:color w:val="1F4E79"/>
          <w:sz w:val="23"/>
        </w:rPr>
        <w:t xml:space="preserve">ONE-LINE SUMMARY: </w:t>
      </w:r>
      <w:r>
        <w:rPr>
          <w:sz w:val="23"/>
        </w:rPr>
        <w:t>Today is a BEAR day. Crude at ₹9,191 = BEAR mode. Watch INFOSYS for sub-₹1,390 puts and ONGC for crude-tailwind calls. Key risk: Fed Wednesday + Iran headline whip. Size HALF based on VIX at 19.7.</w:t>
      </w:r>
    </w:p>
    <w:p/>
    <w:p>
      <w:pPr>
        <w:jc w:val="center"/>
      </w:pPr>
      <w:r>
        <w:rPr>
          <w:i/>
          <w:color w:val="777777"/>
          <w:sz w:val="18"/>
        </w:rPr>
        <w:t>Generated by Daily Trading Routine — for personal educational use only. Not financial advice.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