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ELITE DAILY TRADING INTELLIGENCE BRIEF</w:t>
      </w:r>
    </w:p>
    <w:p>
      <w:pPr>
        <w:jc w:val="center"/>
      </w:pPr>
      <w:r>
        <w:rPr>
          <w:i/>
          <w:sz w:val="24"/>
        </w:rPr>
        <w:t>Indian F&amp;O Day Trader — Nifty + Stocks</w:t>
      </w:r>
    </w:p>
    <w:p>
      <w:pPr>
        <w:jc w:val="center"/>
      </w:pPr>
      <w:r>
        <w:rPr>
          <w:b/>
          <w:sz w:val="22"/>
        </w:rPr>
        <w:t>Date: Thursday, 2 July 2026  |  Generated ~08:20 IST</w:t>
      </w:r>
    </w:p>
    <w:tbl>
      <w:tblPr>
        <w:tblW w:type="auto" w:w="0"/>
        <w:tblLayout w:type="autofit"/>
        <w:tblLook w:firstColumn="1" w:firstRow="1" w:lastColumn="0" w:lastRow="0" w:noHBand="0" w:noVBand="1" w:val="04A0"/>
      </w:tblPr>
      <w:tblGrid>
        <w:gridCol w:w="10200"/>
      </w:tblGrid>
      <w:tr>
        <w:tc>
          <w:tcPr>
            <w:tcW w:type="dxa" w:w="10200"/>
            <w:shd w:val="clear" w:color="auto" w:fill="F1C232"/>
          </w:tcPr>
          <w:p>
            <w:pPr>
              <w:jc w:val="center"/>
            </w:pPr>
            <w:r/>
            <w:r>
              <w:rPr>
                <w:b/>
                <w:color w:val="FFFFFF"/>
                <w:sz w:val="26"/>
              </w:rPr>
              <w:t>TODAY'S BIAS: CAUTIOUS-BULL</w:t>
            </w:r>
          </w:p>
        </w:tc>
      </w:tr>
    </w:tbl>
    <w:tbl>
      <w:tblPr>
        <w:tblW w:type="auto" w:w="0"/>
        <w:tblLayout w:type="autofit"/>
        <w:tblLook w:firstColumn="1" w:firstRow="1" w:lastColumn="0" w:lastRow="0" w:noHBand="0" w:noVBand="1" w:val="04A0"/>
      </w:tblPr>
      <w:tblGrid>
        <w:gridCol w:w="10200"/>
      </w:tblGrid>
      <w:tr>
        <w:tc>
          <w:tcPr>
            <w:tcW w:type="dxa" w:w="10200"/>
            <w:shd w:val="clear" w:color="auto" w:fill="E69138"/>
          </w:tcPr>
          <w:p>
            <w:pPr>
              <w:jc w:val="center"/>
            </w:pPr>
            <w:r/>
            <w:r>
              <w:rPr>
                <w:b/>
                <w:color w:val="FFFFFF"/>
                <w:sz w:val="26"/>
              </w:rPr>
              <w:t>ENTRY PERMISSION: YELLOW</w:t>
            </w:r>
          </w:p>
        </w:tc>
      </w:tr>
    </w:tbl>
    <w:tbl>
      <w:tblPr>
        <w:tblW w:type="auto" w:w="0"/>
        <w:tblLayout w:type="autofit"/>
        <w:tblLook w:firstColumn="1" w:firstRow="1" w:lastColumn="0" w:lastRow="0" w:noHBand="0" w:noVBand="1" w:val="04A0"/>
      </w:tblPr>
      <w:tblGrid>
        <w:gridCol w:w="10200"/>
      </w:tblGrid>
      <w:tr>
        <w:tc>
          <w:tcPr>
            <w:tcW w:type="dxa" w:w="10200"/>
            <w:shd w:val="clear" w:color="auto" w:fill="6AA84F"/>
          </w:tcPr>
          <w:p>
            <w:pPr>
              <w:jc w:val="center"/>
            </w:pPr>
            <w:r/>
            <w:r>
              <w:rPr>
                <w:b/>
                <w:color w:val="FFFFFF"/>
                <w:sz w:val="26"/>
              </w:rPr>
              <w:t>CRUDE RULE MODE: AGGRESSIVE BULL (~₹6,600 MCX)</w:t>
            </w:r>
          </w:p>
        </w:tc>
      </w:tr>
    </w:tbl>
    <w:tbl>
      <w:tblPr>
        <w:tblW w:type="auto" w:w="0"/>
        <w:tblLayout w:type="autofit"/>
        <w:tblLook w:firstColumn="1" w:firstRow="1" w:lastColumn="0" w:lastRow="0" w:noHBand="0" w:noVBand="1" w:val="04A0"/>
      </w:tblPr>
      <w:tblGrid>
        <w:gridCol w:w="10200"/>
      </w:tblGrid>
      <w:tr>
        <w:tc>
          <w:tcPr>
            <w:tcW w:type="dxa" w:w="10200"/>
            <w:shd w:val="clear" w:color="auto" w:fill="C0392B"/>
          </w:tcPr>
          <w:p>
            <w:pPr>
              <w:jc w:val="center"/>
            </w:pPr>
            <w:r/>
            <w:r>
              <w:rPr>
                <w:b/>
                <w:color w:val="FFFFFF"/>
                <w:sz w:val="26"/>
              </w:rPr>
              <w:t>CAPITAL FIT: FLAGGED — see Section 4</w:t>
            </w:r>
          </w:p>
        </w:tc>
      </w:tr>
    </w:tbl>
    <w:p/>
    <w:p>
      <w:pPr>
        <w:pStyle w:val="Heading1"/>
      </w:pPr>
      <w:r>
        <w:rPr>
          <w:color w:val="C00000"/>
        </w:rPr>
        <w:t>Section 0 — Yesterday's Postmortem / Calibration Gap</w:t>
      </w:r>
    </w:p>
    <w:p>
      <w:r>
        <w:rPr>
          <w:b/>
          <w:i w:val="0"/>
          <w:color w:val="C00000"/>
          <w:sz w:val="24"/>
        </w:rPr>
        <w:t>BRIEF METHODOLOGY STATUS: NO VALID POSTMORTEM POSSIBLE.</w:t>
      </w:r>
    </w:p>
    <w:p>
      <w:pPr>
        <w:pStyle w:val="ListBullet"/>
      </w:pPr>
      <w:r>
        <w:t>The last brief in this log is dated 2026-04-23 (a WAIT day). Today is 2026-07-02 — a gap of ~10 weeks (≈50 trading sessions) with no intervening briefs and an empty paper-trading log (trade_log.txt).</w:t>
      </w:r>
    </w:p>
    <w:p>
      <w:pPr>
        <w:pStyle w:val="ListBullet"/>
      </w:pPr>
      <w:r>
        <w:t>Phase 1 of the routine requires scoring yesterday's 5-7 picks against actual outcomes. There is no 'yesterday's brief' to grade — the accuracy score is UNDEFINED, not zero and not passing.</w:t>
      </w:r>
    </w:p>
    <w:p>
      <w:pPr>
        <w:pStyle w:val="ListBullet"/>
      </w:pPr>
      <w:r>
        <w:t>Per the spirit of the routine's recovery logic (Phase 6), this brief treats the gap as a calibration reset: stock count trimmed to 6, no grade above A, wait window extended to 45-60 minutes post-open instead of the standard 30, and VIX-based sizing is overridden one notch more conservative than the raw VIX reading would imply.</w:t>
      </w:r>
    </w:p>
    <w:p>
      <w:pPr>
        <w:pStyle w:val="ListBullet"/>
      </w:pPr>
      <w:r>
        <w:t>ACTION FOR OPERATOR: resume daily logging so tomorrow's brief can run a real postmortem. If this gap reflects the routine being paused/newly (re)automated rather than deliberate, no further action needed beyond acknowledging today's picks carry no track-record backing.</w:t>
      </w:r>
    </w:p>
    <w:p/>
    <w:p>
      <w:pPr>
        <w:pStyle w:val="Heading1"/>
      </w:pPr>
      <w:r>
        <w:rPr>
          <w:color w:val="1F3864"/>
        </w:rPr>
        <w:t>Section 1 — Macro Snapshot</w:t>
      </w:r>
    </w:p>
    <w:tbl>
      <w:tblPr>
        <w:tblStyle w:val="LightGrid-Accent1"/>
        <w:tblW w:type="auto" w:w="0"/>
        <w:tblLook w:firstColumn="1" w:firstRow="1" w:lastColumn="0" w:lastRow="0" w:noHBand="0" w:noVBand="1" w:val="04A0"/>
      </w:tblPr>
      <w:tblGrid>
        <w:gridCol w:w="3400"/>
        <w:gridCol w:w="3400"/>
        <w:gridCol w:w="3400"/>
      </w:tblGrid>
      <w:tr>
        <w:tc>
          <w:tcPr>
            <w:tcW w:type="dxa" w:w="3400"/>
            <w:shd w:val="clear" w:color="auto" w:fill="1F3864"/>
          </w:tcPr>
          <w:p>
            <w:r/>
            <w:r>
              <w:rPr>
                <w:b/>
                <w:color w:val="FFFFFF"/>
                <w:sz w:val="22"/>
              </w:rPr>
              <w:t>Metric</w:t>
            </w:r>
          </w:p>
        </w:tc>
        <w:tc>
          <w:tcPr>
            <w:tcW w:type="dxa" w:w="3400"/>
            <w:shd w:val="clear" w:color="auto" w:fill="1F3864"/>
          </w:tcPr>
          <w:p>
            <w:r/>
            <w:r>
              <w:rPr>
                <w:b/>
                <w:color w:val="FFFFFF"/>
                <w:sz w:val="22"/>
              </w:rPr>
              <w:t>Reading</w:t>
            </w:r>
          </w:p>
        </w:tc>
        <w:tc>
          <w:tcPr>
            <w:tcW w:type="dxa" w:w="3400"/>
            <w:shd w:val="clear" w:color="auto" w:fill="1F3864"/>
          </w:tcPr>
          <w:p>
            <w:r/>
            <w:r>
              <w:rPr>
                <w:b/>
                <w:color w:val="FFFFFF"/>
                <w:sz w:val="22"/>
              </w:rPr>
              <w:t>Interpretation</w:t>
            </w:r>
          </w:p>
        </w:tc>
      </w:tr>
      <w:tr>
        <w:tc>
          <w:tcPr>
            <w:tcW w:type="dxa" w:w="3400"/>
          </w:tcPr>
          <w:p>
            <w:r/>
            <w:r>
              <w:rPr>
                <w:b/>
                <w:sz w:val="22"/>
              </w:rPr>
              <w:t>WTI Crude (NYMEX)</w:t>
            </w:r>
          </w:p>
        </w:tc>
        <w:tc>
          <w:tcPr>
            <w:tcW w:type="dxa" w:w="3400"/>
          </w:tcPr>
          <w:p>
            <w:r/>
            <w:r>
              <w:rPr>
                <w:sz w:val="22"/>
              </w:rPr>
              <w:t>~$69.50–70.50</w:t>
            </w:r>
          </w:p>
        </w:tc>
        <w:tc>
          <w:tcPr>
            <w:tcW w:type="dxa" w:w="3400"/>
          </w:tcPr>
          <w:p>
            <w:r/>
            <w:r>
              <w:rPr>
                <w:sz w:val="22"/>
              </w:rPr>
              <w:t>2 sources ranged $68.04–$70.55; used midpoint ~$70</w:t>
            </w:r>
          </w:p>
        </w:tc>
      </w:tr>
      <w:tr>
        <w:tc>
          <w:tcPr>
            <w:tcW w:type="dxa" w:w="3400"/>
          </w:tcPr>
          <w:p>
            <w:r/>
            <w:r>
              <w:rPr>
                <w:b/>
                <w:sz w:val="22"/>
              </w:rPr>
              <w:t>Brent Crude (context only)</w:t>
            </w:r>
          </w:p>
        </w:tc>
        <w:tc>
          <w:tcPr>
            <w:tcW w:type="dxa" w:w="3400"/>
          </w:tcPr>
          <w:p>
            <w:r/>
            <w:r>
              <w:rPr>
                <w:sz w:val="22"/>
              </w:rPr>
              <w:t>~$73 (range $71–75)</w:t>
            </w:r>
          </w:p>
        </w:tc>
        <w:tc>
          <w:tcPr>
            <w:tcW w:type="dxa" w:w="3400"/>
          </w:tcPr>
          <w:p>
            <w:r/>
            <w:r>
              <w:rPr>
                <w:sz w:val="22"/>
              </w:rPr>
              <w:t>NOT used for MCX proxy — WTI only</w:t>
            </w:r>
          </w:p>
        </w:tc>
      </w:tr>
      <w:tr>
        <w:tc>
          <w:tcPr>
            <w:tcW w:type="dxa" w:w="3400"/>
          </w:tcPr>
          <w:p>
            <w:r/>
            <w:r>
              <w:rPr>
                <w:b/>
                <w:sz w:val="22"/>
              </w:rPr>
              <w:t>USD/INR spot</w:t>
            </w:r>
          </w:p>
        </w:tc>
        <w:tc>
          <w:tcPr>
            <w:tcW w:type="dxa" w:w="3400"/>
          </w:tcPr>
          <w:p>
            <w:r/>
            <w:r>
              <w:rPr>
                <w:sz w:val="22"/>
              </w:rPr>
              <w:t>~94.30–94.70</w:t>
            </w:r>
          </w:p>
        </w:tc>
        <w:tc>
          <w:tcPr>
            <w:tcW w:type="dxa" w:w="3400"/>
          </w:tcPr>
          <w:p>
            <w:r/>
            <w:r>
              <w:rPr>
                <w:sz w:val="22"/>
              </w:rPr>
              <w:t>2 sources disagreed by ~₹0.35; used ~94.50</w:t>
            </w:r>
          </w:p>
        </w:tc>
      </w:tr>
      <w:tr>
        <w:tc>
          <w:tcPr>
            <w:tcW w:type="dxa" w:w="3400"/>
          </w:tcPr>
          <w:p>
            <w:r/>
            <w:r>
              <w:rPr>
                <w:b/>
                <w:sz w:val="22"/>
              </w:rPr>
              <w:t>MCX Crude Proxy (WTI×USDINR)</w:t>
            </w:r>
          </w:p>
        </w:tc>
        <w:tc>
          <w:tcPr>
            <w:tcW w:type="dxa" w:w="3400"/>
          </w:tcPr>
          <w:p>
            <w:r/>
            <w:r>
              <w:rPr>
                <w:sz w:val="22"/>
              </w:rPr>
              <w:t>≈ ₹6,600/bbl (range ₹6,400–6,680)</w:t>
            </w:r>
          </w:p>
        </w:tc>
        <w:tc>
          <w:tcPr>
            <w:tcW w:type="dxa" w:w="3400"/>
          </w:tcPr>
          <w:p>
            <w:r/>
            <w:r>
              <w:rPr>
                <w:sz w:val="22"/>
              </w:rPr>
              <w:t>AGGRESSIVE BULL zone, well clear of ₹7,500 boundary</w:t>
            </w:r>
          </w:p>
        </w:tc>
      </w:tr>
      <w:tr>
        <w:tc>
          <w:tcPr>
            <w:tcW w:type="dxa" w:w="3400"/>
          </w:tcPr>
          <w:p>
            <w:r/>
            <w:r>
              <w:rPr>
                <w:b/>
                <w:sz w:val="22"/>
              </w:rPr>
              <w:t>India VIX</w:t>
            </w:r>
          </w:p>
        </w:tc>
        <w:tc>
          <w:tcPr>
            <w:tcW w:type="dxa" w:w="3400"/>
          </w:tcPr>
          <w:p>
            <w:r/>
            <w:r>
              <w:rPr>
                <w:sz w:val="22"/>
              </w:rPr>
              <w:t>13.24 (Jul 1 close, -2.65%)</w:t>
            </w:r>
          </w:p>
        </w:tc>
        <w:tc>
          <w:tcPr>
            <w:tcW w:type="dxa" w:w="3400"/>
          </w:tcPr>
          <w:p>
            <w:r/>
            <w:r>
              <w:rPr>
                <w:sz w:val="22"/>
              </w:rPr>
              <w:t>Below 15 = normally FULL SIZE; overridden to HALF given calibration gap</w:t>
            </w:r>
          </w:p>
        </w:tc>
      </w:tr>
      <w:tr>
        <w:tc>
          <w:tcPr>
            <w:tcW w:type="dxa" w:w="3400"/>
          </w:tcPr>
          <w:p>
            <w:r/>
            <w:r>
              <w:rPr>
                <w:b/>
                <w:sz w:val="22"/>
              </w:rPr>
              <w:t>Nifty 50 (Jul 1 close)</w:t>
            </w:r>
          </w:p>
        </w:tc>
        <w:tc>
          <w:tcPr>
            <w:tcW w:type="dxa" w:w="3400"/>
          </w:tcPr>
          <w:p>
            <w:r/>
            <w:r>
              <w:rPr>
                <w:sz w:val="22"/>
              </w:rPr>
              <w:t>~23,987–23,997 (2 sources ~9pt apart)</w:t>
            </w:r>
          </w:p>
        </w:tc>
        <w:tc>
          <w:tcPr>
            <w:tcW w:type="dxa" w:w="3400"/>
          </w:tcPr>
          <w:p>
            <w:r/>
            <w:r>
              <w:rPr>
                <w:sz w:val="22"/>
              </w:rPr>
              <w:t>+0.5% day; day range 23,895–24,021</w:t>
            </w:r>
          </w:p>
        </w:tc>
      </w:tr>
      <w:tr>
        <w:tc>
          <w:tcPr>
            <w:tcW w:type="dxa" w:w="3400"/>
          </w:tcPr>
          <w:p>
            <w:r/>
            <w:r>
              <w:rPr>
                <w:b/>
                <w:sz w:val="22"/>
              </w:rPr>
              <w:t>Sensex (Jul 1 close)</w:t>
            </w:r>
          </w:p>
        </w:tc>
        <w:tc>
          <w:tcPr>
            <w:tcW w:type="dxa" w:w="3400"/>
          </w:tcPr>
          <w:p>
            <w:r/>
            <w:r>
              <w:rPr>
                <w:sz w:val="22"/>
              </w:rPr>
              <w:t>76,922.64 (+0.58%)</w:t>
            </w:r>
          </w:p>
        </w:tc>
        <w:tc>
          <w:tcPr>
            <w:tcW w:type="dxa" w:w="3400"/>
          </w:tcPr>
          <w:p>
            <w:r/>
            <w:r>
              <w:rPr>
                <w:sz w:val="22"/>
              </w:rPr>
              <w:t>Confirms Nifty strength</w:t>
            </w:r>
          </w:p>
        </w:tc>
      </w:tr>
      <w:tr>
        <w:tc>
          <w:tcPr>
            <w:tcW w:type="dxa" w:w="3400"/>
          </w:tcPr>
          <w:p>
            <w:r/>
            <w:r>
              <w:rPr>
                <w:b/>
                <w:sz w:val="22"/>
              </w:rPr>
              <w:t>GIFT Nifty (pre-market)</w:t>
            </w:r>
          </w:p>
        </w:tc>
        <w:tc>
          <w:tcPr>
            <w:tcW w:type="dxa" w:w="3400"/>
          </w:tcPr>
          <w:p>
            <w:r/>
            <w:r>
              <w:rPr>
                <w:sz w:val="22"/>
              </w:rPr>
              <w:t>CONFLICTING — one calc implies +67-68pt gap-up (24,149.5 vs fut. close 24,082); another note says 'slightly red'</w:t>
            </w:r>
          </w:p>
        </w:tc>
        <w:tc>
          <w:tcPr>
            <w:tcW w:type="dxa" w:w="3400"/>
          </w:tcPr>
          <w:p>
            <w:r/>
            <w:r>
              <w:rPr>
                <w:sz w:val="22"/>
              </w:rPr>
              <w:t>Direction genuinely uncertain — do not assume gap-up until confirmed at open</w:t>
            </w:r>
          </w:p>
        </w:tc>
      </w:tr>
      <w:tr>
        <w:tc>
          <w:tcPr>
            <w:tcW w:type="dxa" w:w="3400"/>
          </w:tcPr>
          <w:p>
            <w:r/>
            <w:r>
              <w:rPr>
                <w:b/>
                <w:sz w:val="22"/>
              </w:rPr>
              <w:t>Dow Jones (Jul 1 close)</w:t>
            </w:r>
          </w:p>
        </w:tc>
        <w:tc>
          <w:tcPr>
            <w:tcW w:type="dxa" w:w="3400"/>
          </w:tcPr>
          <w:p>
            <w:r/>
            <w:r>
              <w:rPr>
                <w:sz w:val="22"/>
              </w:rPr>
              <w:t>52,305.24 (-0.03%)</w:t>
            </w:r>
          </w:p>
        </w:tc>
        <w:tc>
          <w:tcPr>
            <w:tcW w:type="dxa" w:w="3400"/>
          </w:tcPr>
          <w:p>
            <w:r/>
            <w:r>
              <w:rPr>
                <w:sz w:val="22"/>
              </w:rPr>
              <w:t>Faded from a record intraday high</w:t>
            </w:r>
          </w:p>
        </w:tc>
      </w:tr>
      <w:tr>
        <w:tc>
          <w:tcPr>
            <w:tcW w:type="dxa" w:w="3400"/>
          </w:tcPr>
          <w:p>
            <w:r/>
            <w:r>
              <w:rPr>
                <w:b/>
                <w:sz w:val="22"/>
              </w:rPr>
              <w:t>S&amp;P 500 (Jul 1 close)</w:t>
            </w:r>
          </w:p>
        </w:tc>
        <w:tc>
          <w:tcPr>
            <w:tcW w:type="dxa" w:w="3400"/>
          </w:tcPr>
          <w:p>
            <w:r/>
            <w:r>
              <w:rPr>
                <w:sz w:val="22"/>
              </w:rPr>
              <w:t>7,483.23 (-0.22%)</w:t>
            </w:r>
          </w:p>
        </w:tc>
        <w:tc>
          <w:tcPr>
            <w:tcW w:type="dxa" w:w="3400"/>
          </w:tcPr>
          <w:p>
            <w:r/>
            <w:r>
              <w:rPr>
                <w:sz w:val="22"/>
              </w:rPr>
              <w:t>Mild pullback</w:t>
            </w:r>
          </w:p>
        </w:tc>
      </w:tr>
      <w:tr>
        <w:tc>
          <w:tcPr>
            <w:tcW w:type="dxa" w:w="3400"/>
          </w:tcPr>
          <w:p>
            <w:r/>
            <w:r>
              <w:rPr>
                <w:b/>
                <w:sz w:val="22"/>
              </w:rPr>
              <w:t>Nasdaq (Jul 1 close)</w:t>
            </w:r>
          </w:p>
        </w:tc>
        <w:tc>
          <w:tcPr>
            <w:tcW w:type="dxa" w:w="3400"/>
          </w:tcPr>
          <w:p>
            <w:r/>
            <w:r>
              <w:rPr>
                <w:sz w:val="22"/>
              </w:rPr>
              <w:t>26,040.03 (-0.66%)</w:t>
            </w:r>
          </w:p>
        </w:tc>
        <w:tc>
          <w:tcPr>
            <w:tcW w:type="dxa" w:w="3400"/>
          </w:tcPr>
          <w:p>
            <w:r/>
            <w:r>
              <w:rPr>
                <w:sz w:val="22"/>
              </w:rPr>
              <w:t>Semiconductor profit-taking after huge H1 rally</w:t>
            </w:r>
          </w:p>
        </w:tc>
      </w:tr>
      <w:tr>
        <w:tc>
          <w:tcPr>
            <w:tcW w:type="dxa" w:w="3400"/>
          </w:tcPr>
          <w:p>
            <w:r/>
            <w:r>
              <w:rPr>
                <w:b/>
                <w:sz w:val="22"/>
              </w:rPr>
              <w:t>Asian markets</w:t>
            </w:r>
          </w:p>
        </w:tc>
        <w:tc>
          <w:tcPr>
            <w:tcW w:type="dxa" w:w="3400"/>
          </w:tcPr>
          <w:p>
            <w:r/>
            <w:r>
              <w:rPr>
                <w:sz w:val="22"/>
              </w:rPr>
              <w:t>STALE — only Jun 30/Jul 1 data found (Nikkei 70,671 +0.87%, Kospi +1.0%, Shanghai +0.5%, Hang Seng -0.6%)</w:t>
            </w:r>
          </w:p>
        </w:tc>
        <w:tc>
          <w:tcPr>
            <w:tcW w:type="dxa" w:w="3400"/>
          </w:tcPr>
          <w:p>
            <w:r/>
            <w:r>
              <w:rPr>
                <w:sz w:val="22"/>
              </w:rPr>
              <w:t>Live Jul 2 Asia opens NOT FOUND — check terminal before open</w:t>
            </w:r>
          </w:p>
        </w:tc>
      </w:tr>
      <w:tr>
        <w:tc>
          <w:tcPr>
            <w:tcW w:type="dxa" w:w="3400"/>
          </w:tcPr>
          <w:p>
            <w:r/>
            <w:r>
              <w:rPr>
                <w:b/>
                <w:sz w:val="22"/>
              </w:rPr>
              <w:t>FII flow (Jul 1, provisional)</w:t>
            </w:r>
          </w:p>
        </w:tc>
        <w:tc>
          <w:tcPr>
            <w:tcW w:type="dxa" w:w="3400"/>
          </w:tcPr>
          <w:p>
            <w:r/>
            <w:r>
              <w:rPr>
                <w:sz w:val="22"/>
              </w:rPr>
              <w:t>Net SELL ₹1,140.5 cr</w:t>
            </w:r>
          </w:p>
        </w:tc>
        <w:tc>
          <w:tcPr>
            <w:tcW w:type="dxa" w:w="3400"/>
          </w:tcPr>
          <w:p>
            <w:r/>
            <w:r>
              <w:rPr>
                <w:sz w:val="22"/>
              </w:rPr>
              <w:t>&gt;₹43,000 cr net sold in June alone</w:t>
            </w:r>
          </w:p>
        </w:tc>
      </w:tr>
      <w:tr>
        <w:tc>
          <w:tcPr>
            <w:tcW w:type="dxa" w:w="3400"/>
          </w:tcPr>
          <w:p>
            <w:r/>
            <w:r>
              <w:rPr>
                <w:b/>
                <w:sz w:val="22"/>
              </w:rPr>
              <w:t>DII flow (Jul 1)</w:t>
            </w:r>
          </w:p>
        </w:tc>
        <w:tc>
          <w:tcPr>
            <w:tcW w:type="dxa" w:w="3400"/>
          </w:tcPr>
          <w:p>
            <w:r/>
            <w:r>
              <w:rPr>
                <w:sz w:val="22"/>
              </w:rPr>
              <w:t>Net BUY ₹3,159.24 cr</w:t>
            </w:r>
          </w:p>
        </w:tc>
        <w:tc>
          <w:tcPr>
            <w:tcW w:type="dxa" w:w="3400"/>
          </w:tcPr>
          <w:p>
            <w:r/>
            <w:r>
              <w:rPr>
                <w:sz w:val="22"/>
              </w:rPr>
              <w:t>DII buying &gt; FII selling = near-term floor</w:t>
            </w:r>
          </w:p>
        </w:tc>
      </w:tr>
    </w:tbl>
    <w:p/>
    <w:p>
      <w:r>
        <w:rPr>
          <w:b/>
          <w:i w:val="0"/>
          <w:color w:val="C00000"/>
          <w:sz w:val="22"/>
        </w:rPr>
        <w:t>Data-quality flags (per routine's cross-verification rule):</w:t>
      </w:r>
    </w:p>
    <w:p>
      <w:pPr>
        <w:pStyle w:val="ListBullet"/>
      </w:pPr>
      <w:r>
        <w:t>WTI, Brent and USD/INR each showed meaningful spread across sources — treated as ranges, not points.</w:t>
      </w:r>
    </w:p>
    <w:p>
      <w:pPr>
        <w:pStyle w:val="ListBullet"/>
      </w:pPr>
      <w:r>
        <w:t>Nifty's own July 1 close was reported as both 23,987.95 and 23,997.20 by different aggregators.</w:t>
      </w:r>
    </w:p>
    <w:p>
      <w:pPr>
        <w:pStyle w:val="ListBullet"/>
      </w:pPr>
      <w:r>
        <w:t>GIFT Nifty's implied gap is internally contradictory between sources — this is the single biggest reason entry permission is YELLOW rather than GREEN today.</w:t>
      </w:r>
    </w:p>
    <w:p/>
    <w:p>
      <w:pPr>
        <w:pStyle w:val="Heading1"/>
      </w:pPr>
      <w:r>
        <w:rPr>
          <w:color w:val="1F3864"/>
        </w:rPr>
        <w:t>Section 2 — Crude Rule Applied</w:t>
      </w:r>
    </w:p>
    <w:p>
      <w:r>
        <w:rPr>
          <w:b/>
          <w:i w:val="0"/>
          <w:sz w:val="24"/>
        </w:rPr>
        <w:t>MODE: AGGRESSIVE BULL (~₹6,600 MCX, using WTI only — never Brent).</w:t>
      </w:r>
    </w:p>
    <w:p>
      <w:pPr>
        <w:pStyle w:val="ListBullet"/>
      </w:pPr>
      <w:r>
        <w:t>This is a sharp regime shift from the last brief (23 Apr): MCX crude proxy was ~₹8,390 then (MILD BULL, caution tilt); it is ~₹6,600 now — a &gt;20% collapse over 10 weeks, driven mainly by WTI falling from ~$89 to ~$70 with only modest INR depreciation (93.80 → ~94.5).</w:t>
      </w:r>
    </w:p>
    <w:p>
      <w:pPr>
        <w:pStyle w:val="ListBullet"/>
      </w:pPr>
      <w:r>
        <w:t>₹6,600 sits ₹900 clear of the ₹7,500 upper boundary of AGGRESSIVE BULL — not a near-boundary situation.</w:t>
      </w:r>
    </w:p>
    <w:p>
      <w:pPr>
        <w:pStyle w:val="ListBullet"/>
      </w:pPr>
      <w:r>
        <w:t>CONTRARIAN NOTE: the Iran/Hormuz conflict is NOT resolved — it is a fragile 60-day MOU already violated once (Iran briefly re-closed the strait after Israel-Hezbollah strikes), with Iran demanding transit tolls the US rejects, and a vessel grounding on a disputed route as recently as July 1. Crude this low despite an unresolved shooting conflict is itself a signal worth distrusting — one bad headline can reprice WTI 5-10% intraday and flip this regime toward CAUTION without much warning.</w:t>
      </w:r>
    </w:p>
    <w:p>
      <w:pPr>
        <w:pStyle w:val="ListBullet"/>
      </w:pPr>
      <w:r>
        <w:t>Critical level: MCX ₹7,500 (regime flip to CAUTION-adjacent), then ₹8,500 (flip to half-size CAUTION).</w:t>
      </w:r>
    </w:p>
    <w:p>
      <w:r>
        <w:rPr>
          <w:b/>
          <w:i w:val="0"/>
          <w:sz w:val="22"/>
        </w:rPr>
        <w:t>Crude-aligned sector bias:</w:t>
      </w:r>
    </w:p>
    <w:p>
      <w:pPr>
        <w:pStyle w:val="ListBullet"/>
      </w:pPr>
      <w:r>
        <w:t>Bullish on falling crude: aviation (IndiGo — lower ATF cost), paints (Asian Paints/Berger — input cost), auto (lower running cost supports demand), OMCs (BPCL/HPCL/IOC — cheaper feedstock, not used today due to sector-cap tradeoffs vs auto/aviation picks).</w:t>
      </w:r>
    </w:p>
    <w:p>
      <w:pPr>
        <w:pStyle w:val="ListBullet"/>
      </w:pPr>
      <w:r>
        <w:t>Bearish on falling crude: upstream producers — ONGC, Oil India, MRPL (lower per-barrel realisations).</w:t>
      </w:r>
    </w:p>
    <w:p/>
    <w:p>
      <w:pPr>
        <w:pStyle w:val="Heading1"/>
      </w:pPr>
      <w:r>
        <w:rPr>
          <w:color w:val="1F3864"/>
        </w:rPr>
        <w:t>Section 3 — Indian Market Internals</w:t>
      </w:r>
    </w:p>
    <w:p>
      <w:r>
        <w:rPr>
          <w:b/>
          <w:i w:val="0"/>
          <w:sz w:val="24"/>
        </w:rPr>
        <w:t>Nifty Technical Levels</w:t>
      </w:r>
    </w:p>
    <w:tbl>
      <w:tblPr>
        <w:tblStyle w:val="LightGrid-Accent1"/>
        <w:tblW w:type="auto" w:w="0"/>
        <w:tblLook w:firstColumn="1" w:firstRow="1" w:lastColumn="0" w:lastRow="0" w:noHBand="0" w:noVBand="1" w:val="04A0"/>
      </w:tblPr>
      <w:tblGrid>
        <w:gridCol w:w="3400"/>
        <w:gridCol w:w="3400"/>
        <w:gridCol w:w="3400"/>
      </w:tblGrid>
      <w:tr>
        <w:tc>
          <w:tcPr>
            <w:tcW w:type="dxa" w:w="3400"/>
            <w:shd w:val="clear" w:color="auto" w:fill="1F3864"/>
          </w:tcPr>
          <w:p>
            <w:r/>
            <w:r>
              <w:rPr>
                <w:b/>
                <w:color w:val="FFFFFF"/>
                <w:sz w:val="22"/>
              </w:rPr>
              <w:t>Level</w:t>
            </w:r>
          </w:p>
        </w:tc>
        <w:tc>
          <w:tcPr>
            <w:tcW w:type="dxa" w:w="3400"/>
            <w:shd w:val="clear" w:color="auto" w:fill="1F3864"/>
          </w:tcPr>
          <w:p>
            <w:r/>
            <w:r>
              <w:rPr>
                <w:b/>
                <w:color w:val="FFFFFF"/>
                <w:sz w:val="22"/>
              </w:rPr>
              <w:t>Value</w:t>
            </w:r>
          </w:p>
        </w:tc>
        <w:tc>
          <w:tcPr>
            <w:tcW w:type="dxa" w:w="3400"/>
            <w:shd w:val="clear" w:color="auto" w:fill="1F3864"/>
          </w:tcPr>
          <w:p>
            <w:r/>
            <w:r>
              <w:rPr>
                <w:b/>
                <w:color w:val="FFFFFF"/>
                <w:sz w:val="22"/>
              </w:rPr>
              <w:t>Meaning</w:t>
            </w:r>
          </w:p>
        </w:tc>
      </w:tr>
      <w:tr>
        <w:tc>
          <w:tcPr>
            <w:tcW w:type="dxa" w:w="3400"/>
          </w:tcPr>
          <w:p>
            <w:r/>
            <w:r>
              <w:rPr>
                <w:b/>
                <w:sz w:val="22"/>
              </w:rPr>
              <w:t>Previous Close (Jul 1)</w:t>
            </w:r>
          </w:p>
        </w:tc>
        <w:tc>
          <w:tcPr>
            <w:tcW w:type="dxa" w:w="3400"/>
          </w:tcPr>
          <w:p>
            <w:r/>
            <w:r>
              <w:rPr>
                <w:sz w:val="22"/>
              </w:rPr>
              <w:t>~23,990 (2 sources: 23,987.95 / 23,997.20)</w:t>
            </w:r>
          </w:p>
        </w:tc>
        <w:tc>
          <w:tcPr>
            <w:tcW w:type="dxa" w:w="3400"/>
          </w:tcPr>
          <w:p>
            <w:r/>
            <w:r>
              <w:rPr>
                <w:sz w:val="22"/>
              </w:rPr>
              <w:t>+0.5% day</w:t>
            </w:r>
          </w:p>
        </w:tc>
      </w:tr>
      <w:tr>
        <w:tc>
          <w:tcPr>
            <w:tcW w:type="dxa" w:w="3400"/>
          </w:tcPr>
          <w:p>
            <w:r/>
            <w:r>
              <w:rPr>
                <w:b/>
                <w:sz w:val="22"/>
              </w:rPr>
              <w:t>Jul 1 Intraday High</w:t>
            </w:r>
          </w:p>
        </w:tc>
        <w:tc>
          <w:tcPr>
            <w:tcW w:type="dxa" w:w="3400"/>
          </w:tcPr>
          <w:p>
            <w:r/>
            <w:r>
              <w:rPr>
                <w:sz w:val="22"/>
              </w:rPr>
              <w:t>24,020.65</w:t>
            </w:r>
          </w:p>
        </w:tc>
        <w:tc>
          <w:tcPr>
            <w:tcW w:type="dxa" w:w="3400"/>
          </w:tcPr>
          <w:p>
            <w:r/>
            <w:r>
              <w:rPr>
                <w:sz w:val="22"/>
              </w:rPr>
              <w:t>Near-term resistance R1</w:t>
            </w:r>
          </w:p>
        </w:tc>
      </w:tr>
      <w:tr>
        <w:tc>
          <w:tcPr>
            <w:tcW w:type="dxa" w:w="3400"/>
          </w:tcPr>
          <w:p>
            <w:r/>
            <w:r>
              <w:rPr>
                <w:b/>
                <w:sz w:val="22"/>
              </w:rPr>
              <w:t>Jul 1 Intraday Low</w:t>
            </w:r>
          </w:p>
        </w:tc>
        <w:tc>
          <w:tcPr>
            <w:tcW w:type="dxa" w:w="3400"/>
          </w:tcPr>
          <w:p>
            <w:r/>
            <w:r>
              <w:rPr>
                <w:sz w:val="22"/>
              </w:rPr>
              <w:t>23,895.10</w:t>
            </w:r>
          </w:p>
        </w:tc>
        <w:tc>
          <w:tcPr>
            <w:tcW w:type="dxa" w:w="3400"/>
          </w:tcPr>
          <w:p>
            <w:r/>
            <w:r>
              <w:rPr>
                <w:sz w:val="22"/>
              </w:rPr>
              <w:t>Near-term support S1</w:t>
            </w:r>
          </w:p>
        </w:tc>
      </w:tr>
      <w:tr>
        <w:tc>
          <w:tcPr>
            <w:tcW w:type="dxa" w:w="3400"/>
          </w:tcPr>
          <w:p>
            <w:r/>
            <w:r>
              <w:rPr>
                <w:b/>
                <w:sz w:val="22"/>
              </w:rPr>
              <w:t>Prior Close (Jun 30)</w:t>
            </w:r>
          </w:p>
        </w:tc>
        <w:tc>
          <w:tcPr>
            <w:tcW w:type="dxa" w:w="3400"/>
          </w:tcPr>
          <w:p>
            <w:r/>
            <w:r>
              <w:rPr>
                <w:sz w:val="22"/>
              </w:rPr>
              <w:t>23,865.75</w:t>
            </w:r>
          </w:p>
        </w:tc>
        <w:tc>
          <w:tcPr>
            <w:tcW w:type="dxa" w:w="3400"/>
          </w:tcPr>
          <w:p>
            <w:r/>
            <w:r>
              <w:rPr>
                <w:sz w:val="22"/>
              </w:rPr>
              <w:t>Support S2 if S1 breaks</w:t>
            </w:r>
          </w:p>
        </w:tc>
      </w:tr>
      <w:tr>
        <w:tc>
          <w:tcPr>
            <w:tcW w:type="dxa" w:w="3400"/>
          </w:tcPr>
          <w:p>
            <w:r/>
            <w:r>
              <w:rPr>
                <w:b/>
                <w:sz w:val="22"/>
              </w:rPr>
              <w:t>GIFT Nifty Implied Open</w:t>
            </w:r>
          </w:p>
        </w:tc>
        <w:tc>
          <w:tcPr>
            <w:tcW w:type="dxa" w:w="3400"/>
          </w:tcPr>
          <w:p>
            <w:r/>
            <w:r>
              <w:rPr>
                <w:sz w:val="22"/>
              </w:rPr>
              <w:t>Uncertain — see flag above</w:t>
            </w:r>
          </w:p>
        </w:tc>
        <w:tc>
          <w:tcPr>
            <w:tcW w:type="dxa" w:w="3400"/>
          </w:tcPr>
          <w:p>
            <w:r/>
            <w:r>
              <w:rPr>
                <w:sz w:val="22"/>
              </w:rPr>
              <w:t>WAIT for first 15-min candle to resolve direction</w:t>
            </w:r>
          </w:p>
        </w:tc>
      </w:tr>
      <w:tr>
        <w:tc>
          <w:tcPr>
            <w:tcW w:type="dxa" w:w="3400"/>
          </w:tcPr>
          <w:p>
            <w:r/>
            <w:r>
              <w:rPr>
                <w:b/>
                <w:sz w:val="22"/>
              </w:rPr>
              <w:t>Weekly Expiry</w:t>
            </w:r>
          </w:p>
        </w:tc>
        <w:tc>
          <w:tcPr>
            <w:tcW w:type="dxa" w:w="3400"/>
          </w:tcPr>
          <w:p>
            <w:r/>
            <w:r>
              <w:rPr>
                <w:sz w:val="22"/>
              </w:rPr>
              <w:t>Tuesdays (moved from Thursday)</w:t>
            </w:r>
          </w:p>
        </w:tc>
        <w:tc>
          <w:tcPr>
            <w:tcW w:type="dxa" w:w="3400"/>
          </w:tcPr>
          <w:p>
            <w:r/>
            <w:r>
              <w:rPr>
                <w:sz w:val="22"/>
              </w:rPr>
              <w:t>Next weekly: Tue 7 Jul — today (Wed) is NOT an expiry day</w:t>
            </w:r>
          </w:p>
        </w:tc>
      </w:tr>
      <w:tr>
        <w:tc>
          <w:tcPr>
            <w:tcW w:type="dxa" w:w="3400"/>
          </w:tcPr>
          <w:p>
            <w:r/>
            <w:r>
              <w:rPr>
                <w:b/>
                <w:sz w:val="22"/>
              </w:rPr>
              <w:t>Monthly Expiry</w:t>
            </w:r>
          </w:p>
        </w:tc>
        <w:tc>
          <w:tcPr>
            <w:tcW w:type="dxa" w:w="3400"/>
          </w:tcPr>
          <w:p>
            <w:r/>
            <w:r>
              <w:rPr>
                <w:sz w:val="22"/>
              </w:rPr>
              <w:t>Last Tuesday of month</w:t>
            </w:r>
          </w:p>
        </w:tc>
        <w:tc>
          <w:tcPr>
            <w:tcW w:type="dxa" w:w="3400"/>
          </w:tcPr>
          <w:p>
            <w:r/>
            <w:r>
              <w:rPr>
                <w:sz w:val="22"/>
              </w:rPr>
              <w:t>Jul 2026 monthly: Tue 28 Jul</w:t>
            </w:r>
          </w:p>
        </w:tc>
      </w:tr>
    </w:tbl>
    <w:p/>
    <w:p>
      <w:r>
        <w:rPr>
          <w:b/>
          <w:i w:val="0"/>
          <w:sz w:val="24"/>
        </w:rPr>
        <w:t>F&amp;O Ban List / Liquidity</w:t>
      </w:r>
    </w:p>
    <w:p>
      <w:pPr>
        <w:pStyle w:val="ListBullet"/>
      </w:pPr>
      <w:r>
        <w:t>Ban list was empty as of Jun 29-30 close per multiple trackers; none of today's shortlisted stocks have appeared on any recent ban reference. Live NSE ban CSV could not be fetched directly (blocked) — OPERATOR MUST manually confirm the live ban list at/before market open before placing any order.</w:t>
      </w:r>
    </w:p>
    <w:p>
      <w:pPr>
        <w:pStyle w:val="ListBullet"/>
      </w:pPr>
      <w:r>
        <w:t>Max pain for the current weekly/monthly series could not be reliably sourced for Jul 2 specifically — treat OI-based conviction as LOW today; do not lean on max-pain gravity as a thesis input.</w:t>
      </w:r>
    </w:p>
    <w:p/>
    <w:p>
      <w:r>
        <w:rPr>
          <w:b/>
          <w:i w:val="0"/>
          <w:sz w:val="24"/>
        </w:rPr>
        <w:t>Sector Color (last few sessions)</w:t>
      </w:r>
    </w:p>
    <w:p>
      <w:pPr>
        <w:pStyle w:val="ListBullet"/>
      </w:pPr>
      <w:r>
        <w:t>Auto: standout — June dispatches strong across the board except Hero MotoCorp (Maruti +19.3%, Tata Motors PV +69%, M&amp;M +37% YoY; Hero MotoCorp down YoY, the sector laggard).</w:t>
      </w:r>
    </w:p>
    <w:p>
      <w:pPr>
        <w:pStyle w:val="ListBullet"/>
      </w:pPr>
      <w:r>
        <w:t>Banking: HDFCBANK, ICICIBANK, KOTAKBANK, SBIN, BAJFINANCE/BAJFINSV supportive of recent index gains.</w:t>
      </w:r>
    </w:p>
    <w:p>
      <w:pPr>
        <w:pStyle w:val="ListBullet"/>
      </w:pPr>
      <w:r>
        <w:t>Pharma: CIPLA, DRREDDY, SUNPHARMA showing recent relative strength (defensive tailwind).</w:t>
      </w:r>
    </w:p>
    <w:p>
      <w:pPr>
        <w:pStyle w:val="ListBullet"/>
      </w:pPr>
      <w:r>
        <w:t>IT: TECHM and INFY firm recently, but Tech Mahindra has sharply diverging fresh brokerage views (CLSA 'high-conviction outperform' vs Jefferies 'underperform') — a volatility flag, avoided today for a clean single-thesis setup.</w:t>
      </w:r>
    </w:p>
    <w:p/>
    <w:p>
      <w:pPr>
        <w:pStyle w:val="Heading1"/>
      </w:pPr>
      <w:r>
        <w:rPr>
          <w:color w:val="1F3864"/>
        </w:rPr>
        <w:t>Section 4 — Contrarian Check (Layer 1/2/3)</w:t>
      </w:r>
    </w:p>
    <w:p>
      <w:r>
        <w:rPr>
          <w:b/>
          <w:i w:val="0"/>
          <w:sz w:val="22"/>
        </w:rPr>
        <w:t>Layer 1 — Surface / Consensus Read:</w:t>
      </w:r>
    </w:p>
    <w:p>
      <w:r>
        <w:rPr>
          <w:b w:val="0"/>
          <w:i/>
          <w:sz w:val="22"/>
        </w:rPr>
        <w:t>"Crude has crashed to ~$70 WTI, Hormuz tensions are cooling with Doha talks resuming, Fed held rates, DII buying is cushioning FII selling, Nifty just reclaimed 24,000, and auto stocks are rallying hard on blowout June sales. This is a risk-on tape — buy the dip."</w:t>
      </w:r>
    </w:p>
    <w:p>
      <w:r>
        <w:rPr>
          <w:b/>
          <w:i w:val="0"/>
          <w:sz w:val="22"/>
        </w:rPr>
        <w:t>Layer 2 — What Consensus Is Likely Wrong About:</w:t>
      </w:r>
    </w:p>
    <w:p>
      <w:pPr>
        <w:pStyle w:val="ListBullet"/>
      </w:pPr>
      <w:r>
        <w:t>The Hormuz 'de-escalation' is a fragile 60-day MOU already breached once, with Iran-US transit-toll talks unresolved and a vessel grounding on a disputed route as recently as yesterday — not a settled ceasefire.</w:t>
      </w:r>
    </w:p>
    <w:p>
      <w:pPr>
        <w:pStyle w:val="ListBullet"/>
      </w:pPr>
      <w:r>
        <w:t>GIFT Nifty's own pre-market signal is internally contradictory across sources — the market isn't even giving a clean directional read yet, which the 'confident gap-up' narrative glosses over.</w:t>
      </w:r>
    </w:p>
    <w:p>
      <w:pPr>
        <w:pStyle w:val="ListBullet"/>
      </w:pPr>
      <w:r>
        <w:t>The Fed's dot plot just flipped hawkish (9 of 19 members now lean toward a 2026 HIKE, not a cut) — a headwind for EM/INR flows that the 'DII is cushioning FII selling' story can mask only temporarily; FII has already sold &gt;₹43,000 cr in June alone.</w:t>
      </w:r>
    </w:p>
    <w:p>
      <w:r>
        <w:rPr>
          <w:b/>
          <w:i w:val="0"/>
          <w:sz w:val="22"/>
        </w:rPr>
        <w:t>Layer 3 — What's Being Underestimated:</w:t>
      </w:r>
    </w:p>
    <w:p>
      <w:pPr>
        <w:pStyle w:val="ListBullet"/>
      </w:pPr>
      <w:r>
        <w:t>Monsoon is the quiet, unpriced risk: June 2026 was the 5th driest since 1901 (40% below normal), and IMD's July outlook is also below-normal (&lt;94% LPA). This is a slow-burn negative for rural consumption, FMCG and auto-financing demand that today's crude-crash euphoria is currently drowning out.</w:t>
      </w:r>
    </w:p>
    <w:p>
      <w:pPr>
        <w:pStyle w:val="ListBullet"/>
      </w:pPr>
      <w:r>
        <w:t>The India-US trade deal has a real dated catalyst this month — the current US tariff framework expires 24 July 2026, and the deal is 'near final' but NOT signed. A slip past that date without signature could reverse sentiment sharply; a signature could extend the rally.</w:t>
      </w:r>
    </w:p>
    <w:p>
      <w:pPr>
        <w:pStyle w:val="ListBullet"/>
      </w:pPr>
      <w:r>
        <w:t>Tech Mahindra's fresh, sharply diverging brokerage calls (CLSA bullish vs Jefferies bearish, both new) hint at disagreement beneath an otherwise calm IT-sector surface.</w:t>
      </w:r>
    </w:p>
    <w:p>
      <w:r>
        <w:rPr>
          <w:b w:val="0"/>
          <w:i w:val="0"/>
          <w:sz w:val="22"/>
        </w:rPr>
        <w:t>Flip triggers: BEARISH — any fresh Iran/Hormuz/Israel-Lebanon escalation headline, MCX crude spiking back through ₹7,500, or GIFT Nifty resolving red at the actual open.</w:t>
      </w:r>
    </w:p>
    <w:p>
      <w:r>
        <w:rPr>
          <w:b w:val="0"/>
          <w:i w:val="0"/>
          <w:sz w:val="22"/>
        </w:rPr>
        <w:t>Flip triggers: BULLISH — Hormuz status holding calm for 3-5 more sessions, and/or the India-US trade deal being signed ahead of the 24 Jul deadline.</w:t>
      </w:r>
    </w:p>
    <w:p>
      <w:r>
        <w:rPr>
          <w:b/>
          <w:i w:val="0"/>
          <w:color w:val="E69138"/>
          <w:sz w:val="24"/>
        </w:rPr>
        <w:t>Entry Permission: YELLOW — wait for the first 45-60 minutes to see which GIFT Nifty read (gap-up vs flat/red) actually resolves before sizing up.</w:t>
      </w:r>
    </w:p>
    <w:p/>
    <w:p>
      <w:pPr>
        <w:pStyle w:val="Heading1"/>
      </w:pPr>
      <w:r>
        <w:rPr>
          <w:color w:val="1F3864"/>
        </w:rPr>
        <w:t>Section 5 — Stock Setups</w:t>
      </w:r>
    </w:p>
    <w:p>
      <w:r>
        <w:rPr>
          <w:b/>
          <w:i w:val="0"/>
          <w:color w:val="C00000"/>
          <w:sz w:val="21"/>
        </w:rPr>
        <w:t>CAPITAL-FIT FLAG: at current prices, ALL 6 stocks below fail the routine's own eligibility filter (lot size × spot × 3% &lt; ₹15,000) for a ₹2,00,000 account — the closest is ONGC at ~₹15,832 (3% over), the worst is Bharti Airtel at ~₹26,391 (76% over). This likely reflects 10 weeks of price drift since the filter was last calibrated. Recommended handling for today: 1 lot only per name, treat as REDUCED CONVICTION size regardless of grade, and paper-track premium-based R:R rather than underlying R:R — do not scale up until smaller-notional alternatives are identified or the filter is re-benchmarked.</w:t>
      </w:r>
    </w:p>
    <w:p/>
    <w:p>
      <w:r>
        <w:rPr>
          <w:b/>
          <w:i w:val="0"/>
          <w:color w:val="1F3864"/>
          <w:sz w:val="26"/>
        </w:rPr>
        <w:t>#1 — MARUTI SUZUKI (MARUTI) CALL — Grade A</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D9E1F2"/>
          </w:tcPr>
          <w:p>
            <w:r/>
            <w:r>
              <w:rPr>
                <w:b/>
                <w:sz w:val="22"/>
              </w:rPr>
              <w:t>CMP / Lot</w:t>
            </w:r>
          </w:p>
        </w:tc>
        <w:tc>
          <w:tcPr>
            <w:tcW w:type="dxa" w:w="5100"/>
          </w:tcPr>
          <w:p>
            <w:r/>
            <w:r>
              <w:rPr>
                <w:sz w:val="22"/>
              </w:rPr>
              <w:t>₹14,395 (Jul 1 close) / Lot 50 — notional ₹7.2L, fails ₹15k capital-fit filter</w:t>
            </w:r>
          </w:p>
        </w:tc>
      </w:tr>
      <w:tr>
        <w:tc>
          <w:tcPr>
            <w:tcW w:type="dxa" w:w="5100"/>
            <w:shd w:val="clear" w:color="auto" w:fill="D9E1F2"/>
          </w:tcPr>
          <w:p>
            <w:r/>
            <w:r>
              <w:rPr>
                <w:b/>
                <w:sz w:val="22"/>
              </w:rPr>
              <w:t>Sector</w:t>
            </w:r>
          </w:p>
        </w:tc>
        <w:tc>
          <w:tcPr>
            <w:tcW w:type="dxa" w:w="5100"/>
          </w:tcPr>
          <w:p>
            <w:r/>
            <w:r>
              <w:rPr>
                <w:sz w:val="22"/>
              </w:rPr>
              <w:t>Auto</w:t>
            </w:r>
          </w:p>
        </w:tc>
      </w:tr>
      <w:tr>
        <w:tc>
          <w:tcPr>
            <w:tcW w:type="dxa" w:w="5100"/>
            <w:shd w:val="clear" w:color="auto" w:fill="D9E1F2"/>
          </w:tcPr>
          <w:p>
            <w:r/>
            <w:r>
              <w:rPr>
                <w:b/>
                <w:sz w:val="22"/>
              </w:rPr>
              <w:t>Why this grade</w:t>
            </w:r>
          </w:p>
        </w:tc>
        <w:tc>
          <w:tcPr>
            <w:tcW w:type="dxa" w:w="5100"/>
          </w:tcPr>
          <w:p>
            <w:r/>
            <w:r>
              <w:rPr>
                <w:sz w:val="22"/>
              </w:rPr>
              <w:t>June sales +19.3% YoY (200,390 units) blowout + fresh Jefferies upgrade (target ₹16,500) + macro tailwind from aggressive-bull crude (lower running costs). Capped at A (not A+) given the 10-week calibration gap.</w:t>
            </w:r>
          </w:p>
        </w:tc>
      </w:tr>
      <w:tr>
        <w:tc>
          <w:tcPr>
            <w:tcW w:type="dxa" w:w="5100"/>
            <w:shd w:val="clear" w:color="auto" w:fill="D9E1F2"/>
          </w:tcPr>
          <w:p>
            <w:r/>
            <w:r>
              <w:rPr>
                <w:b/>
                <w:sz w:val="22"/>
              </w:rPr>
              <w:t>Option Setup</w:t>
            </w:r>
          </w:p>
        </w:tc>
        <w:tc>
          <w:tcPr>
            <w:tcW w:type="dxa" w:w="5100"/>
          </w:tcPr>
          <w:p>
            <w:r/>
            <w:r>
              <w:rPr>
                <w:sz w:val="22"/>
              </w:rPr>
              <w:t>July monthly expiry (28 Jul), ATM/slightly OTM CE — do not use a weekly</w:t>
            </w:r>
          </w:p>
        </w:tc>
      </w:tr>
      <w:tr>
        <w:tc>
          <w:tcPr>
            <w:tcW w:type="dxa" w:w="5100"/>
            <w:shd w:val="clear" w:color="auto" w:fill="D9E1F2"/>
          </w:tcPr>
          <w:p>
            <w:r/>
            <w:r>
              <w:rPr>
                <w:b/>
                <w:sz w:val="22"/>
              </w:rPr>
              <w:t>Entry Trigger</w:t>
            </w:r>
          </w:p>
        </w:tc>
        <w:tc>
          <w:tcPr>
            <w:tcW w:type="dxa" w:w="5100"/>
          </w:tcPr>
          <w:p>
            <w:r/>
            <w:r>
              <w:rPr>
                <w:sz w:val="22"/>
              </w:rPr>
              <w:t>(1) Nifty Auto index green at open (2) Maruti 15-min close above ₹14,450 (3) volume above 20-day average (4) India VIX stays under 15</w:t>
            </w:r>
          </w:p>
        </w:tc>
      </w:tr>
      <w:tr>
        <w:tc>
          <w:tcPr>
            <w:tcW w:type="dxa" w:w="5100"/>
            <w:shd w:val="clear" w:color="auto" w:fill="D9E1F2"/>
          </w:tcPr>
          <w:p>
            <w:r/>
            <w:r>
              <w:rPr>
                <w:b/>
                <w:sz w:val="22"/>
              </w:rPr>
              <w:t>T1 / T2</w:t>
            </w:r>
          </w:p>
        </w:tc>
        <w:tc>
          <w:tcPr>
            <w:tcW w:type="dxa" w:w="5100"/>
          </w:tcPr>
          <w:p>
            <w:r/>
            <w:r>
              <w:rPr>
                <w:sz w:val="22"/>
              </w:rPr>
              <w:t>+3% (~₹14,827) / +5% (~₹15,115) — book 40% each</w:t>
            </w:r>
          </w:p>
        </w:tc>
      </w:tr>
      <w:tr>
        <w:tc>
          <w:tcPr>
            <w:tcW w:type="dxa" w:w="5100"/>
            <w:shd w:val="clear" w:color="auto" w:fill="D9E1F2"/>
          </w:tcPr>
          <w:p>
            <w:r/>
            <w:r>
              <w:rPr>
                <w:b/>
                <w:sz w:val="22"/>
              </w:rPr>
              <w:t>Stop Loss</w:t>
            </w:r>
          </w:p>
        </w:tc>
        <w:tc>
          <w:tcPr>
            <w:tcW w:type="dxa" w:w="5100"/>
          </w:tcPr>
          <w:p>
            <w:r/>
            <w:r>
              <w:rPr>
                <w:sz w:val="22"/>
              </w:rPr>
              <w:t>15-min close below ₹14,150 (~-1.7%)</w:t>
            </w:r>
          </w:p>
        </w:tc>
      </w:tr>
      <w:tr>
        <w:tc>
          <w:tcPr>
            <w:tcW w:type="dxa" w:w="5100"/>
            <w:shd w:val="clear" w:color="auto" w:fill="D9E1F2"/>
          </w:tcPr>
          <w:p>
            <w:r/>
            <w:r>
              <w:rPr>
                <w:b/>
                <w:sz w:val="22"/>
              </w:rPr>
              <w:t>R:R</w:t>
            </w:r>
          </w:p>
        </w:tc>
        <w:tc>
          <w:tcPr>
            <w:tcW w:type="dxa" w:w="5100"/>
          </w:tcPr>
          <w:p>
            <w:r/>
            <w:r>
              <w:rPr>
                <w:sz w:val="22"/>
              </w:rPr>
              <w:t>Est. ≥2:1 on option premium basis — verify against live premium before entry</w:t>
            </w:r>
          </w:p>
        </w:tc>
      </w:tr>
      <w:tr>
        <w:tc>
          <w:tcPr>
            <w:tcW w:type="dxa" w:w="5100"/>
            <w:shd w:val="clear" w:color="auto" w:fill="D9E1F2"/>
          </w:tcPr>
          <w:p>
            <w:r/>
            <w:r>
              <w:rPr>
                <w:b/>
                <w:sz w:val="22"/>
              </w:rPr>
              <w:t>Time Stop</w:t>
            </w:r>
          </w:p>
        </w:tc>
        <w:tc>
          <w:tcPr>
            <w:tcW w:type="dxa" w:w="5100"/>
          </w:tcPr>
          <w:p>
            <w:r/>
            <w:r>
              <w:rPr>
                <w:sz w:val="22"/>
              </w:rPr>
              <w:t>Exit if trigger not met within 60 minutes of open</w:t>
            </w:r>
          </w:p>
        </w:tc>
      </w:tr>
    </w:tbl>
    <w:p/>
    <w:p>
      <w:r>
        <w:rPr>
          <w:b/>
          <w:i w:val="0"/>
          <w:color w:val="1F3864"/>
          <w:sz w:val="26"/>
        </w:rPr>
        <w:t>#2 — HERO MOTOCORP (HEROMOTOCO) PUT — Grade B+</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D9E1F2"/>
          </w:tcPr>
          <w:p>
            <w:r/>
            <w:r>
              <w:rPr>
                <w:b/>
                <w:sz w:val="22"/>
              </w:rPr>
              <w:t>CMP / Lot</w:t>
            </w:r>
          </w:p>
        </w:tc>
        <w:tc>
          <w:tcPr>
            <w:tcW w:type="dxa" w:w="5100"/>
          </w:tcPr>
          <w:p>
            <w:r/>
            <w:r>
              <w:rPr>
                <w:sz w:val="22"/>
              </w:rPr>
              <w:t>₹4,851.6 (Jul 1 close) / Lot 150 — notional ₹7.3L, fails capital-fit filter</w:t>
            </w:r>
          </w:p>
        </w:tc>
      </w:tr>
      <w:tr>
        <w:tc>
          <w:tcPr>
            <w:tcW w:type="dxa" w:w="5100"/>
            <w:shd w:val="clear" w:color="auto" w:fill="D9E1F2"/>
          </w:tcPr>
          <w:p>
            <w:r/>
            <w:r>
              <w:rPr>
                <w:b/>
                <w:sz w:val="22"/>
              </w:rPr>
              <w:t>Sector</w:t>
            </w:r>
          </w:p>
        </w:tc>
        <w:tc>
          <w:tcPr>
            <w:tcW w:type="dxa" w:w="5100"/>
          </w:tcPr>
          <w:p>
            <w:r/>
            <w:r>
              <w:rPr>
                <w:sz w:val="22"/>
              </w:rPr>
              <w:t>Auto (pairs with Maruti — 2-stock sector cap, mixed direction)</w:t>
            </w:r>
          </w:p>
        </w:tc>
      </w:tr>
      <w:tr>
        <w:tc>
          <w:tcPr>
            <w:tcW w:type="dxa" w:w="5100"/>
            <w:shd w:val="clear" w:color="auto" w:fill="D9E1F2"/>
          </w:tcPr>
          <w:p>
            <w:r/>
            <w:r>
              <w:rPr>
                <w:b/>
                <w:sz w:val="22"/>
              </w:rPr>
              <w:t>Why this grade</w:t>
            </w:r>
          </w:p>
        </w:tc>
        <w:tc>
          <w:tcPr>
            <w:tcW w:type="dxa" w:w="5100"/>
          </w:tcPr>
          <w:p>
            <w:r/>
            <w:r>
              <w:rPr>
                <w:sz w:val="22"/>
              </w:rPr>
              <w:t>Lone auto laggard in June dispatch data — down YoY (541,159 units) while every other major OEM posted double-digit growth. Single relative-underperformance catalyst.</w:t>
            </w:r>
          </w:p>
        </w:tc>
      </w:tr>
      <w:tr>
        <w:tc>
          <w:tcPr>
            <w:tcW w:type="dxa" w:w="5100"/>
            <w:shd w:val="clear" w:color="auto" w:fill="D9E1F2"/>
          </w:tcPr>
          <w:p>
            <w:r/>
            <w:r>
              <w:rPr>
                <w:b/>
                <w:sz w:val="22"/>
              </w:rPr>
              <w:t>Option Setup</w:t>
            </w:r>
          </w:p>
        </w:tc>
        <w:tc>
          <w:tcPr>
            <w:tcW w:type="dxa" w:w="5100"/>
          </w:tcPr>
          <w:p>
            <w:r/>
            <w:r>
              <w:rPr>
                <w:sz w:val="22"/>
              </w:rPr>
              <w:t>July monthly expiry, ATM/OTM PE</w:t>
            </w:r>
          </w:p>
        </w:tc>
      </w:tr>
      <w:tr>
        <w:tc>
          <w:tcPr>
            <w:tcW w:type="dxa" w:w="5100"/>
            <w:shd w:val="clear" w:color="auto" w:fill="D9E1F2"/>
          </w:tcPr>
          <w:p>
            <w:r/>
            <w:r>
              <w:rPr>
                <w:b/>
                <w:sz w:val="22"/>
              </w:rPr>
              <w:t>Entry Trigger</w:t>
            </w:r>
          </w:p>
        </w:tc>
        <w:tc>
          <w:tcPr>
            <w:tcW w:type="dxa" w:w="5100"/>
          </w:tcPr>
          <w:p>
            <w:r/>
            <w:r>
              <w:rPr>
                <w:sz w:val="22"/>
              </w:rPr>
              <w:t>(1) Stock fails to reclaim ₹4,857 (2) 15-min close below ₹4,807 (3) Maruti/sector not confirming strength (4) no fresh Hero-specific news reversing the sales miss</w:t>
            </w:r>
          </w:p>
        </w:tc>
      </w:tr>
      <w:tr>
        <w:tc>
          <w:tcPr>
            <w:tcW w:type="dxa" w:w="5100"/>
            <w:shd w:val="clear" w:color="auto" w:fill="D9E1F2"/>
          </w:tcPr>
          <w:p>
            <w:r/>
            <w:r>
              <w:rPr>
                <w:b/>
                <w:sz w:val="22"/>
              </w:rPr>
              <w:t>T1 / T2</w:t>
            </w:r>
          </w:p>
        </w:tc>
        <w:tc>
          <w:tcPr>
            <w:tcW w:type="dxa" w:w="5100"/>
          </w:tcPr>
          <w:p>
            <w:r/>
            <w:r>
              <w:rPr>
                <w:sz w:val="22"/>
              </w:rPr>
              <w:t>-3% (~₹4,706) / -5% (~₹4,609)</w:t>
            </w:r>
          </w:p>
        </w:tc>
      </w:tr>
      <w:tr>
        <w:tc>
          <w:tcPr>
            <w:tcW w:type="dxa" w:w="5100"/>
            <w:shd w:val="clear" w:color="auto" w:fill="D9E1F2"/>
          </w:tcPr>
          <w:p>
            <w:r/>
            <w:r>
              <w:rPr>
                <w:b/>
                <w:sz w:val="22"/>
              </w:rPr>
              <w:t>Stop Loss</w:t>
            </w:r>
          </w:p>
        </w:tc>
        <w:tc>
          <w:tcPr>
            <w:tcW w:type="dxa" w:w="5100"/>
          </w:tcPr>
          <w:p>
            <w:r/>
            <w:r>
              <w:rPr>
                <w:sz w:val="22"/>
              </w:rPr>
              <w:t>15-min close above ₹4,857</w:t>
            </w:r>
          </w:p>
        </w:tc>
      </w:tr>
      <w:tr>
        <w:tc>
          <w:tcPr>
            <w:tcW w:type="dxa" w:w="5100"/>
            <w:shd w:val="clear" w:color="auto" w:fill="D9E1F2"/>
          </w:tcPr>
          <w:p>
            <w:r/>
            <w:r>
              <w:rPr>
                <w:b/>
                <w:sz w:val="22"/>
              </w:rPr>
              <w:t>R:R</w:t>
            </w:r>
          </w:p>
        </w:tc>
        <w:tc>
          <w:tcPr>
            <w:tcW w:type="dxa" w:w="5100"/>
          </w:tcPr>
          <w:p>
            <w:r/>
            <w:r>
              <w:rPr>
                <w:sz w:val="22"/>
              </w:rPr>
              <w:t>Est. ≥2:1 on option premium basis — verify live</w:t>
            </w:r>
          </w:p>
        </w:tc>
      </w:tr>
      <w:tr>
        <w:tc>
          <w:tcPr>
            <w:tcW w:type="dxa" w:w="5100"/>
            <w:shd w:val="clear" w:color="auto" w:fill="D9E1F2"/>
          </w:tcPr>
          <w:p>
            <w:r/>
            <w:r>
              <w:rPr>
                <w:b/>
                <w:sz w:val="22"/>
              </w:rPr>
              <w:t>Time Stop</w:t>
            </w:r>
          </w:p>
        </w:tc>
        <w:tc>
          <w:tcPr>
            <w:tcW w:type="dxa" w:w="5100"/>
          </w:tcPr>
          <w:p>
            <w:r/>
            <w:r>
              <w:rPr>
                <w:sz w:val="22"/>
              </w:rPr>
              <w:t>60 minutes</w:t>
            </w:r>
          </w:p>
        </w:tc>
      </w:tr>
    </w:tbl>
    <w:p/>
    <w:p>
      <w:r>
        <w:rPr>
          <w:b/>
          <w:i w:val="0"/>
          <w:color w:val="1F3864"/>
          <w:sz w:val="26"/>
        </w:rPr>
        <w:t>#3 — INDIGO / INTERGLOBE AVIATION (INDIGO) CALL — Grade B+</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D9E1F2"/>
          </w:tcPr>
          <w:p>
            <w:r/>
            <w:r>
              <w:rPr>
                <w:b/>
                <w:sz w:val="22"/>
              </w:rPr>
              <w:t>CMP / Lot</w:t>
            </w:r>
          </w:p>
        </w:tc>
        <w:tc>
          <w:tcPr>
            <w:tcW w:type="dxa" w:w="5100"/>
          </w:tcPr>
          <w:p>
            <w:r/>
            <w:r>
              <w:rPr>
                <w:sz w:val="22"/>
              </w:rPr>
              <w:t>₹5,388.50 (Jul 1) / Lot 150 — notional ₹8.1L, fails capital-fit filter</w:t>
            </w:r>
          </w:p>
        </w:tc>
      </w:tr>
      <w:tr>
        <w:tc>
          <w:tcPr>
            <w:tcW w:type="dxa" w:w="5100"/>
            <w:shd w:val="clear" w:color="auto" w:fill="D9E1F2"/>
          </w:tcPr>
          <w:p>
            <w:r/>
            <w:r>
              <w:rPr>
                <w:b/>
                <w:sz w:val="22"/>
              </w:rPr>
              <w:t>Sector</w:t>
            </w:r>
          </w:p>
        </w:tc>
        <w:tc>
          <w:tcPr>
            <w:tcW w:type="dxa" w:w="5100"/>
          </w:tcPr>
          <w:p>
            <w:r/>
            <w:r>
              <w:rPr>
                <w:sz w:val="22"/>
              </w:rPr>
              <w:t>Aviation</w:t>
            </w:r>
          </w:p>
        </w:tc>
      </w:tr>
      <w:tr>
        <w:tc>
          <w:tcPr>
            <w:tcW w:type="dxa" w:w="5100"/>
            <w:shd w:val="clear" w:color="auto" w:fill="D9E1F2"/>
          </w:tcPr>
          <w:p>
            <w:r/>
            <w:r>
              <w:rPr>
                <w:b/>
                <w:sz w:val="22"/>
              </w:rPr>
              <w:t>Why this grade</w:t>
            </w:r>
          </w:p>
        </w:tc>
        <w:tc>
          <w:tcPr>
            <w:tcW w:type="dxa" w:w="5100"/>
          </w:tcPr>
          <w:p>
            <w:r/>
            <w:r>
              <w:rPr>
                <w:sz w:val="22"/>
              </w:rPr>
              <w:t>Direct beneficiary of the aggressive-bull crude regime — lower ATF cost. Single strong macro catalyst + crude-regime alignment.</w:t>
            </w:r>
          </w:p>
        </w:tc>
      </w:tr>
      <w:tr>
        <w:tc>
          <w:tcPr>
            <w:tcW w:type="dxa" w:w="5100"/>
            <w:shd w:val="clear" w:color="auto" w:fill="D9E1F2"/>
          </w:tcPr>
          <w:p>
            <w:r/>
            <w:r>
              <w:rPr>
                <w:b/>
                <w:sz w:val="22"/>
              </w:rPr>
              <w:t>Option Setup</w:t>
            </w:r>
          </w:p>
        </w:tc>
        <w:tc>
          <w:tcPr>
            <w:tcW w:type="dxa" w:w="5100"/>
          </w:tcPr>
          <w:p>
            <w:r/>
            <w:r>
              <w:rPr>
                <w:sz w:val="22"/>
              </w:rPr>
              <w:t>July monthly, ATM CE</w:t>
            </w:r>
          </w:p>
        </w:tc>
      </w:tr>
      <w:tr>
        <w:tc>
          <w:tcPr>
            <w:tcW w:type="dxa" w:w="5100"/>
            <w:shd w:val="clear" w:color="auto" w:fill="D9E1F2"/>
          </w:tcPr>
          <w:p>
            <w:r/>
            <w:r>
              <w:rPr>
                <w:b/>
                <w:sz w:val="22"/>
              </w:rPr>
              <w:t>Entry Trigger</w:t>
            </w:r>
          </w:p>
        </w:tc>
        <w:tc>
          <w:tcPr>
            <w:tcW w:type="dxa" w:w="5100"/>
          </w:tcPr>
          <w:p>
            <w:r/>
            <w:r>
              <w:rPr>
                <w:sz w:val="22"/>
              </w:rPr>
              <w:t>(1) Brent stays under $75 / MCX crude under ₹7,000 (2) 15-min close above ₹5,395 (3) no fresh Hormuz escalation headline (4) VIX under 15</w:t>
            </w:r>
          </w:p>
        </w:tc>
      </w:tr>
      <w:tr>
        <w:tc>
          <w:tcPr>
            <w:tcW w:type="dxa" w:w="5100"/>
            <w:shd w:val="clear" w:color="auto" w:fill="D9E1F2"/>
          </w:tcPr>
          <w:p>
            <w:r/>
            <w:r>
              <w:rPr>
                <w:b/>
                <w:sz w:val="22"/>
              </w:rPr>
              <w:t>T1 / T2</w:t>
            </w:r>
          </w:p>
        </w:tc>
        <w:tc>
          <w:tcPr>
            <w:tcW w:type="dxa" w:w="5100"/>
          </w:tcPr>
          <w:p>
            <w:r/>
            <w:r>
              <w:rPr>
                <w:sz w:val="22"/>
              </w:rPr>
              <w:t>+3% (~₹5,550) / +5% (~₹5,658)</w:t>
            </w:r>
          </w:p>
        </w:tc>
      </w:tr>
      <w:tr>
        <w:tc>
          <w:tcPr>
            <w:tcW w:type="dxa" w:w="5100"/>
            <w:shd w:val="clear" w:color="auto" w:fill="D9E1F2"/>
          </w:tcPr>
          <w:p>
            <w:r/>
            <w:r>
              <w:rPr>
                <w:b/>
                <w:sz w:val="22"/>
              </w:rPr>
              <w:t>Stop Loss</w:t>
            </w:r>
          </w:p>
        </w:tc>
        <w:tc>
          <w:tcPr>
            <w:tcW w:type="dxa" w:w="5100"/>
          </w:tcPr>
          <w:p>
            <w:r/>
            <w:r>
              <w:rPr>
                <w:sz w:val="22"/>
              </w:rPr>
              <w:t>15-min close below ₹5,329, OR immediate exit on any Hormuz escalation headline</w:t>
            </w:r>
          </w:p>
        </w:tc>
      </w:tr>
      <w:tr>
        <w:tc>
          <w:tcPr>
            <w:tcW w:type="dxa" w:w="5100"/>
            <w:shd w:val="clear" w:color="auto" w:fill="D9E1F2"/>
          </w:tcPr>
          <w:p>
            <w:r/>
            <w:r>
              <w:rPr>
                <w:b/>
                <w:sz w:val="22"/>
              </w:rPr>
              <w:t>R:R</w:t>
            </w:r>
          </w:p>
        </w:tc>
        <w:tc>
          <w:tcPr>
            <w:tcW w:type="dxa" w:w="5100"/>
          </w:tcPr>
          <w:p>
            <w:r/>
            <w:r>
              <w:rPr>
                <w:sz w:val="22"/>
              </w:rPr>
              <w:t>Est. ≥2:1 on option premium basis — verify live</w:t>
            </w:r>
          </w:p>
        </w:tc>
      </w:tr>
      <w:tr>
        <w:tc>
          <w:tcPr>
            <w:tcW w:type="dxa" w:w="5100"/>
            <w:shd w:val="clear" w:color="auto" w:fill="D9E1F2"/>
          </w:tcPr>
          <w:p>
            <w:r/>
            <w:r>
              <w:rPr>
                <w:b/>
                <w:sz w:val="22"/>
              </w:rPr>
              <w:t>Time Stop</w:t>
            </w:r>
          </w:p>
        </w:tc>
        <w:tc>
          <w:tcPr>
            <w:tcW w:type="dxa" w:w="5100"/>
          </w:tcPr>
          <w:p>
            <w:r/>
            <w:r>
              <w:rPr>
                <w:sz w:val="22"/>
              </w:rPr>
              <w:t>60 minutes</w:t>
            </w:r>
          </w:p>
        </w:tc>
      </w:tr>
    </w:tbl>
    <w:p/>
    <w:p>
      <w:r>
        <w:rPr>
          <w:b/>
          <w:i w:val="0"/>
          <w:color w:val="1F3864"/>
          <w:sz w:val="26"/>
        </w:rPr>
        <w:t>#4 — ONGC PUT — Grade B+</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D9E1F2"/>
          </w:tcPr>
          <w:p>
            <w:r/>
            <w:r>
              <w:rPr>
                <w:b/>
                <w:sz w:val="22"/>
              </w:rPr>
              <w:t>CMP / Lot</w:t>
            </w:r>
          </w:p>
        </w:tc>
        <w:tc>
          <w:tcPr>
            <w:tcW w:type="dxa" w:w="5100"/>
          </w:tcPr>
          <w:p>
            <w:r/>
            <w:r>
              <w:rPr>
                <w:sz w:val="22"/>
              </w:rPr>
              <w:t>₹234.55 (Jun 30 close, cross-confirmed) / Lot 2250 — notional ₹5.3L, ~3% over capital-fit filter (closest fit of the 6)</w:t>
            </w:r>
          </w:p>
        </w:tc>
      </w:tr>
      <w:tr>
        <w:tc>
          <w:tcPr>
            <w:tcW w:type="dxa" w:w="5100"/>
            <w:shd w:val="clear" w:color="auto" w:fill="D9E1F2"/>
          </w:tcPr>
          <w:p>
            <w:r/>
            <w:r>
              <w:rPr>
                <w:b/>
                <w:sz w:val="22"/>
              </w:rPr>
              <w:t>Sector</w:t>
            </w:r>
          </w:p>
        </w:tc>
        <w:tc>
          <w:tcPr>
            <w:tcW w:type="dxa" w:w="5100"/>
          </w:tcPr>
          <w:p>
            <w:r/>
            <w:r>
              <w:rPr>
                <w:sz w:val="22"/>
              </w:rPr>
              <w:t>Energy / Upstream Oil &amp; Gas</w:t>
            </w:r>
          </w:p>
        </w:tc>
      </w:tr>
      <w:tr>
        <w:tc>
          <w:tcPr>
            <w:tcW w:type="dxa" w:w="5100"/>
            <w:shd w:val="clear" w:color="auto" w:fill="D9E1F2"/>
          </w:tcPr>
          <w:p>
            <w:r/>
            <w:r>
              <w:rPr>
                <w:b/>
                <w:sz w:val="22"/>
              </w:rPr>
              <w:t>Why this grade</w:t>
            </w:r>
          </w:p>
        </w:tc>
        <w:tc>
          <w:tcPr>
            <w:tcW w:type="dxa" w:w="5100"/>
          </w:tcPr>
          <w:p>
            <w:r/>
            <w:r>
              <w:rPr>
                <w:sz w:val="22"/>
              </w:rPr>
              <w:t>Direct inverse trade on the aggressive-bull crude thesis — upstream realisations get squeezed as WTI falls further; contrarian hedge against the crude-regime call itself.</w:t>
            </w:r>
          </w:p>
        </w:tc>
      </w:tr>
      <w:tr>
        <w:tc>
          <w:tcPr>
            <w:tcW w:type="dxa" w:w="5100"/>
            <w:shd w:val="clear" w:color="auto" w:fill="D9E1F2"/>
          </w:tcPr>
          <w:p>
            <w:r/>
            <w:r>
              <w:rPr>
                <w:b/>
                <w:sz w:val="22"/>
              </w:rPr>
              <w:t>Option Setup</w:t>
            </w:r>
          </w:p>
        </w:tc>
        <w:tc>
          <w:tcPr>
            <w:tcW w:type="dxa" w:w="5100"/>
          </w:tcPr>
          <w:p>
            <w:r/>
            <w:r>
              <w:rPr>
                <w:sz w:val="22"/>
              </w:rPr>
              <w:t>July monthly, ATM/OTM PE</w:t>
            </w:r>
          </w:p>
        </w:tc>
      </w:tr>
      <w:tr>
        <w:tc>
          <w:tcPr>
            <w:tcW w:type="dxa" w:w="5100"/>
            <w:shd w:val="clear" w:color="auto" w:fill="D9E1F2"/>
          </w:tcPr>
          <w:p>
            <w:r/>
            <w:r>
              <w:rPr>
                <w:b/>
                <w:sz w:val="22"/>
              </w:rPr>
              <w:t>Entry Trigger</w:t>
            </w:r>
          </w:p>
        </w:tc>
        <w:tc>
          <w:tcPr>
            <w:tcW w:type="dxa" w:w="5100"/>
          </w:tcPr>
          <w:p>
            <w:r/>
            <w:r>
              <w:rPr>
                <w:sz w:val="22"/>
              </w:rPr>
              <w:t>(1) WTI/MCX crude trending lower intraday (2) 15-min close below ₹230 (3) no fresh Iran-supply-shock headline (which would reverse this thesis) (4) sector (BPCL/HPCL) confirming softness</w:t>
            </w:r>
          </w:p>
        </w:tc>
      </w:tr>
      <w:tr>
        <w:tc>
          <w:tcPr>
            <w:tcW w:type="dxa" w:w="5100"/>
            <w:shd w:val="clear" w:color="auto" w:fill="D9E1F2"/>
          </w:tcPr>
          <w:p>
            <w:r/>
            <w:r>
              <w:rPr>
                <w:b/>
                <w:sz w:val="22"/>
              </w:rPr>
              <w:t>T1 / T2</w:t>
            </w:r>
          </w:p>
        </w:tc>
        <w:tc>
          <w:tcPr>
            <w:tcW w:type="dxa" w:w="5100"/>
          </w:tcPr>
          <w:p>
            <w:r/>
            <w:r>
              <w:rPr>
                <w:sz w:val="22"/>
              </w:rPr>
              <w:t>-3% (~₹227.5) / -5% (~₹222.8)</w:t>
            </w:r>
          </w:p>
        </w:tc>
      </w:tr>
      <w:tr>
        <w:tc>
          <w:tcPr>
            <w:tcW w:type="dxa" w:w="5100"/>
            <w:shd w:val="clear" w:color="auto" w:fill="D9E1F2"/>
          </w:tcPr>
          <w:p>
            <w:r/>
            <w:r>
              <w:rPr>
                <w:b/>
                <w:sz w:val="22"/>
              </w:rPr>
              <w:t>Stop Loss</w:t>
            </w:r>
          </w:p>
        </w:tc>
        <w:tc>
          <w:tcPr>
            <w:tcW w:type="dxa" w:w="5100"/>
          </w:tcPr>
          <w:p>
            <w:r/>
            <w:r>
              <w:rPr>
                <w:sz w:val="22"/>
              </w:rPr>
              <w:t>15-min close above ₹238, OR immediate exit on any Iran/Hormuz supply-shock headline</w:t>
            </w:r>
          </w:p>
        </w:tc>
      </w:tr>
      <w:tr>
        <w:tc>
          <w:tcPr>
            <w:tcW w:type="dxa" w:w="5100"/>
            <w:shd w:val="clear" w:color="auto" w:fill="D9E1F2"/>
          </w:tcPr>
          <w:p>
            <w:r/>
            <w:r>
              <w:rPr>
                <w:b/>
                <w:sz w:val="22"/>
              </w:rPr>
              <w:t>R:R</w:t>
            </w:r>
          </w:p>
        </w:tc>
        <w:tc>
          <w:tcPr>
            <w:tcW w:type="dxa" w:w="5100"/>
          </w:tcPr>
          <w:p>
            <w:r/>
            <w:r>
              <w:rPr>
                <w:sz w:val="22"/>
              </w:rPr>
              <w:t>Est. ≥2:1 on option premium basis — verify live</w:t>
            </w:r>
          </w:p>
        </w:tc>
      </w:tr>
      <w:tr>
        <w:tc>
          <w:tcPr>
            <w:tcW w:type="dxa" w:w="5100"/>
            <w:shd w:val="clear" w:color="auto" w:fill="D9E1F2"/>
          </w:tcPr>
          <w:p>
            <w:r/>
            <w:r>
              <w:rPr>
                <w:b/>
                <w:sz w:val="22"/>
              </w:rPr>
              <w:t>Time Stop</w:t>
            </w:r>
          </w:p>
        </w:tc>
        <w:tc>
          <w:tcPr>
            <w:tcW w:type="dxa" w:w="5100"/>
          </w:tcPr>
          <w:p>
            <w:r/>
            <w:r>
              <w:rPr>
                <w:sz w:val="22"/>
              </w:rPr>
              <w:t>60 minutes</w:t>
            </w:r>
          </w:p>
        </w:tc>
      </w:tr>
    </w:tbl>
    <w:p/>
    <w:p>
      <w:r>
        <w:rPr>
          <w:b/>
          <w:i w:val="0"/>
          <w:color w:val="1F3864"/>
          <w:sz w:val="26"/>
        </w:rPr>
        <w:t>#5 — BHARTI AIRTEL (BHARTIARTL) CALL — Grade B+</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D9E1F2"/>
          </w:tcPr>
          <w:p>
            <w:r/>
            <w:r>
              <w:rPr>
                <w:b/>
                <w:sz w:val="22"/>
              </w:rPr>
              <w:t>CMP / Lot</w:t>
            </w:r>
          </w:p>
        </w:tc>
        <w:tc>
          <w:tcPr>
            <w:tcW w:type="dxa" w:w="5100"/>
          </w:tcPr>
          <w:p>
            <w:r/>
            <w:r>
              <w:rPr>
                <w:sz w:val="22"/>
              </w:rPr>
              <w:t>₹1,852 (Jun 30 close) / Lot 475 — notional ₹8.8L, worst capital-fit overshoot of the 6</w:t>
            </w:r>
          </w:p>
        </w:tc>
      </w:tr>
      <w:tr>
        <w:tc>
          <w:tcPr>
            <w:tcW w:type="dxa" w:w="5100"/>
            <w:shd w:val="clear" w:color="auto" w:fill="D9E1F2"/>
          </w:tcPr>
          <w:p>
            <w:r/>
            <w:r>
              <w:rPr>
                <w:b/>
                <w:sz w:val="22"/>
              </w:rPr>
              <w:t>Sector</w:t>
            </w:r>
          </w:p>
        </w:tc>
        <w:tc>
          <w:tcPr>
            <w:tcW w:type="dxa" w:w="5100"/>
          </w:tcPr>
          <w:p>
            <w:r/>
            <w:r>
              <w:rPr>
                <w:sz w:val="22"/>
              </w:rPr>
              <w:t>Telecom (diversification — largely crude/geopolitics-agnostic)</w:t>
            </w:r>
          </w:p>
        </w:tc>
      </w:tr>
      <w:tr>
        <w:tc>
          <w:tcPr>
            <w:tcW w:type="dxa" w:w="5100"/>
            <w:shd w:val="clear" w:color="auto" w:fill="D9E1F2"/>
          </w:tcPr>
          <w:p>
            <w:r/>
            <w:r>
              <w:rPr>
                <w:b/>
                <w:sz w:val="22"/>
              </w:rPr>
              <w:t>Why this grade</w:t>
            </w:r>
          </w:p>
        </w:tc>
        <w:tc>
          <w:tcPr>
            <w:tcW w:type="dxa" w:w="5100"/>
          </w:tcPr>
          <w:p>
            <w:r/>
            <w:r>
              <w:rPr>
                <w:sz w:val="22"/>
              </w:rPr>
              <w:t>Fresh Nomura target raise to ₹2,355 (Buy) — single strong brokerage catalyst on a defensive-quality name, useful portfolio diversifier away from crude/auto themes.</w:t>
            </w:r>
          </w:p>
        </w:tc>
      </w:tr>
      <w:tr>
        <w:tc>
          <w:tcPr>
            <w:tcW w:type="dxa" w:w="5100"/>
            <w:shd w:val="clear" w:color="auto" w:fill="D9E1F2"/>
          </w:tcPr>
          <w:p>
            <w:r/>
            <w:r>
              <w:rPr>
                <w:b/>
                <w:sz w:val="22"/>
              </w:rPr>
              <w:t>Option Setup</w:t>
            </w:r>
          </w:p>
        </w:tc>
        <w:tc>
          <w:tcPr>
            <w:tcW w:type="dxa" w:w="5100"/>
          </w:tcPr>
          <w:p>
            <w:r/>
            <w:r>
              <w:rPr>
                <w:sz w:val="22"/>
              </w:rPr>
              <w:t>July monthly, ATM CE</w:t>
            </w:r>
          </w:p>
        </w:tc>
      </w:tr>
      <w:tr>
        <w:tc>
          <w:tcPr>
            <w:tcW w:type="dxa" w:w="5100"/>
            <w:shd w:val="clear" w:color="auto" w:fill="D9E1F2"/>
          </w:tcPr>
          <w:p>
            <w:r/>
            <w:r>
              <w:rPr>
                <w:b/>
                <w:sz w:val="22"/>
              </w:rPr>
              <w:t>Entry Trigger</w:t>
            </w:r>
          </w:p>
        </w:tc>
        <w:tc>
          <w:tcPr>
            <w:tcW w:type="dxa" w:w="5100"/>
          </w:tcPr>
          <w:p>
            <w:r/>
            <w:r>
              <w:rPr>
                <w:sz w:val="22"/>
              </w:rPr>
              <w:t>(1) 15-min close above ₹1,876 (2) broad market tone neutral-to-positive (3) no telecom-specific negative news (4) volume confirmation</w:t>
            </w:r>
          </w:p>
        </w:tc>
      </w:tr>
      <w:tr>
        <w:tc>
          <w:tcPr>
            <w:tcW w:type="dxa" w:w="5100"/>
            <w:shd w:val="clear" w:color="auto" w:fill="D9E1F2"/>
          </w:tcPr>
          <w:p>
            <w:r/>
            <w:r>
              <w:rPr>
                <w:b/>
                <w:sz w:val="22"/>
              </w:rPr>
              <w:t>T1 / T2</w:t>
            </w:r>
          </w:p>
        </w:tc>
        <w:tc>
          <w:tcPr>
            <w:tcW w:type="dxa" w:w="5100"/>
          </w:tcPr>
          <w:p>
            <w:r/>
            <w:r>
              <w:rPr>
                <w:sz w:val="22"/>
              </w:rPr>
              <w:t>+3% (~₹1,908) / +5% (~₹1,945)</w:t>
            </w:r>
          </w:p>
        </w:tc>
      </w:tr>
      <w:tr>
        <w:tc>
          <w:tcPr>
            <w:tcW w:type="dxa" w:w="5100"/>
            <w:shd w:val="clear" w:color="auto" w:fill="D9E1F2"/>
          </w:tcPr>
          <w:p>
            <w:r/>
            <w:r>
              <w:rPr>
                <w:b/>
                <w:sz w:val="22"/>
              </w:rPr>
              <w:t>Stop Loss</w:t>
            </w:r>
          </w:p>
        </w:tc>
        <w:tc>
          <w:tcPr>
            <w:tcW w:type="dxa" w:w="5100"/>
          </w:tcPr>
          <w:p>
            <w:r/>
            <w:r>
              <w:rPr>
                <w:sz w:val="22"/>
              </w:rPr>
              <w:t>15-min close below ₹1,830 (~-1.2%)</w:t>
            </w:r>
          </w:p>
        </w:tc>
      </w:tr>
      <w:tr>
        <w:tc>
          <w:tcPr>
            <w:tcW w:type="dxa" w:w="5100"/>
            <w:shd w:val="clear" w:color="auto" w:fill="D9E1F2"/>
          </w:tcPr>
          <w:p>
            <w:r/>
            <w:r>
              <w:rPr>
                <w:b/>
                <w:sz w:val="22"/>
              </w:rPr>
              <w:t>R:R</w:t>
            </w:r>
          </w:p>
        </w:tc>
        <w:tc>
          <w:tcPr>
            <w:tcW w:type="dxa" w:w="5100"/>
          </w:tcPr>
          <w:p>
            <w:r/>
            <w:r>
              <w:rPr>
                <w:sz w:val="22"/>
              </w:rPr>
              <w:t>Est. ≥2:1 on option premium basis — verify live</w:t>
            </w:r>
          </w:p>
        </w:tc>
      </w:tr>
      <w:tr>
        <w:tc>
          <w:tcPr>
            <w:tcW w:type="dxa" w:w="5100"/>
            <w:shd w:val="clear" w:color="auto" w:fill="D9E1F2"/>
          </w:tcPr>
          <w:p>
            <w:r/>
            <w:r>
              <w:rPr>
                <w:b/>
                <w:sz w:val="22"/>
              </w:rPr>
              <w:t>Time Stop</w:t>
            </w:r>
          </w:p>
        </w:tc>
        <w:tc>
          <w:tcPr>
            <w:tcW w:type="dxa" w:w="5100"/>
          </w:tcPr>
          <w:p>
            <w:r/>
            <w:r>
              <w:rPr>
                <w:sz w:val="22"/>
              </w:rPr>
              <w:t>60 minutes</w:t>
            </w:r>
          </w:p>
        </w:tc>
      </w:tr>
    </w:tbl>
    <w:p/>
    <w:p>
      <w:r>
        <w:rPr>
          <w:b/>
          <w:i w:val="0"/>
          <w:color w:val="1F3864"/>
          <w:sz w:val="26"/>
        </w:rPr>
        <w:t>#6 — BHARAT ELECTRONICS (BEL) CALL — Grade B — MACRO HEDGE / DEFENCE</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D9E1F2"/>
          </w:tcPr>
          <w:p>
            <w:r/>
            <w:r>
              <w:rPr>
                <w:b/>
                <w:sz w:val="22"/>
              </w:rPr>
              <w:t>CMP / Lot</w:t>
            </w:r>
          </w:p>
        </w:tc>
        <w:tc>
          <w:tcPr>
            <w:tcW w:type="dxa" w:w="5100"/>
          </w:tcPr>
          <w:p>
            <w:r/>
            <w:r>
              <w:rPr>
                <w:sz w:val="22"/>
              </w:rPr>
              <w:t>₹407.2 (Jul 2 pre-market) / Lot 1425 — notional ₹5.8L, fails capital-fit filter</w:t>
            </w:r>
          </w:p>
        </w:tc>
      </w:tr>
      <w:tr>
        <w:tc>
          <w:tcPr>
            <w:tcW w:type="dxa" w:w="5100"/>
            <w:shd w:val="clear" w:color="auto" w:fill="D9E1F2"/>
          </w:tcPr>
          <w:p>
            <w:r/>
            <w:r>
              <w:rPr>
                <w:b/>
                <w:sz w:val="22"/>
              </w:rPr>
              <w:t>Sector</w:t>
            </w:r>
          </w:p>
        </w:tc>
        <w:tc>
          <w:tcPr>
            <w:tcW w:type="dxa" w:w="5100"/>
          </w:tcPr>
          <w:p>
            <w:r/>
            <w:r>
              <w:rPr>
                <w:sz w:val="22"/>
              </w:rPr>
              <w:t>Defence (required macro-hedge slot — safe haven against Iran/Hormuz/Israel-Lebanon escalation)</w:t>
            </w:r>
          </w:p>
        </w:tc>
      </w:tr>
      <w:tr>
        <w:tc>
          <w:tcPr>
            <w:tcW w:type="dxa" w:w="5100"/>
            <w:shd w:val="clear" w:color="auto" w:fill="D9E1F2"/>
          </w:tcPr>
          <w:p>
            <w:r/>
            <w:r>
              <w:rPr>
                <w:b/>
                <w:sz w:val="22"/>
              </w:rPr>
              <w:t>Why this grade</w:t>
            </w:r>
          </w:p>
        </w:tc>
        <w:tc>
          <w:tcPr>
            <w:tcW w:type="dxa" w:w="5100"/>
          </w:tcPr>
          <w:p>
            <w:r/>
            <w:r>
              <w:rPr>
                <w:sz w:val="22"/>
              </w:rPr>
              <w:t>Defensive hedge, not a high-conviction directional call — included specifically to satisfy the routine's macro-hedge requirement given the unresolved geopolitical backdrop.</w:t>
            </w:r>
          </w:p>
        </w:tc>
      </w:tr>
      <w:tr>
        <w:tc>
          <w:tcPr>
            <w:tcW w:type="dxa" w:w="5100"/>
            <w:shd w:val="clear" w:color="auto" w:fill="D9E1F2"/>
          </w:tcPr>
          <w:p>
            <w:r/>
            <w:r>
              <w:rPr>
                <w:b/>
                <w:sz w:val="22"/>
              </w:rPr>
              <w:t>Option Setup</w:t>
            </w:r>
          </w:p>
        </w:tc>
        <w:tc>
          <w:tcPr>
            <w:tcW w:type="dxa" w:w="5100"/>
          </w:tcPr>
          <w:p>
            <w:r/>
            <w:r>
              <w:rPr>
                <w:sz w:val="22"/>
              </w:rPr>
              <w:t>July monthly, ATM CE</w:t>
            </w:r>
          </w:p>
        </w:tc>
      </w:tr>
      <w:tr>
        <w:tc>
          <w:tcPr>
            <w:tcW w:type="dxa" w:w="5100"/>
            <w:shd w:val="clear" w:color="auto" w:fill="D9E1F2"/>
          </w:tcPr>
          <w:p>
            <w:r/>
            <w:r>
              <w:rPr>
                <w:b/>
                <w:sz w:val="22"/>
              </w:rPr>
              <w:t>Entry Trigger</w:t>
            </w:r>
          </w:p>
        </w:tc>
        <w:tc>
          <w:tcPr>
            <w:tcW w:type="dxa" w:w="5100"/>
          </w:tcPr>
          <w:p>
            <w:r/>
            <w:r>
              <w:rPr>
                <w:sz w:val="22"/>
              </w:rPr>
              <w:t>(1) Any fresh Iran/Hormuz/Israel-Lebanon escalation headline, OR (2) 15-min close above ₹415 on its own technical merit (3) sector (defence peers) confirming (4) VIX check</w:t>
            </w:r>
          </w:p>
        </w:tc>
      </w:tr>
      <w:tr>
        <w:tc>
          <w:tcPr>
            <w:tcW w:type="dxa" w:w="5100"/>
            <w:shd w:val="clear" w:color="auto" w:fill="D9E1F2"/>
          </w:tcPr>
          <w:p>
            <w:r/>
            <w:r>
              <w:rPr>
                <w:b/>
                <w:sz w:val="22"/>
              </w:rPr>
              <w:t>T1 / T2</w:t>
            </w:r>
          </w:p>
        </w:tc>
        <w:tc>
          <w:tcPr>
            <w:tcW w:type="dxa" w:w="5100"/>
          </w:tcPr>
          <w:p>
            <w:r/>
            <w:r>
              <w:rPr>
                <w:sz w:val="22"/>
              </w:rPr>
              <w:t>+3% (~₹419) / +5% (~₹427)</w:t>
            </w:r>
          </w:p>
        </w:tc>
      </w:tr>
      <w:tr>
        <w:tc>
          <w:tcPr>
            <w:tcW w:type="dxa" w:w="5100"/>
            <w:shd w:val="clear" w:color="auto" w:fill="D9E1F2"/>
          </w:tcPr>
          <w:p>
            <w:r/>
            <w:r>
              <w:rPr>
                <w:b/>
                <w:sz w:val="22"/>
              </w:rPr>
              <w:t>Stop Loss</w:t>
            </w:r>
          </w:p>
        </w:tc>
        <w:tc>
          <w:tcPr>
            <w:tcW w:type="dxa" w:w="5100"/>
          </w:tcPr>
          <w:p>
            <w:r/>
            <w:r>
              <w:rPr>
                <w:sz w:val="22"/>
              </w:rPr>
              <w:t>15-min close below ₹406</w:t>
            </w:r>
          </w:p>
        </w:tc>
      </w:tr>
      <w:tr>
        <w:tc>
          <w:tcPr>
            <w:tcW w:type="dxa" w:w="5100"/>
            <w:shd w:val="clear" w:color="auto" w:fill="D9E1F2"/>
          </w:tcPr>
          <w:p>
            <w:r/>
            <w:r>
              <w:rPr>
                <w:b/>
                <w:sz w:val="22"/>
              </w:rPr>
              <w:t>R:R</w:t>
            </w:r>
          </w:p>
        </w:tc>
        <w:tc>
          <w:tcPr>
            <w:tcW w:type="dxa" w:w="5100"/>
          </w:tcPr>
          <w:p>
            <w:r/>
            <w:r>
              <w:rPr>
                <w:sz w:val="22"/>
              </w:rPr>
              <w:t>Est. ≥2:1 on option premium basis — verify live</w:t>
            </w:r>
          </w:p>
        </w:tc>
      </w:tr>
      <w:tr>
        <w:tc>
          <w:tcPr>
            <w:tcW w:type="dxa" w:w="5100"/>
            <w:shd w:val="clear" w:color="auto" w:fill="D9E1F2"/>
          </w:tcPr>
          <w:p>
            <w:r/>
            <w:r>
              <w:rPr>
                <w:b/>
                <w:sz w:val="22"/>
              </w:rPr>
              <w:t>Time Stop</w:t>
            </w:r>
          </w:p>
        </w:tc>
        <w:tc>
          <w:tcPr>
            <w:tcW w:type="dxa" w:w="5100"/>
          </w:tcPr>
          <w:p>
            <w:r/>
            <w:r>
              <w:rPr>
                <w:sz w:val="22"/>
              </w:rPr>
              <w:t>60 minutes, or hold through session if used purely as a hedge</w:t>
            </w:r>
          </w:p>
        </w:tc>
      </w:tr>
    </w:tbl>
    <w:p/>
    <w:p>
      <w:r>
        <w:rPr>
          <w:b/>
          <w:i w:val="0"/>
          <w:sz w:val="24"/>
        </w:rPr>
        <w:t>Sector Diversification Summary</w:t>
      </w:r>
    </w:p>
    <w:p>
      <w:pPr>
        <w:pStyle w:val="ListBullet"/>
      </w:pPr>
      <w:r>
        <w:t>Auto (2): Maruti CALL, Hero MotoCorp PUT — mixed direction within the sector cap</w:t>
      </w:r>
    </w:p>
    <w:p>
      <w:pPr>
        <w:pStyle w:val="ListBullet"/>
      </w:pPr>
      <w:r>
        <w:t>Aviation (1): IndiGo CALL</w:t>
      </w:r>
    </w:p>
    <w:p>
      <w:pPr>
        <w:pStyle w:val="ListBullet"/>
      </w:pPr>
      <w:r>
        <w:t>Energy/Upstream (1): ONGC PUT</w:t>
      </w:r>
    </w:p>
    <w:p>
      <w:pPr>
        <w:pStyle w:val="ListBullet"/>
      </w:pPr>
      <w:r>
        <w:t>Telecom (1): Bharti Airtel CALL</w:t>
      </w:r>
    </w:p>
    <w:p>
      <w:pPr>
        <w:pStyle w:val="ListBullet"/>
      </w:pPr>
      <w:r>
        <w:t>Defence/Hedge (1): BEL CALL</w:t>
      </w:r>
    </w:p>
    <w:p>
      <w:pPr>
        <w:pStyle w:val="ListBullet"/>
      </w:pPr>
      <w:r>
        <w:t>5 sectors represented (min 4 required); 4 CALLs / 2 PUTs — not all one-directional; 1 explicit macro-hedge included.</w:t>
      </w:r>
    </w:p>
    <w:p/>
    <w:p>
      <w:r>
        <w:rPr>
          <w:b/>
          <w:i w:val="0"/>
          <w:color w:val="C00000"/>
          <w:sz w:val="24"/>
        </w:rPr>
        <w:t>Stocks to Actively Avoid Today</w:t>
      </w:r>
    </w:p>
    <w:p>
      <w:pPr>
        <w:pStyle w:val="ListBullet"/>
      </w:pPr>
      <w:r>
        <w:t>Tata Motors — strongest single catalyst (PV sales +69% YoY) but already an extreme one-day beat; chasing it post-move without a clean entry trigger risks buying the top. Watch, don't chase.</w:t>
      </w:r>
    </w:p>
    <w:p>
      <w:pPr>
        <w:pStyle w:val="ListBullet"/>
      </w:pPr>
      <w:r>
        <w:t>Tech Mahindra — CLSA (bullish) vs Jefferies (bearish) fresh, sharply diverging calls this week. Too much conflicting signal for a clean single-thesis setup today.</w:t>
      </w:r>
    </w:p>
    <w:p>
      <w:pPr>
        <w:pStyle w:val="ListBullet"/>
      </w:pPr>
      <w:r>
        <w:t>TCS, HDFC Bank — no results until 9 Jul / 18 Jul respectively; no fresh catalyst today.</w:t>
      </w:r>
    </w:p>
    <w:p>
      <w:pPr>
        <w:pStyle w:val="ListBullet"/>
      </w:pPr>
      <w:r>
        <w:t>Any weekly-expiry options on stocks — today (Wed) is not an expiry day anyway; when trading weeklies, never do so on expiry day per the routine's absolute prohibition.</w:t>
      </w:r>
    </w:p>
    <w:p/>
    <w:p>
      <w:pPr>
        <w:pStyle w:val="Heading1"/>
      </w:pPr>
      <w:r>
        <w:rPr>
          <w:color w:val="1F3864"/>
        </w:rPr>
        <w:t>Section 6 — Domestic Macro &amp; Global Triggers</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1F3864"/>
          </w:tcPr>
          <w:p>
            <w:r/>
            <w:r>
              <w:rPr>
                <w:b/>
                <w:color w:val="FFFFFF"/>
                <w:sz w:val="22"/>
              </w:rPr>
              <w:t>Driver</w:t>
            </w:r>
          </w:p>
        </w:tc>
        <w:tc>
          <w:tcPr>
            <w:tcW w:type="dxa" w:w="5100"/>
            <w:shd w:val="clear" w:color="auto" w:fill="1F3864"/>
          </w:tcPr>
          <w:p>
            <w:r/>
            <w:r>
              <w:rPr>
                <w:b/>
                <w:color w:val="FFFFFF"/>
                <w:sz w:val="22"/>
              </w:rPr>
              <w:t>Status</w:t>
            </w:r>
          </w:p>
        </w:tc>
      </w:tr>
      <w:tr>
        <w:tc>
          <w:tcPr>
            <w:tcW w:type="dxa" w:w="5100"/>
          </w:tcPr>
          <w:p>
            <w:r/>
            <w:r>
              <w:rPr>
                <w:b/>
                <w:sz w:val="22"/>
              </w:rPr>
              <w:t>RBI Repo Rate</w:t>
            </w:r>
          </w:p>
        </w:tc>
        <w:tc>
          <w:tcPr>
            <w:tcW w:type="dxa" w:w="5100"/>
          </w:tcPr>
          <w:p>
            <w:r/>
            <w:r>
              <w:rPr>
                <w:sz w:val="22"/>
              </w:rPr>
              <w:t>5.25%, held at 3-5 Jun MPC; stance NEUTRAL. Next MPC date not confirmed (est. early Aug).</w:t>
            </w:r>
          </w:p>
        </w:tc>
      </w:tr>
      <w:tr>
        <w:tc>
          <w:tcPr>
            <w:tcW w:type="dxa" w:w="5100"/>
          </w:tcPr>
          <w:p>
            <w:r/>
            <w:r>
              <w:rPr>
                <w:b/>
                <w:sz w:val="22"/>
              </w:rPr>
              <w:t>India-US Trade Deal</w:t>
            </w:r>
          </w:p>
        </w:tc>
        <w:tc>
          <w:tcPr>
            <w:tcW w:type="dxa" w:w="5100"/>
          </w:tcPr>
          <w:p>
            <w:r/>
            <w:r>
              <w:rPr>
                <w:sz w:val="22"/>
              </w:rPr>
              <w:t>'Near final' per Piyush Goyal; NOT signed. Hard deadline: current US tariff framework expires 24 Jul 2026.</w:t>
            </w:r>
          </w:p>
        </w:tc>
      </w:tr>
      <w:tr>
        <w:tc>
          <w:tcPr>
            <w:tcW w:type="dxa" w:w="5100"/>
          </w:tcPr>
          <w:p>
            <w:r/>
            <w:r>
              <w:rPr>
                <w:b/>
                <w:sz w:val="22"/>
              </w:rPr>
              <w:t>Monsoon 2026</w:t>
            </w:r>
          </w:p>
        </w:tc>
        <w:tc>
          <w:tcPr>
            <w:tcW w:type="dxa" w:w="5100"/>
          </w:tcPr>
          <w:p>
            <w:r/>
            <w:r>
              <w:rPr>
                <w:sz w:val="22"/>
              </w:rPr>
              <w:t>June 40% below normal (5th driest since 1901); IMD forecasts July also below-normal (&lt;94% LPA). Bearish for rural consumption/FMCG.</w:t>
            </w:r>
          </w:p>
        </w:tc>
      </w:tr>
      <w:tr>
        <w:tc>
          <w:tcPr>
            <w:tcW w:type="dxa" w:w="5100"/>
          </w:tcPr>
          <w:p>
            <w:r/>
            <w:r>
              <w:rPr>
                <w:b/>
                <w:sz w:val="22"/>
              </w:rPr>
              <w:t>US Fed</w:t>
            </w:r>
          </w:p>
        </w:tc>
        <w:tc>
          <w:tcPr>
            <w:tcW w:type="dxa" w:w="5100"/>
          </w:tcPr>
          <w:p>
            <w:r/>
            <w:r>
              <w:rPr>
                <w:sz w:val="22"/>
              </w:rPr>
              <w:t>Held 3.50-3.75% at 16-17 Jun FOMC; dot plot turned hawkish (9/19 lean toward a 2026 hike). Next FOMC: 28-29 Jul.</w:t>
            </w:r>
          </w:p>
        </w:tc>
      </w:tr>
      <w:tr>
        <w:tc>
          <w:tcPr>
            <w:tcW w:type="dxa" w:w="5100"/>
          </w:tcPr>
          <w:p>
            <w:r/>
            <w:r>
              <w:rPr>
                <w:b/>
                <w:sz w:val="22"/>
              </w:rPr>
              <w:t>China PMI (Jun)</w:t>
            </w:r>
          </w:p>
        </w:tc>
        <w:tc>
          <w:tcPr>
            <w:tcW w:type="dxa" w:w="5100"/>
          </w:tcPr>
          <w:p>
            <w:r/>
            <w:r>
              <w:rPr>
                <w:sz w:val="22"/>
              </w:rPr>
              <w:t>Manufacturing 50.3 (3rd straight expansion month), export/tech sub-index strong at 53.5. Mildly positive for EM sentiment.</w:t>
            </w:r>
          </w:p>
        </w:tc>
      </w:tr>
      <w:tr>
        <w:tc>
          <w:tcPr>
            <w:tcW w:type="dxa" w:w="5100"/>
          </w:tcPr>
          <w:p>
            <w:r/>
            <w:r>
              <w:rPr>
                <w:b/>
                <w:sz w:val="22"/>
              </w:rPr>
              <w:t>June Auto Sales</w:t>
            </w:r>
          </w:p>
        </w:tc>
        <w:tc>
          <w:tcPr>
            <w:tcW w:type="dxa" w:w="5100"/>
          </w:tcPr>
          <w:p>
            <w:r/>
            <w:r>
              <w:rPr>
                <w:sz w:val="22"/>
              </w:rPr>
              <w:t>Maruti +19.3%, Tata Motors PV +69%, M&amp;M +37% YoY — sector-wide beat except Hero MotoCorp.</w:t>
            </w:r>
          </w:p>
        </w:tc>
      </w:tr>
      <w:tr>
        <w:tc>
          <w:tcPr>
            <w:tcW w:type="dxa" w:w="5100"/>
          </w:tcPr>
          <w:p>
            <w:r/>
            <w:r>
              <w:rPr>
                <w:b/>
                <w:sz w:val="22"/>
              </w:rPr>
              <w:t>Brokerage Calls (last 48h)</w:t>
            </w:r>
          </w:p>
        </w:tc>
        <w:tc>
          <w:tcPr>
            <w:tcW w:type="dxa" w:w="5100"/>
          </w:tcPr>
          <w:p>
            <w:r/>
            <w:r>
              <w:rPr>
                <w:sz w:val="22"/>
              </w:rPr>
              <w:t>Jefferies: Maruti upgrade (₹16,500 target). Nomura: Bharti Airtel target ₹2,355. JM Financial: Dixon Tech target ₹14,200. CLSA/Jefferies split on Tech Mahindra.</w:t>
            </w:r>
          </w:p>
        </w:tc>
      </w:tr>
      <w:tr>
        <w:tc>
          <w:tcPr>
            <w:tcW w:type="dxa" w:w="5100"/>
          </w:tcPr>
          <w:p>
            <w:r/>
            <w:r>
              <w:rPr>
                <w:b/>
                <w:sz w:val="22"/>
              </w:rPr>
              <w:t>NSE F&amp;O Ban List</w:t>
            </w:r>
          </w:p>
        </w:tc>
        <w:tc>
          <w:tcPr>
            <w:tcW w:type="dxa" w:w="5100"/>
          </w:tcPr>
          <w:p>
            <w:r/>
            <w:r>
              <w:rPr>
                <w:sz w:val="22"/>
              </w:rPr>
              <w:t>Empty as of 29-30 Jun per trackers; live CSV blocked to automated fetch — CONFIRM MANUALLY before any order.</w:t>
            </w:r>
          </w:p>
        </w:tc>
      </w:tr>
      <w:tr>
        <w:tc>
          <w:tcPr>
            <w:tcW w:type="dxa" w:w="5100"/>
          </w:tcPr>
          <w:p>
            <w:r/>
            <w:r>
              <w:rPr>
                <w:b/>
                <w:sz w:val="22"/>
              </w:rPr>
              <w:t>Q1 FY27 Results</w:t>
            </w:r>
          </w:p>
        </w:tc>
        <w:tc>
          <w:tcPr>
            <w:tcW w:type="dxa" w:w="5100"/>
          </w:tcPr>
          <w:p>
            <w:r/>
            <w:r>
              <w:rPr>
                <w:sz w:val="22"/>
              </w:rPr>
              <w:t>Nothing major today; TCS reports 9 Jul, HDFC Bank 18 Jul — season not yet underway.</w:t>
            </w:r>
          </w:p>
        </w:tc>
      </w:tr>
      <w:tr>
        <w:tc>
          <w:tcPr>
            <w:tcW w:type="dxa" w:w="5100"/>
          </w:tcPr>
          <w:p>
            <w:r/>
            <w:r>
              <w:rPr>
                <w:b/>
                <w:sz w:val="22"/>
              </w:rPr>
              <w:t>Domestic Macro Verdict</w:t>
            </w:r>
          </w:p>
        </w:tc>
        <w:tc>
          <w:tcPr>
            <w:tcW w:type="dxa" w:w="5100"/>
          </w:tcPr>
          <w:p>
            <w:r/>
            <w:r>
              <w:rPr>
                <w:sz w:val="22"/>
              </w:rPr>
              <w:t>SUPPORTIVE on rates/DII flows/auto data; HEADWIND from weak monsoon + hawkish Fed shift + unsigned trade deal deadline.</w:t>
            </w:r>
          </w:p>
        </w:tc>
      </w:tr>
    </w:tbl>
    <w:p/>
    <w:p>
      <w:pPr>
        <w:pStyle w:val="Heading1"/>
      </w:pPr>
      <w:r>
        <w:rPr>
          <w:color w:val="C00000"/>
        </w:rPr>
        <w:t>Section 7 — Final Verdict</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1F3864"/>
          </w:tcPr>
          <w:p>
            <w:r/>
            <w:r>
              <w:rPr>
                <w:b/>
                <w:color w:val="FFFFFF"/>
                <w:sz w:val="22"/>
              </w:rPr>
              <w:t>Parameter</w:t>
            </w:r>
          </w:p>
        </w:tc>
        <w:tc>
          <w:tcPr>
            <w:tcW w:type="dxa" w:w="5100"/>
            <w:shd w:val="clear" w:color="auto" w:fill="1F3864"/>
          </w:tcPr>
          <w:p>
            <w:r/>
            <w:r>
              <w:rPr>
                <w:b/>
                <w:color w:val="FFFFFF"/>
                <w:sz w:val="22"/>
              </w:rPr>
              <w:t>Reading</w:t>
            </w:r>
          </w:p>
        </w:tc>
      </w:tr>
      <w:tr>
        <w:tc>
          <w:tcPr>
            <w:tcW w:type="dxa" w:w="5100"/>
          </w:tcPr>
          <w:p>
            <w:r/>
            <w:r>
              <w:rPr>
                <w:b/>
                <w:sz w:val="22"/>
              </w:rPr>
              <w:t>Crude Rule Mode</w:t>
            </w:r>
          </w:p>
        </w:tc>
        <w:tc>
          <w:tcPr>
            <w:tcW w:type="dxa" w:w="5100"/>
          </w:tcPr>
          <w:p>
            <w:r/>
            <w:r>
              <w:rPr>
                <w:sz w:val="22"/>
              </w:rPr>
              <w:t>AGGRESSIVE BULL (~₹6,600 MCX, WTI-based) — sharp shift from Apr's MILD BULL/CAUTION</w:t>
            </w:r>
          </w:p>
        </w:tc>
      </w:tr>
      <w:tr>
        <w:tc>
          <w:tcPr>
            <w:tcW w:type="dxa" w:w="5100"/>
          </w:tcPr>
          <w:p>
            <w:r/>
            <w:r>
              <w:rPr>
                <w:b/>
                <w:sz w:val="22"/>
              </w:rPr>
              <w:t>Market Bias</w:t>
            </w:r>
          </w:p>
        </w:tc>
        <w:tc>
          <w:tcPr>
            <w:tcW w:type="dxa" w:w="5100"/>
          </w:tcPr>
          <w:p>
            <w:r/>
            <w:r>
              <w:rPr>
                <w:sz w:val="22"/>
              </w:rPr>
              <w:t>CAUTIOUS BULL — Nifty holding above 23,900, DII cushioning FII selling, but GIFT Nifty signal unresolved</w:t>
            </w:r>
          </w:p>
        </w:tc>
      </w:tr>
      <w:tr>
        <w:tc>
          <w:tcPr>
            <w:tcW w:type="dxa" w:w="5100"/>
          </w:tcPr>
          <w:p>
            <w:r/>
            <w:r>
              <w:rPr>
                <w:b/>
                <w:sz w:val="22"/>
              </w:rPr>
              <w:t>VIX Sizing Rule</w:t>
            </w:r>
          </w:p>
        </w:tc>
        <w:tc>
          <w:tcPr>
            <w:tcW w:type="dxa" w:w="5100"/>
          </w:tcPr>
          <w:p>
            <w:r/>
            <w:r>
              <w:rPr>
                <w:sz w:val="22"/>
              </w:rPr>
              <w:t>Raw VIX 13.24 = FULL SIZE eligible; OVERRIDDEN to HALF SIZE given 10-week calibration gap</w:t>
            </w:r>
          </w:p>
        </w:tc>
      </w:tr>
      <w:tr>
        <w:tc>
          <w:tcPr>
            <w:tcW w:type="dxa" w:w="5100"/>
          </w:tcPr>
          <w:p>
            <w:r/>
            <w:r>
              <w:rPr>
                <w:b/>
                <w:sz w:val="22"/>
              </w:rPr>
              <w:t>Key Support</w:t>
            </w:r>
          </w:p>
        </w:tc>
        <w:tc>
          <w:tcPr>
            <w:tcW w:type="dxa" w:w="5100"/>
          </w:tcPr>
          <w:p>
            <w:r/>
            <w:r>
              <w:rPr>
                <w:sz w:val="22"/>
              </w:rPr>
              <w:t>23,895 → 23,865</w:t>
            </w:r>
          </w:p>
        </w:tc>
      </w:tr>
      <w:tr>
        <w:tc>
          <w:tcPr>
            <w:tcW w:type="dxa" w:w="5100"/>
          </w:tcPr>
          <w:p>
            <w:r/>
            <w:r>
              <w:rPr>
                <w:b/>
                <w:sz w:val="22"/>
              </w:rPr>
              <w:t>Key Resistance</w:t>
            </w:r>
          </w:p>
        </w:tc>
        <w:tc>
          <w:tcPr>
            <w:tcW w:type="dxa" w:w="5100"/>
          </w:tcPr>
          <w:p>
            <w:r/>
            <w:r>
              <w:rPr>
                <w:sz w:val="22"/>
              </w:rPr>
              <w:t>24,020 → ~24,150 (GIFT Nifty implied, unconfirmed)</w:t>
            </w:r>
          </w:p>
        </w:tc>
      </w:tr>
      <w:tr>
        <w:tc>
          <w:tcPr>
            <w:tcW w:type="dxa" w:w="5100"/>
          </w:tcPr>
          <w:p>
            <w:r/>
            <w:r>
              <w:rPr>
                <w:b/>
                <w:sz w:val="22"/>
              </w:rPr>
              <w:t>Critical Crude Level</w:t>
            </w:r>
          </w:p>
        </w:tc>
        <w:tc>
          <w:tcPr>
            <w:tcW w:type="dxa" w:w="5100"/>
          </w:tcPr>
          <w:p>
            <w:r/>
            <w:r>
              <w:rPr>
                <w:sz w:val="22"/>
              </w:rPr>
              <w:t>₹7,500 MCX — regime watch level</w:t>
            </w:r>
          </w:p>
        </w:tc>
      </w:tr>
      <w:tr>
        <w:tc>
          <w:tcPr>
            <w:tcW w:type="dxa" w:w="5100"/>
          </w:tcPr>
          <w:p>
            <w:r/>
            <w:r>
              <w:rPr>
                <w:b/>
                <w:sz w:val="22"/>
              </w:rPr>
              <w:t>Top Risk 1</w:t>
            </w:r>
          </w:p>
        </w:tc>
        <w:tc>
          <w:tcPr>
            <w:tcW w:type="dxa" w:w="5100"/>
          </w:tcPr>
          <w:p>
            <w:r/>
            <w:r>
              <w:rPr>
                <w:sz w:val="22"/>
              </w:rPr>
              <w:t>GIFT Nifty's contradictory pre-market signal — true open direction unknown until first 15-min candle</w:t>
            </w:r>
          </w:p>
        </w:tc>
      </w:tr>
      <w:tr>
        <w:tc>
          <w:tcPr>
            <w:tcW w:type="dxa" w:w="5100"/>
          </w:tcPr>
          <w:p>
            <w:r/>
            <w:r>
              <w:rPr>
                <w:b/>
                <w:sz w:val="22"/>
              </w:rPr>
              <w:t>Top Risk 2</w:t>
            </w:r>
          </w:p>
        </w:tc>
        <w:tc>
          <w:tcPr>
            <w:tcW w:type="dxa" w:w="5100"/>
          </w:tcPr>
          <w:p>
            <w:r/>
            <w:r>
              <w:rPr>
                <w:sz w:val="22"/>
              </w:rPr>
              <w:t>Any Iran/Hormuz/Israel-Lebanon escalation headline — fragile MOU, already breached once</w:t>
            </w:r>
          </w:p>
        </w:tc>
      </w:tr>
      <w:tr>
        <w:tc>
          <w:tcPr>
            <w:tcW w:type="dxa" w:w="5100"/>
          </w:tcPr>
          <w:p>
            <w:r/>
            <w:r>
              <w:rPr>
                <w:b/>
                <w:sz w:val="22"/>
              </w:rPr>
              <w:t>Top Risk 3</w:t>
            </w:r>
          </w:p>
        </w:tc>
        <w:tc>
          <w:tcPr>
            <w:tcW w:type="dxa" w:w="5100"/>
          </w:tcPr>
          <w:p>
            <w:r/>
            <w:r>
              <w:rPr>
                <w:sz w:val="22"/>
              </w:rPr>
              <w:t>Capital-fit filter failure across all 6 shortlisted names — see Section 5 flag</w:t>
            </w:r>
          </w:p>
        </w:tc>
      </w:tr>
      <w:tr>
        <w:tc>
          <w:tcPr>
            <w:tcW w:type="dxa" w:w="5100"/>
          </w:tcPr>
          <w:p>
            <w:r/>
            <w:r>
              <w:rPr>
                <w:b/>
                <w:sz w:val="22"/>
              </w:rPr>
              <w:t>Entry Permission</w:t>
            </w:r>
          </w:p>
        </w:tc>
        <w:tc>
          <w:tcPr>
            <w:tcW w:type="dxa" w:w="5100"/>
          </w:tcPr>
          <w:p>
            <w:r/>
            <w:r>
              <w:rPr>
                <w:sz w:val="22"/>
              </w:rPr>
              <w:t>YELLOW — wait 45-60 minutes post-open for direction confirmation before sizing up</w:t>
            </w:r>
          </w:p>
        </w:tc>
      </w:tr>
    </w:tbl>
    <w:p/>
    <w:p>
      <w:r>
        <w:rPr>
          <w:b/>
          <w:i w:val="0"/>
          <w:sz w:val="22"/>
        </w:rPr>
        <w:t>Bull case:</w:t>
      </w:r>
    </w:p>
    <w:p>
      <w:r>
        <w:rPr>
          <w:b w:val="0"/>
          <w:i w:val="0"/>
          <w:sz w:val="22"/>
        </w:rPr>
        <w:t>GIFT Nifty resolves toward the +68pt gap-up read, Hormuz stays calm through the session, DII buying continues to absorb FII selling, and auto-sector strength broadens. Nifty tests 24,150-24,200.</w:t>
      </w:r>
    </w:p>
    <w:p>
      <w:r>
        <w:rPr>
          <w:b/>
          <w:i w:val="0"/>
          <w:sz w:val="22"/>
        </w:rPr>
        <w:t>Bear case:</w:t>
      </w:r>
    </w:p>
    <w:p>
      <w:r>
        <w:rPr>
          <w:b w:val="0"/>
          <w:i w:val="0"/>
          <w:sz w:val="22"/>
        </w:rPr>
        <w:t>GIFT Nifty resolves toward the 'slightly red' read, a fresh Hormuz/Iran headline hits, or the hawkish Fed dot-plot narrative gains traction in FII flows. Nifty retests 23,895 then 23,865.</w:t>
      </w:r>
    </w:p>
    <w:p>
      <w:r>
        <w:rPr>
          <w:b/>
          <w:i w:val="0"/>
          <w:sz w:val="22"/>
        </w:rPr>
        <w:t>Most likely scenario:</w:t>
      </w:r>
    </w:p>
    <w:p>
      <w:r>
        <w:rPr>
          <w:b w:val="0"/>
          <w:i w:val="0"/>
          <w:sz w:val="22"/>
        </w:rPr>
        <w:t>A choppy, headline-driven session inside 23,895-24,150 given the two genuinely conflicting GIFT Nifty reads — patience in the first hour is worth more than an early position today.</w:t>
      </w:r>
    </w:p>
    <w:p/>
    <w:p>
      <w:r>
        <w:rPr>
          <w:b/>
          <w:i w:val="0"/>
          <w:color w:val="C00000"/>
          <w:sz w:val="24"/>
        </w:rPr>
        <w:t>THE ONE NUMBER THAT MATTERS: MCX crude ₹7,500 — the AGGRESSIVE BULL vs CAUTION boundary. Currently ₹900 clear of it, but WTI has round-tripped 5-10% on single Iran headlines before.</w:t>
      </w:r>
    </w:p>
    <w:p/>
    <w:p>
      <w:pPr>
        <w:pStyle w:val="Heading1"/>
      </w:pPr>
      <w:r>
        <w:rPr>
          <w:color w:val="1F3864"/>
        </w:rPr>
        <w:t>Section 8 — Note on Paper Trading Today</w:t>
      </w:r>
    </w:p>
    <w:p>
      <w:pPr>
        <w:pStyle w:val="ListBullet"/>
      </w:pPr>
      <w:r>
        <w:t>trade_log.txt is currently empty — this is the first entry point after the 10-week gap. Log every signal the system fires today (fired/not fired, direction, outcome) so tomorrow's postmortem is possible.</w:t>
      </w:r>
    </w:p>
    <w:p>
      <w:pPr>
        <w:pStyle w:val="ListBullet"/>
      </w:pPr>
      <w:r>
        <w:t>Watch specifically whether the system fires on Maruti/IndiGo (aggressive-bull-aligned CALLs) or on ONGC/Hero MotoCorp (contrarian PUTs) — divergence between system signals and this brief's thesis on the crude-regime trades (ONGC, IndiGo) is the most informative test given how fresh the regime shift is.</w:t>
      </w:r>
    </w:p>
    <w:p>
      <w:pPr>
        <w:pStyle w:val="ListBullet"/>
      </w:pPr>
      <w:r>
        <w:t>Zero-trade-day count: resetting to 0 today given the logging gap; do not treat prior silence as data.</w:t>
      </w:r>
    </w:p>
    <w:p/>
    <w:p>
      <w:r>
        <w:rPr>
          <w:b/>
          <w:i w:val="0"/>
          <w:color w:val="1F3864"/>
          <w:sz w:val="26"/>
        </w:rPr>
        <w:t>ONE-LINE SUMMARY</w:t>
      </w:r>
    </w:p>
    <w:p>
      <w:r>
        <w:rPr>
          <w:b w:val="0"/>
          <w:i/>
          <w:sz w:val="24"/>
        </w:rPr>
        <w:t>"First brief in 10 weeks — no postmortem possible, methodology unscored. Crude has crashed to AGGRESSIVE BULL (~₹6,600 MCX) despite an unresolved Iran/Hormuz conflict; GIFT Nifty gives two contradictory pre-market reads, so entry permission is YELLOW — wait 45-60 min for confirmation. Auto (Maruti CALL / Hero MotoCorp PUT), IndiGo CALL and a contrarian ONGC PUT lead the six-stock list; Bharti Airtel and BEL round out diversification. All six fail the account's own capital-fit filter at current prices — size down to 1 lot regardless of grade. Watch for any Hormuz headline all session."</w:t>
      </w:r>
    </w:p>
    <w:p/>
    <w:p/>
    <w:p>
      <w:pPr>
        <w:jc w:val="center"/>
      </w:pPr>
      <w:r>
        <w:rPr>
          <w:i/>
          <w:color w:val="808080"/>
          <w:sz w:val="18"/>
        </w:rPr>
        <w:t>Generated by Daily Trading Routine — for personal educational / paper-trading use only. Not financial advice. Multiple data points in this brief carry source discrepancies or are stale — verify all levels against a live terminal before 9:15 AM IST.</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