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D4ED8"/>
          <w:spacing w:val="20"/>
          <w:sz w:val="18"/>
          <w:szCs w:val="18"/>
        </w:rPr>
        <w:t xml:space="preserve">PROJECT STATUS &amp; SYSTEM OVERVIEW</w:t>
      </w:r>
    </w:p>
    <w:p>
      <w:pPr>
        <w:spacing w:after="100"/>
        <w:jc w:val="center"/>
      </w:pPr>
      <w:r>
        <w:rPr>
          <w:b/>
          <w:bCs/>
          <w:sz w:val="40"/>
          <w:szCs w:val="40"/>
        </w:rPr>
        <w:t xml:space="preserve">Global Alert — Multi-Hazard Early Warning System (MHEWS)</w:t>
      </w:r>
    </w:p>
    <w:p>
      <w:pPr>
        <w:spacing w:after="80"/>
        <w:jc w:val="center"/>
      </w:pPr>
      <w:r>
        <w:rPr>
          <w:color w:val="5B6478"/>
          <w:sz w:val="22"/>
          <w:szCs w:val="22"/>
        </w:rPr>
        <w:t xml:space="preserve">A plain-language briefing for project leadership, partner organizations, and incoming engineers</w:t>
      </w:r>
    </w:p>
    <w:p>
      <w:pPr>
        <w:pBdr>
          <w:bottom w:val="single" w:color="1D4ED8" w:sz="16" w:space="8"/>
        </w:pBdr>
        <w:spacing w:after="300"/>
        <w:jc w:val="center"/>
      </w:pPr>
      <w:r>
        <w:rPr>
          <w:color w:val="5B6478"/>
          <w:sz w:val="16"/>
          <w:szCs w:val="16"/>
        </w:rPr>
        <w:t xml:space="preserve">Prepared 2026-07-28  ·  Reflects live production status as of this date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single" w:color="1D4ED8" w:sz="24"/>
              <w:bottom w:val="none"/>
              <w:right w:val="none"/>
            </w:tcBorders>
            <w:shd w:fill="EEF2FF" w:val="clear"/>
            <w:tcMar>
              <w:top w:type="dxa" w:w="160"/>
              <w:left w:type="dxa" w:w="220"/>
              <w:bottom w:type="dxa" w:w="160"/>
              <w:right w:type="dxa" w:w="220"/>
            </w:tcMar>
          </w:tcPr>
          <w:p>
            <w:r>
              <w:rPr>
                <w:b/>
                <w:bCs/>
              </w:rPr>
              <w:t xml:space="preserve">In one sentence: </w:t>
            </w:r>
            <w:r>
              <w:t xml:space="preserve">Global Alert is a real-time, multi-hazard early warning platform — it watches earthquakes, wildfires, floods, drought, food-security crises, tsunamis, cyclones and disease outbreaks worldwide, shows them on a live map alongside the population and infrastructure they threaten, and gives disaster-management staff the tools to turn that information into an official public alert.</w:t>
            </w:r>
          </w:p>
        </w:tc>
      </w:tr>
    </w:tbl>
    <w:p>
      <w:pPr>
        <w:spacing w:after="200" w:before="2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c>
          <w:tcPr>
            <w:tcW w:type="dxa" w:w="2520"/>
            <w:tcBorders>
              <w:top w:val="single" w:color="BBF0CC" w:sz="4"/>
              <w:left w:val="single" w:color="BBF0CC" w:sz="4"/>
              <w:bottom w:val="single" w:color="BBF0CC" w:sz="4"/>
              <w:right w:val="single" w:color="BBF0CC" w:sz="4"/>
            </w:tcBorders>
            <w:shd w:fill="ECFDF3" w:val="clear"/>
            <w:tcMar>
              <w:top w:type="dxa" w:w="160"/>
              <w:left w:type="dxa" w:w="100"/>
              <w:bottom w:type="dxa" w:w="160"/>
              <w:right w:type="dxa" w:w="100"/>
            </w:tcMar>
          </w:tcPr>
          <w:p>
            <w:pPr>
              <w:spacing w:after="40"/>
              <w:jc w:val="center"/>
            </w:pPr>
            <w:r>
              <w:rPr>
                <w:b/>
                <w:bCs/>
                <w:color w:val="16A34A"/>
                <w:sz w:val="34"/>
                <w:szCs w:val="34"/>
              </w:rPr>
              <w:t xml:space="preserve">99.8%</w:t>
            </w:r>
          </w:p>
          <w:p>
            <w:pPr>
              <w:jc w:val="center"/>
            </w:pPr>
            <w:r>
              <w:rPr>
                <w:color w:val="5B6478"/>
                <w:sz w:val="16"/>
                <w:szCs w:val="16"/>
              </w:rPr>
              <w:t xml:space="preserve">of tracked work complete</w:t>
            </w:r>
          </w:p>
        </w:tc>
        <w:tc>
          <w:tcPr>
            <w:tcW w:type="dxa" w:w="2520"/>
            <w:tcBorders>
              <w:top w:val="single" w:color="BBF0CC" w:sz="4"/>
              <w:left w:val="single" w:color="BBF0CC" w:sz="4"/>
              <w:bottom w:val="single" w:color="BBF0CC" w:sz="4"/>
              <w:right w:val="single" w:color="BBF0CC" w:sz="4"/>
            </w:tcBorders>
            <w:shd w:fill="ECFDF3" w:val="clear"/>
            <w:tcMar>
              <w:top w:type="dxa" w:w="160"/>
              <w:left w:type="dxa" w:w="100"/>
              <w:bottom w:type="dxa" w:w="160"/>
              <w:right w:type="dxa" w:w="100"/>
            </w:tcMar>
          </w:tcPr>
          <w:p>
            <w:pPr>
              <w:spacing w:after="40"/>
              <w:jc w:val="center"/>
            </w:pPr>
            <w:r>
              <w:rPr>
                <w:b/>
                <w:bCs/>
                <w:color w:val="16A34A"/>
                <w:sz w:val="34"/>
                <w:szCs w:val="34"/>
              </w:rPr>
              <w:t xml:space="preserve">50</w:t>
            </w:r>
          </w:p>
          <w:p>
            <w:pPr>
              <w:jc w:val="center"/>
            </w:pPr>
            <w:r>
              <w:rPr>
                <w:color w:val="5B6478"/>
                <w:sz w:val="16"/>
                <w:szCs w:val="16"/>
              </w:rPr>
              <w:t xml:space="preserve">feature modules built</w:t>
            </w:r>
          </w:p>
        </w:tc>
        <w:tc>
          <w:tcPr>
            <w:tcW w:type="dxa" w:w="2520"/>
            <w:tcBorders>
              <w:top w:val="single" w:color="BBF0CC" w:sz="4"/>
              <w:left w:val="single" w:color="BBF0CC" w:sz="4"/>
              <w:bottom w:val="single" w:color="BBF0CC" w:sz="4"/>
              <w:right w:val="single" w:color="BBF0CC" w:sz="4"/>
            </w:tcBorders>
            <w:shd w:fill="ECFDF3" w:val="clear"/>
            <w:tcMar>
              <w:top w:type="dxa" w:w="160"/>
              <w:left w:type="dxa" w:w="100"/>
              <w:bottom w:type="dxa" w:w="160"/>
              <w:right w:type="dxa" w:w="100"/>
            </w:tcMar>
          </w:tcPr>
          <w:p>
            <w:pPr>
              <w:spacing w:after="40"/>
              <w:jc w:val="center"/>
            </w:pPr>
            <w:r>
              <w:rPr>
                <w:b/>
                <w:bCs/>
                <w:color w:val="16A34A"/>
                <w:sz w:val="34"/>
                <w:szCs w:val="34"/>
              </w:rPr>
              <w:t xml:space="preserve">3</w:t>
            </w:r>
          </w:p>
          <w:p>
            <w:pPr>
              <w:jc w:val="center"/>
            </w:pPr>
            <w:r>
              <w:rPr>
                <w:color w:val="5B6478"/>
                <w:sz w:val="16"/>
                <w:szCs w:val="16"/>
              </w:rPr>
              <w:t xml:space="preserve">countries live (TR/MG/MY)</w:t>
            </w:r>
          </w:p>
        </w:tc>
        <w:tc>
          <w:tcPr>
            <w:tcW w:type="dxa" w:w="2520"/>
            <w:tcBorders>
              <w:top w:val="single" w:color="BBF0CC" w:sz="4"/>
              <w:left w:val="single" w:color="BBF0CC" w:sz="4"/>
              <w:bottom w:val="single" w:color="BBF0CC" w:sz="4"/>
              <w:right w:val="single" w:color="BBF0CC" w:sz="4"/>
            </w:tcBorders>
            <w:shd w:fill="ECFDF3" w:val="clear"/>
            <w:tcMar>
              <w:top w:type="dxa" w:w="160"/>
              <w:left w:type="dxa" w:w="100"/>
              <w:bottom w:type="dxa" w:w="160"/>
              <w:right w:type="dxa" w:w="100"/>
            </w:tcMar>
          </w:tcPr>
          <w:p>
            <w:pPr>
              <w:spacing w:after="40"/>
              <w:jc w:val="center"/>
            </w:pPr>
            <w:r>
              <w:rPr>
                <w:b/>
                <w:bCs/>
                <w:color w:val="16A34A"/>
                <w:sz w:val="34"/>
                <w:szCs w:val="34"/>
              </w:rPr>
              <w:t xml:space="preserve">2</w:t>
            </w:r>
          </w:p>
          <w:p>
            <w:pPr>
              <w:jc w:val="center"/>
            </w:pPr>
            <w:r>
              <w:rPr>
                <w:color w:val="5B6478"/>
                <w:sz w:val="16"/>
                <w:szCs w:val="16"/>
              </w:rPr>
              <w:t xml:space="preserve">non-blocking items open</w:t>
            </w:r>
          </w:p>
        </w:tc>
      </w:tr>
    </w:tbl>
    <w:p>
      <w:pPr>
        <w:pStyle w:val="Heading2"/>
        <w:pBdr>
          <w:bottom w:val="single" w:color="DDE3EC" w:sz="8" w:space="4"/>
        </w:pBdr>
        <w:spacing w:after="160" w:before="360"/>
      </w:pPr>
      <w:r>
        <w:rPr>
          <w:b/>
          <w:bCs/>
          <w:color w:val="1D4ED8"/>
        </w:rPr>
        <w:t xml:space="preserve">1. </w:t>
      </w:r>
      <w:r>
        <w:t xml:space="preserve">What This Project Is</w:t>
      </w:r>
    </w:p>
    <w:p>
      <w:pPr>
        <w:spacing w:after="160"/>
      </w:pPr>
      <w:r>
        <w:t xml:space="preserve">Global Alert (internally also called GEWS/MHEWS — Multi-Hazard Early Warning System) is a platform that disaster-management authorities use to do three things: see what hazards are happening right now anywhere in the world, understand who and what is actually at risk from a given hazard, and act — draft, approve, and send an official, standards-compliant public alert through email, WhatsApp, and a public web portal.</w:t>
      </w:r>
    </w:p>
    <w:p>
      <w:pPr>
        <w:spacing w:after="160"/>
      </w:pPr>
      <w:r>
        <w:t xml:space="preserve">It is built to be handed over, country by country, as a self-contained product: each country’s disaster agency gets its own administrators, its own users, and — eventually, once the setup wizard described in Section 3 is built — its own independently hosted copy of the entire system.</w:t>
      </w:r>
    </w:p>
    <w:p>
      <w:pPr>
        <w:pStyle w:val="Heading2"/>
        <w:pBdr>
          <w:bottom w:val="single" w:color="DDE3EC" w:sz="8" w:space="4"/>
        </w:pBdr>
        <w:spacing w:after="160" w:before="360"/>
      </w:pPr>
      <w:r>
        <w:rPr>
          <w:b/>
          <w:bCs/>
          <w:color w:val="1D4ED8"/>
        </w:rPr>
        <w:t xml:space="preserve">2. </w:t>
      </w:r>
      <w:r>
        <w:t xml:space="preserve">How the System Works — Architecture &amp; Data Pipeline</w:t>
      </w:r>
    </w:p>
    <w:p>
      <w:pPr>
        <w:spacing w:after="160"/>
      </w:pPr>
      <w:r>
        <w:t xml:space="preserve">The system has three moving parts working together at all times: a set of automated data collectors, a central database that everything reads from and writes to, and the map/admin application that a human actually uses. Nothing here requires manual data entry to function — hazard events flow in on their own, continuously.</w:t>
      </w:r>
    </w:p>
    <w:p>
      <w:pPr>
        <w:pStyle w:val="Heading3"/>
        <w:spacing w:after="100" w:before="240"/>
      </w:pPr>
      <w:r>
        <w:t xml:space="preserve">2.1 — Data flows in from real, independent sources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DE3EC" w:sz="4"/>
              <w:left w:val="single" w:color="DDE3EC" w:sz="4"/>
              <w:bottom w:val="single" w:color="DDE3EC" w:sz="4"/>
              <w:right w:val="single" w:color="DDE3EC" w:sz="4"/>
            </w:tcBorders>
            <w:shd w:fill="F8FAFC" w:val="clear"/>
            <w:tcMar>
              <w:top w:type="dxa" w:w="140"/>
              <w:left w:type="dxa" w:w="120"/>
              <w:bottom w:type="dxa" w:w="140"/>
              <w:right w:type="dxa" w:w="120"/>
            </w:tcMar>
            <w:vAlign w:val="center"/>
          </w:tcPr>
          <w:p>
            <w:pPr>
              <w:spacing w:after="40"/>
              <w:jc w:val="center"/>
            </w:pPr>
            <w:r>
              <w:rPr>
                <w:b/>
                <w:bCs/>
                <w:sz w:val="19"/>
                <w:szCs w:val="19"/>
              </w:rPr>
              <w:t xml:space="preserve">Live hazard feeds</w:t>
            </w:r>
          </w:p>
          <w:p>
            <w:pPr>
              <w:jc w:val="center"/>
            </w:pPr>
            <w:r>
              <w:rPr>
                <w:color w:val="5B6478"/>
                <w:sz w:val="16"/>
                <w:szCs w:val="16"/>
              </w:rPr>
              <w:t xml:space="preserve">USGS, EMSC, AFAD, Kandilli, GEOFON (earthquakes) · NASA FIRMS (wildfire) · GDACS (multi-hazard) · WHO / PTWC / FEWS NET</w:t>
            </w:r>
          </w:p>
        </w:tc>
        <w:tc>
          <w:tcPr>
            <w:tcW w:type="dxa" w:w="3024"/>
            <w:tcBorders>
              <w:top w:val="single" w:color="DDE3EC" w:sz="4"/>
              <w:left w:val="single" w:color="DDE3EC" w:sz="4"/>
              <w:bottom w:val="single" w:color="DDE3EC" w:sz="4"/>
              <w:right w:val="single" w:color="DDE3EC" w:sz="4"/>
            </w:tcBorders>
            <w:shd w:fill="F8FAFC" w:val="clear"/>
            <w:tcMar>
              <w:top w:type="dxa" w:w="140"/>
              <w:left w:type="dxa" w:w="120"/>
              <w:bottom w:type="dxa" w:w="140"/>
              <w:right w:type="dxa" w:w="120"/>
            </w:tcMar>
            <w:vAlign w:val="center"/>
          </w:tcPr>
          <w:p>
            <w:pPr>
              <w:spacing w:after="40"/>
              <w:jc w:val="center"/>
            </w:pPr>
            <w:r>
              <w:rPr>
                <w:b/>
                <w:bCs/>
                <w:sz w:val="19"/>
                <w:szCs w:val="19"/>
              </w:rPr>
              <w:t xml:space="preserve">Aggregator service</w:t>
            </w:r>
          </w:p>
          <w:p>
            <w:pPr>
              <w:jc w:val="center"/>
            </w:pPr>
            <w:r>
              <w:rPr>
                <w:color w:val="5B6478"/>
                <w:sz w:val="16"/>
                <w:szCs w:val="16"/>
              </w:rPr>
              <w:t xml:space="preserve">Always-on background process. Normalizes every source, removes duplicates, stores the result.</w:t>
            </w:r>
          </w:p>
        </w:tc>
        <w:tc>
          <w:tcPr>
            <w:tcW w:type="dxa" w:w="3024"/>
            <w:tcBorders>
              <w:top w:val="single" w:color="DDE3EC" w:sz="4"/>
              <w:left w:val="single" w:color="DDE3EC" w:sz="4"/>
              <w:bottom w:val="single" w:color="DDE3EC" w:sz="4"/>
              <w:right w:val="single" w:color="DDE3EC" w:sz="4"/>
            </w:tcBorders>
            <w:shd w:fill="F8FAFC" w:val="clear"/>
            <w:tcMar>
              <w:top w:type="dxa" w:w="140"/>
              <w:left w:type="dxa" w:w="120"/>
              <w:bottom w:type="dxa" w:w="140"/>
              <w:right w:type="dxa" w:w="120"/>
            </w:tcMar>
            <w:vAlign w:val="center"/>
          </w:tcPr>
          <w:p>
            <w:pPr>
              <w:spacing w:after="40"/>
              <w:jc w:val="center"/>
            </w:pPr>
            <w:r>
              <w:rPr>
                <w:b/>
                <w:bCs/>
                <w:sz w:val="19"/>
                <w:szCs w:val="19"/>
              </w:rPr>
              <w:t xml:space="preserve">Database</w:t>
            </w:r>
          </w:p>
          <w:p>
            <w:pPr>
              <w:jc w:val="center"/>
            </w:pPr>
            <w:r>
              <w:rPr>
                <w:color w:val="5B6478"/>
                <w:sz w:val="16"/>
                <w:szCs w:val="16"/>
              </w:rPr>
              <w:t xml:space="preserve">Supabase (PostgreSQL + real-time updates). Every connected map updates instantly.</w:t>
            </w:r>
          </w:p>
        </w:tc>
      </w:tr>
    </w:tbl>
    <w:p>
      <w:pPr>
        <w:spacing w:after="160" w:before="160"/>
      </w:pPr>
      <w:r>
        <w:t xml:space="preserve">A country’s disaster agency can also add its own additional data source at any time from the admin panel — no engineering work required — and the same pipeline picks it up automatically.</w:t>
      </w:r>
    </w:p>
    <w:p>
      <w:pPr>
        <w:pStyle w:val="Heading3"/>
        <w:spacing w:after="100" w:before="240"/>
      </w:pPr>
      <w:r>
        <w:t xml:space="preserve">2.2 — Context layers: what’s actually on the ground</w:t>
      </w:r>
    </w:p>
    <w:p>
      <w:pPr>
        <w:spacing w:after="160"/>
      </w:pPr>
      <w:r>
        <w:t xml:space="preserve">A hazard event on its own only says “something happened here.” To answer “who is affected,” the system separately imports real-world context data for each served country and keeps it ready on the map: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960"/>
      </w:tblGrid>
      <w:tr>
        <w:trPr>
          <w:tblHeader/>
        </w:trPr>
        <w:tc>
          <w:tcPr>
            <w:tcW w:type="dxa" w:w="2200"/>
            <w:tcBorders>
              <w:top w:val="single" w:color="DDE3EC" w:sz="4"/>
              <w:left w:val="single" w:color="DDE3EC" w:sz="4"/>
              <w:bottom w:val="single" w:color="DDE3EC" w:sz="4"/>
              <w:right w:val="single" w:color="DDE3EC" w:sz="4"/>
            </w:tcBorders>
            <w:shd w:fill="F8FAFC" w:val="clear"/>
            <w:tcMar>
              <w:top w:type="dxa" w:w="60"/>
              <w:left w:type="dxa" w:w="100"/>
              <w:bottom w:type="dxa" w:w="60"/>
              <w:right w:type="dxa" w:w="100"/>
            </w:tcMar>
          </w:tcPr>
          <w:p>
            <w:r>
              <w:rPr>
                <w:b/>
                <w:bCs/>
                <w:sz w:val="16"/>
                <w:szCs w:val="16"/>
              </w:rPr>
              <w:t xml:space="preserve">Layer</w:t>
            </w:r>
          </w:p>
        </w:tc>
        <w:tc>
          <w:tcPr>
            <w:tcW w:type="dxa" w:w="3200"/>
            <w:tcBorders>
              <w:top w:val="single" w:color="DDE3EC" w:sz="4"/>
              <w:left w:val="single" w:color="DDE3EC" w:sz="4"/>
              <w:bottom w:val="single" w:color="DDE3EC" w:sz="4"/>
              <w:right w:val="single" w:color="DDE3EC" w:sz="4"/>
            </w:tcBorders>
            <w:shd w:fill="F8FAFC" w:val="clear"/>
            <w:tcMar>
              <w:top w:type="dxa" w:w="60"/>
              <w:left w:type="dxa" w:w="100"/>
              <w:bottom w:type="dxa" w:w="60"/>
              <w:right w:type="dxa" w:w="100"/>
            </w:tcMar>
          </w:tcPr>
          <w:p>
            <w:r>
              <w:rPr>
                <w:b/>
                <w:bCs/>
                <w:sz w:val="16"/>
                <w:szCs w:val="16"/>
              </w:rPr>
              <w:t xml:space="preserve">Real Source</w:t>
            </w:r>
          </w:p>
        </w:tc>
        <w:tc>
          <w:tcPr>
            <w:tcW w:type="dxa" w:w="3960"/>
            <w:tcBorders>
              <w:top w:val="single" w:color="DDE3EC" w:sz="4"/>
              <w:left w:val="single" w:color="DDE3EC" w:sz="4"/>
              <w:bottom w:val="single" w:color="DDE3EC" w:sz="4"/>
              <w:right w:val="single" w:color="DDE3EC" w:sz="4"/>
            </w:tcBorders>
            <w:shd w:fill="F8FAFC" w:val="clear"/>
            <w:tcMar>
              <w:top w:type="dxa" w:w="60"/>
              <w:left w:type="dxa" w:w="100"/>
              <w:bottom w:type="dxa" w:w="60"/>
              <w:right w:type="dxa" w:w="100"/>
            </w:tcMar>
          </w:tcPr>
          <w:p>
            <w:r>
              <w:rPr>
                <w:b/>
                <w:bCs/>
                <w:sz w:val="16"/>
                <w:szCs w:val="16"/>
              </w:rPr>
              <w:t xml:space="preserve">What It Answers</w:t>
            </w:r>
          </w:p>
        </w:tc>
      </w:tr>
      <w:tr>
        <w:tc>
          <w:tcPr>
            <w:tcW w:type="dxa" w:w="220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b/>
                <w:bCs/>
              </w:rPr>
              <w:t xml:space="preserve">Population density</w:t>
            </w:r>
          </w:p>
        </w:tc>
        <w:tc>
          <w:tcPr>
            <w:tcW w:type="dxa" w:w="320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sz w:val="18"/>
                <w:szCs w:val="18"/>
              </w:rPr>
              <w:t xml:space="preserve">WorldPop, Meta/HDX, GHSL</w:t>
            </w:r>
          </w:p>
        </w:tc>
        <w:tc>
          <w:tcPr>
            <w:tcW w:type="dxa" w:w="396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sz w:val="18"/>
                <w:szCs w:val="18"/>
              </w:rPr>
              <w:t xml:space="preserve">How many people live near this hazard?</w:t>
            </w:r>
          </w:p>
        </w:tc>
      </w:tr>
      <w:tr>
        <w:tc>
          <w:tcPr>
            <w:tcW w:type="dxa" w:w="220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b/>
                <w:bCs/>
              </w:rPr>
              <w:t xml:space="preserve">Critical infrastructure</w:t>
            </w:r>
          </w:p>
        </w:tc>
        <w:tc>
          <w:tcPr>
            <w:tcW w:type="dxa" w:w="320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sz w:val="18"/>
                <w:szCs w:val="18"/>
              </w:rPr>
              <w:t xml:space="preserve">OpenStreetMap</w:t>
            </w:r>
          </w:p>
        </w:tc>
        <w:tc>
          <w:tcPr>
            <w:tcW w:type="dxa" w:w="396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sz w:val="18"/>
                <w:szCs w:val="18"/>
              </w:rPr>
              <w:t xml:space="preserve">Which specific facilities are nearby, filterable by category</w:t>
            </w:r>
          </w:p>
        </w:tc>
      </w:tr>
      <w:tr>
        <w:tc>
          <w:tcPr>
            <w:tcW w:type="dxa" w:w="220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b/>
                <w:bCs/>
              </w:rPr>
              <w:t xml:space="preserve">General building density</w:t>
            </w:r>
          </w:p>
        </w:tc>
        <w:tc>
          <w:tcPr>
            <w:tcW w:type="dxa" w:w="320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sz w:val="18"/>
                <w:szCs w:val="18"/>
              </w:rPr>
              <w:t xml:space="preserve">Microsoft global building-footprint dataset</w:t>
            </w:r>
          </w:p>
        </w:tc>
        <w:tc>
          <w:tcPr>
            <w:tcW w:type="dxa" w:w="396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sz w:val="18"/>
                <w:szCs w:val="18"/>
              </w:rPr>
              <w:t xml:space="preserve">How dense is construction in this area? (~128,000 measured cells for Turkey alone)</w:t>
            </w:r>
          </w:p>
        </w:tc>
      </w:tr>
      <w:tr>
        <w:tc>
          <w:tcPr>
            <w:tcW w:type="dxa" w:w="220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b/>
                <w:bCs/>
              </w:rPr>
              <w:t xml:space="preserve">Rivers &amp; watersheds</w:t>
            </w:r>
          </w:p>
        </w:tc>
        <w:tc>
          <w:tcPr>
            <w:tcW w:type="dxa" w:w="320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sz w:val="18"/>
                <w:szCs w:val="18"/>
              </w:rPr>
              <w:t xml:space="preserve">HydroRIVERS/HydroBASINS, GloFAS</w:t>
            </w:r>
          </w:p>
        </w:tc>
        <w:tc>
          <w:tcPr>
            <w:tcW w:type="dxa" w:w="396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sz w:val="18"/>
                <w:szCs w:val="18"/>
              </w:rPr>
              <w:t xml:space="preserve">Flood/liquefaction exposure near water</w:t>
            </w:r>
          </w:p>
        </w:tc>
      </w:tr>
      <w:tr>
        <w:tc>
          <w:tcPr>
            <w:tcW w:type="dxa" w:w="220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b/>
                <w:bCs/>
              </w:rPr>
              <w:t xml:space="preserve">Terrain steepness</w:t>
            </w:r>
          </w:p>
        </w:tc>
        <w:tc>
          <w:tcPr>
            <w:tcW w:type="dxa" w:w="320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sz w:val="18"/>
                <w:szCs w:val="18"/>
              </w:rPr>
              <w:t xml:space="preserve">Copernicus satellite elevation</w:t>
            </w:r>
          </w:p>
        </w:tc>
        <w:tc>
          <w:tcPr>
            <w:tcW w:type="dxa" w:w="396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sz w:val="18"/>
                <w:szCs w:val="18"/>
              </w:rPr>
              <w:t xml:space="preserve">Landslide-susceptible zones after an earthquake</w:t>
            </w:r>
          </w:p>
        </w:tc>
      </w:tr>
      <w:tr>
        <w:tc>
          <w:tcPr>
            <w:tcW w:type="dxa" w:w="220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b/>
                <w:bCs/>
              </w:rPr>
              <w:t xml:space="preserve">Rainfall &amp; drought</w:t>
            </w:r>
          </w:p>
        </w:tc>
        <w:tc>
          <w:tcPr>
            <w:tcW w:type="dxa" w:w="320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sz w:val="18"/>
                <w:szCs w:val="18"/>
              </w:rPr>
              <w:t xml:space="preserve">CHIRPS, vegetation/soil-moisture anomaly indices</w:t>
            </w:r>
          </w:p>
        </w:tc>
        <w:tc>
          <w:tcPr>
            <w:tcW w:type="dxa" w:w="396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sz w:val="18"/>
                <w:szCs w:val="18"/>
              </w:rPr>
              <w:t xml:space="preserve">Drought and food-security risk trends</w:t>
            </w:r>
          </w:p>
        </w:tc>
      </w:tr>
    </w:tbl>
    <w:p>
      <w:pPr>
        <w:spacing w:after="160" w:before="160"/>
      </w:pPr>
      <w:r>
        <w:t xml:space="preserve">These imports run as separate, independent background jobs that can be re-run per country at any time to refresh the data, without touching the live hazard-monitoring pipeline at all.</w:t>
      </w:r>
    </w:p>
    <w:p>
      <w:pPr>
        <w:pStyle w:val="Heading3"/>
        <w:spacing w:after="100" w:before="240"/>
      </w:pPr>
      <w:r>
        <w:t xml:space="preserve">2.3 — Turning data into a decision: the cascading-risk engine</w:t>
      </w:r>
    </w:p>
    <w:p>
      <w:pPr>
        <w:spacing w:after="160"/>
      </w:pPr>
      <w:r>
        <w:t xml:space="preserve">A defining feature of this system is that it can flag secondary risks a hazard creates — e.g. “this earthquake is close enough to a river that liquefaction-driven flooding is plausible,” or “terrain steepness near this epicenter suggests landslide risk.” This is done with simple, transparent, admin-editable rules (“if magnitude ≥ X and distance to Y ≤ Z km, then flag risk category W”) — deliberately not a machine-learning model. Every triggered recommendation can be traced back to the exact rule and threshold that produced it, which matters a great deal for an external body auditing the system’s reasoning (e.g. a UN partner reviewing methodology).</w:t>
      </w:r>
    </w:p>
    <w:p>
      <w:pPr>
        <w:pStyle w:val="Heading3"/>
        <w:spacing w:after="100" w:before="240"/>
      </w:pPr>
      <w:r>
        <w:t xml:space="preserve">2.4 — From detection to public alert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DE3EC" w:sz="4"/>
              <w:left w:val="single" w:color="DDE3EC" w:sz="4"/>
              <w:bottom w:val="single" w:color="DDE3EC" w:sz="4"/>
              <w:right w:val="single" w:color="DDE3EC" w:sz="4"/>
            </w:tcBorders>
            <w:shd w:fill="F8FAFC" w:val="clear"/>
            <w:tcMar>
              <w:top w:type="dxa" w:w="140"/>
              <w:left w:type="dxa" w:w="120"/>
              <w:bottom w:type="dxa" w:w="140"/>
              <w:right w:type="dxa" w:w="120"/>
            </w:tcMar>
            <w:vAlign w:val="center"/>
          </w:tcPr>
          <w:p>
            <w:pPr>
              <w:spacing w:after="40"/>
              <w:jc w:val="center"/>
            </w:pPr>
            <w:r>
              <w:rPr>
                <w:b/>
                <w:bCs/>
                <w:sz w:val="19"/>
                <w:szCs w:val="19"/>
              </w:rPr>
              <w:t xml:space="preserve">Detected event</w:t>
            </w:r>
          </w:p>
          <w:p>
            <w:pPr>
              <w:jc w:val="center"/>
            </w:pPr>
            <w:r>
              <w:rPr>
                <w:color w:val="5B6478"/>
                <w:sz w:val="16"/>
                <w:szCs w:val="16"/>
              </w:rPr>
              <w:t xml:space="preserve">Real hazard on the live map, or a manually reported community incident</w:t>
            </w:r>
          </w:p>
        </w:tc>
        <w:tc>
          <w:tcPr>
            <w:tcW w:type="dxa" w:w="2268"/>
            <w:tcBorders>
              <w:top w:val="single" w:color="DDE3EC" w:sz="4"/>
              <w:left w:val="single" w:color="DDE3EC" w:sz="4"/>
              <w:bottom w:val="single" w:color="DDE3EC" w:sz="4"/>
              <w:right w:val="single" w:color="DDE3EC" w:sz="4"/>
            </w:tcBorders>
            <w:shd w:fill="F8FAFC" w:val="clear"/>
            <w:tcMar>
              <w:top w:type="dxa" w:w="140"/>
              <w:left w:type="dxa" w:w="120"/>
              <w:bottom w:type="dxa" w:w="140"/>
              <w:right w:type="dxa" w:w="120"/>
            </w:tcMar>
            <w:vAlign w:val="center"/>
          </w:tcPr>
          <w:p>
            <w:pPr>
              <w:spacing w:after="40"/>
              <w:jc w:val="center"/>
            </w:pPr>
            <w:r>
              <w:rPr>
                <w:b/>
                <w:bCs/>
                <w:sz w:val="19"/>
                <w:szCs w:val="19"/>
              </w:rPr>
              <w:t xml:space="preserve">Draft alert (CAP)</w:t>
            </w:r>
          </w:p>
          <w:p>
            <w:pPr>
              <w:jc w:val="center"/>
            </w:pPr>
            <w:r>
              <w:rPr>
                <w:color w:val="5B6478"/>
                <w:sz w:val="16"/>
                <w:szCs w:val="16"/>
              </w:rPr>
              <w:t xml:space="preserve">Operator drafts a standards-compliant (OASIS CAP v1.2) public warning</w:t>
            </w:r>
          </w:p>
        </w:tc>
        <w:tc>
          <w:tcPr>
            <w:tcW w:type="dxa" w:w="2268"/>
            <w:tcBorders>
              <w:top w:val="single" w:color="DDE3EC" w:sz="4"/>
              <w:left w:val="single" w:color="DDE3EC" w:sz="4"/>
              <w:bottom w:val="single" w:color="DDE3EC" w:sz="4"/>
              <w:right w:val="single" w:color="DDE3EC" w:sz="4"/>
            </w:tcBorders>
            <w:shd w:fill="F8FAFC" w:val="clear"/>
            <w:tcMar>
              <w:top w:type="dxa" w:w="140"/>
              <w:left w:type="dxa" w:w="120"/>
              <w:bottom w:type="dxa" w:w="140"/>
              <w:right w:type="dxa" w:w="120"/>
            </w:tcMar>
            <w:vAlign w:val="center"/>
          </w:tcPr>
          <w:p>
            <w:pPr>
              <w:spacing w:after="40"/>
              <w:jc w:val="center"/>
            </w:pPr>
            <w:r>
              <w:rPr>
                <w:b/>
                <w:bCs/>
                <w:sz w:val="19"/>
                <w:szCs w:val="19"/>
              </w:rPr>
              <w:t xml:space="preserve">Four-eyes approval</w:t>
            </w:r>
          </w:p>
          <w:p>
            <w:pPr>
              <w:jc w:val="center"/>
            </w:pPr>
            <w:r>
              <w:rPr>
                <w:color w:val="5B6478"/>
                <w:sz w:val="16"/>
                <w:szCs w:val="16"/>
              </w:rPr>
              <w:t xml:space="preserve">A second, separate approver must sign off before anything goes out</w:t>
            </w:r>
          </w:p>
        </w:tc>
        <w:tc>
          <w:tcPr>
            <w:tcW w:type="dxa" w:w="2268"/>
            <w:tcBorders>
              <w:top w:val="single" w:color="DDE3EC" w:sz="4"/>
              <w:left w:val="single" w:color="DDE3EC" w:sz="4"/>
              <w:bottom w:val="single" w:color="DDE3EC" w:sz="4"/>
              <w:right w:val="single" w:color="DDE3EC" w:sz="4"/>
            </w:tcBorders>
            <w:shd w:fill="F8FAFC" w:val="clear"/>
            <w:tcMar>
              <w:top w:type="dxa" w:w="140"/>
              <w:left w:type="dxa" w:w="120"/>
              <w:bottom w:type="dxa" w:w="140"/>
              <w:right w:type="dxa" w:w="120"/>
            </w:tcMar>
            <w:vAlign w:val="center"/>
          </w:tcPr>
          <w:p>
            <w:pPr>
              <w:spacing w:after="40"/>
              <w:jc w:val="center"/>
            </w:pPr>
            <w:r>
              <w:rPr>
                <w:b/>
                <w:bCs/>
                <w:sz w:val="19"/>
                <w:szCs w:val="19"/>
              </w:rPr>
              <w:t xml:space="preserve">Dispatch</w:t>
            </w:r>
          </w:p>
          <w:p>
            <w:pPr>
              <w:jc w:val="center"/>
            </w:pPr>
            <w:r>
              <w:rPr>
                <w:color w:val="5B6478"/>
                <w:sz w:val="16"/>
                <w:szCs w:val="16"/>
              </w:rPr>
              <w:t xml:space="preserve">Email, WhatsApp, and a public web portal, with automatic retry and delivery tracking</w:t>
            </w:r>
          </w:p>
        </w:tc>
      </w:tr>
    </w:tbl>
    <w:p>
      <w:pPr>
        <w:spacing w:after="160" w:before="160"/>
      </w:pPr>
      <w:r>
        <w:t xml:space="preserve">Every step above — every login, edit, approval, and dispatch — is written to a tamper-evident audit log (a cryptographic hash chain, the same integrity idea used in blockchains), so the full history of any alert can be reconstructed and verified later.</w:t>
      </w:r>
    </w:p>
    <w:p>
      <w:pPr>
        <w:pStyle w:val="Heading3"/>
        <w:spacing w:after="100" w:before="240"/>
      </w:pPr>
      <w:r>
        <w:t xml:space="preserve">2.5 — Global sources vs. each country’s own local sources</w:t>
      </w:r>
    </w:p>
    <w:p>
      <w:pPr>
        <w:spacing w:after="160"/>
      </w:pPr>
      <w:r>
        <w:t xml:space="preserve">It’s worth being explicit about which data sources the platform provides out of the box, for every country, at no extra integration effort — versus sources a country adds itself for its own local needs.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DDE3EC" w:sz="4"/>
              <w:left w:val="single" w:color="DDE3EC" w:sz="4"/>
              <w:bottom w:val="single" w:color="DDE3EC" w:sz="4"/>
              <w:right w:val="single" w:color="DDE3EC" w:sz="4"/>
            </w:tcBorders>
            <w:shd w:fill="F8FAFC" w:val="clear"/>
            <w:tcMar>
              <w:top w:type="dxa" w:w="60"/>
              <w:left w:type="dxa" w:w="100"/>
              <w:bottom w:type="dxa" w:w="60"/>
              <w:right w:type="dxa" w:w="100"/>
            </w:tcMar>
          </w:tcPr>
          <w:p>
            <w:r>
              <w:rPr>
                <w:b/>
                <w:bCs/>
                <w:sz w:val="16"/>
                <w:szCs w:val="16"/>
              </w:rPr>
              <w:t xml:space="preserve">Global Source (provided to every country)</w:t>
            </w:r>
          </w:p>
        </w:tc>
        <w:tc>
          <w:tcPr>
            <w:tcW w:type="dxa" w:w="4680"/>
            <w:tcBorders>
              <w:top w:val="single" w:color="DDE3EC" w:sz="4"/>
              <w:left w:val="single" w:color="DDE3EC" w:sz="4"/>
              <w:bottom w:val="single" w:color="DDE3EC" w:sz="4"/>
              <w:right w:val="single" w:color="DDE3EC" w:sz="4"/>
            </w:tcBorders>
            <w:shd w:fill="F8FAFC" w:val="clear"/>
            <w:tcMar>
              <w:top w:type="dxa" w:w="60"/>
              <w:left w:type="dxa" w:w="100"/>
              <w:bottom w:type="dxa" w:w="60"/>
              <w:right w:type="dxa" w:w="100"/>
            </w:tcMar>
          </w:tcPr>
          <w:p>
            <w:r>
              <w:rPr>
                <w:b/>
                <w:bCs/>
                <w:sz w:val="16"/>
                <w:szCs w:val="16"/>
              </w:rPr>
              <w:t xml:space="preserve">Hazard / Data Type</w:t>
            </w:r>
          </w:p>
        </w:tc>
      </w:tr>
      <w:tr>
        <w:tc>
          <w:tcPr>
            <w:tcW w:type="dxa" w:w="468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b/>
                <w:bCs/>
              </w:rPr>
              <w:t xml:space="preserve">USGS, EMSC, GEOFON</w:t>
            </w:r>
          </w:p>
        </w:tc>
        <w:tc>
          <w:tcPr>
            <w:tcW w:type="dxa" w:w="468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sz w:val="18"/>
                <w:szCs w:val="18"/>
              </w:rPr>
              <w:t xml:space="preserve">Earthquakes (worldwide coverage)</w:t>
            </w:r>
          </w:p>
        </w:tc>
      </w:tr>
      <w:tr>
        <w:tc>
          <w:tcPr>
            <w:tcW w:type="dxa" w:w="468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b/>
                <w:bCs/>
              </w:rPr>
              <w:t xml:space="preserve">GDACS</w:t>
            </w:r>
          </w:p>
        </w:tc>
        <w:tc>
          <w:tcPr>
            <w:tcW w:type="dxa" w:w="468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sz w:val="18"/>
                <w:szCs w:val="18"/>
              </w:rPr>
              <w:t xml:space="preserve">Multi-hazard (earthquake, flood, tropical cyclone, drought, volcano)</w:t>
            </w:r>
          </w:p>
        </w:tc>
      </w:tr>
      <w:tr>
        <w:tc>
          <w:tcPr>
            <w:tcW w:type="dxa" w:w="468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b/>
                <w:bCs/>
              </w:rPr>
              <w:t xml:space="preserve">NASA FIRMS</w:t>
            </w:r>
          </w:p>
        </w:tc>
        <w:tc>
          <w:tcPr>
            <w:tcW w:type="dxa" w:w="468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sz w:val="18"/>
                <w:szCs w:val="18"/>
              </w:rPr>
              <w:t xml:space="preserve">Wildfire detection &amp; fire intensity (satellite)</w:t>
            </w:r>
          </w:p>
        </w:tc>
      </w:tr>
      <w:tr>
        <w:tc>
          <w:tcPr>
            <w:tcW w:type="dxa" w:w="468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b/>
                <w:bCs/>
              </w:rPr>
              <w:t xml:space="preserve">WHO</w:t>
            </w:r>
          </w:p>
        </w:tc>
        <w:tc>
          <w:tcPr>
            <w:tcW w:type="dxa" w:w="468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sz w:val="18"/>
                <w:szCs w:val="18"/>
              </w:rPr>
              <w:t xml:space="preserve">Epidemic / disease-outbreak alerts</w:t>
            </w:r>
          </w:p>
        </w:tc>
      </w:tr>
      <w:tr>
        <w:tc>
          <w:tcPr>
            <w:tcW w:type="dxa" w:w="468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b/>
                <w:bCs/>
              </w:rPr>
              <w:t xml:space="preserve">PTWC (Pacific Tsunami Warning Center)</w:t>
            </w:r>
          </w:p>
        </w:tc>
        <w:tc>
          <w:tcPr>
            <w:tcW w:type="dxa" w:w="468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sz w:val="18"/>
                <w:szCs w:val="18"/>
              </w:rPr>
              <w:t xml:space="preserve">Tsunami</w:t>
            </w:r>
          </w:p>
        </w:tc>
      </w:tr>
      <w:tr>
        <w:tc>
          <w:tcPr>
            <w:tcW w:type="dxa" w:w="468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b/>
                <w:bCs/>
              </w:rPr>
              <w:t xml:space="preserve">FEWS NET</w:t>
            </w:r>
          </w:p>
        </w:tc>
        <w:tc>
          <w:tcPr>
            <w:tcW w:type="dxa" w:w="468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sz w:val="18"/>
                <w:szCs w:val="18"/>
              </w:rPr>
              <w:t xml:space="preserve">Food security / famine early warning</w:t>
            </w:r>
          </w:p>
        </w:tc>
      </w:tr>
      <w:tr>
        <w:tc>
          <w:tcPr>
            <w:tcW w:type="dxa" w:w="468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b/>
                <w:bCs/>
              </w:rPr>
              <w:t xml:space="preserve">WorldPop, Meta/HDX, GHSL</w:t>
            </w:r>
          </w:p>
        </w:tc>
        <w:tc>
          <w:tcPr>
            <w:tcW w:type="dxa" w:w="468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sz w:val="18"/>
                <w:szCs w:val="18"/>
              </w:rPr>
              <w:t xml:space="preserve">Population density (three independent global datasets)</w:t>
            </w:r>
          </w:p>
        </w:tc>
      </w:tr>
      <w:tr>
        <w:tc>
          <w:tcPr>
            <w:tcW w:type="dxa" w:w="468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b/>
                <w:bCs/>
              </w:rPr>
              <w:t xml:space="preserve">Microsoft Global ML Building Footprints</w:t>
            </w:r>
          </w:p>
        </w:tc>
        <w:tc>
          <w:tcPr>
            <w:tcW w:type="dxa" w:w="468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sz w:val="18"/>
                <w:szCs w:val="18"/>
              </w:rPr>
              <w:t xml:space="preserve">Building density (worldwide)</w:t>
            </w:r>
          </w:p>
        </w:tc>
      </w:tr>
      <w:tr>
        <w:tc>
          <w:tcPr>
            <w:tcW w:type="dxa" w:w="468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b/>
                <w:bCs/>
              </w:rPr>
              <w:t xml:space="preserve">Copernicus satellite elevation data</w:t>
            </w:r>
          </w:p>
        </w:tc>
        <w:tc>
          <w:tcPr>
            <w:tcW w:type="dxa" w:w="468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sz w:val="18"/>
                <w:szCs w:val="18"/>
              </w:rPr>
              <w:t xml:space="preserve">Terrain steepness / landslide susceptibility</w:t>
            </w:r>
          </w:p>
        </w:tc>
      </w:tr>
      <w:tr>
        <w:tc>
          <w:tcPr>
            <w:tcW w:type="dxa" w:w="468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b/>
                <w:bCs/>
              </w:rPr>
              <w:t xml:space="preserve">HydroRIVERS / HydroBASINS, GloFAS</w:t>
            </w:r>
          </w:p>
        </w:tc>
        <w:tc>
          <w:tcPr>
            <w:tcW w:type="dxa" w:w="468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sz w:val="18"/>
                <w:szCs w:val="18"/>
              </w:rPr>
              <w:t xml:space="preserve">Rivers, watersheds, river discharge</w:t>
            </w:r>
          </w:p>
        </w:tc>
      </w:tr>
      <w:tr>
        <w:tc>
          <w:tcPr>
            <w:tcW w:type="dxa" w:w="468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b/>
                <w:bCs/>
              </w:rPr>
              <w:t xml:space="preserve">CHIRPS</w:t>
            </w:r>
          </w:p>
        </w:tc>
        <w:tc>
          <w:tcPr>
            <w:tcW w:type="dxa" w:w="468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sz w:val="18"/>
                <w:szCs w:val="18"/>
              </w:rPr>
              <w:t xml:space="preserve">Rainfall (drought indicators)</w:t>
            </w:r>
          </w:p>
        </w:tc>
      </w:tr>
    </w:tbl>
    <w:p>
      <w:pPr>
        <w:spacing w:after="160" w:before="160"/>
      </w:pPr>
      <w:r>
        <w:t xml:space="preserve">On top of this shared foundation, a country’s own disaster agency can add its own local sources from the admin panel at any time — e.g. Turkey’s AFAD and Kandilli earthquake networks, which report domestically before the global feeds do, or a national meteorological service’s own rainfall stations. Local sources are additive: they never replace the global feeds, they arrive earlier or in more local detail for that one country, and every other country continues to run on the shared global sources alone with no extra setup required.</w:t>
      </w:r>
    </w:p>
    <w:p>
      <w:r>
        <w:br w:type="page"/>
      </w:r>
    </w:p>
    <w:p>
      <w:pPr>
        <w:pStyle w:val="Heading2"/>
        <w:pBdr>
          <w:bottom w:val="single" w:color="DDE3EC" w:sz="8" w:space="4"/>
        </w:pBdr>
        <w:spacing w:after="160" w:before="360"/>
      </w:pPr>
      <w:r>
        <w:rPr>
          <w:b/>
          <w:bCs/>
          <w:color w:val="1D4ED8"/>
        </w:rPr>
        <w:t xml:space="preserve">3. </w:t>
      </w:r>
      <w:r>
        <w:t xml:space="preserve">What Happens Next: The Federated Setup Wizard</w:t>
      </w:r>
    </w:p>
    <w:p>
      <w:pPr>
        <w:spacing w:after="160"/>
      </w:pPr>
      <w:r>
        <w:t xml:space="preserve">Today, every served country (Turkey, Madagascar, Malaysia) runs on one shared, centrally-hosted system that we operate — already fully separated by country (a Turkey administrator cannot see Madagascar’s private data, and vice versa; this isolation is already built, tested, and running in production). The next stage of the project is letting each country instead run its own, fully independent copy — its own server, its own database, full data ownership — for organizations that require this for sovereignty or compliance reasons.</w:t>
      </w:r>
    </w:p>
    <w:p>
      <w:pPr>
        <w:pStyle w:val="Heading3"/>
        <w:spacing w:after="100" w:before="240"/>
      </w:pPr>
      <w:r>
        <w:t xml:space="preserve">3.1 — What already exists and will not need to be rebuilt</w:t>
      </w:r>
    </w:p>
    <w:p>
      <w:pPr>
        <w:pStyle w:val="ListParagraph"/>
        <w:numPr>
          <w:ilvl w:val="0"/>
          <w:numId w:val="2"/>
        </w:numPr>
        <w:spacing w:after="80"/>
      </w:pPr>
      <w:r>
        <w:t xml:space="preserve">The secure user-invitation system (a new user gets a one-time secure email link to set their own password — the same industry-standard mechanism used by major cloud platforms).</w:t>
      </w:r>
    </w:p>
    <w:p>
      <w:pPr>
        <w:pStyle w:val="ListParagraph"/>
        <w:numPr>
          <w:ilvl w:val="0"/>
          <w:numId w:val="2"/>
        </w:numPr>
        <w:spacing w:after="80"/>
      </w:pPr>
      <w:r>
        <w:t xml:space="preserve">The four-tier role hierarchy: Super Admin → Country Admin → Org Admin → Viewer, where a Country Admin can only invite/manage users within their own country, and so on down the chain.</w:t>
      </w:r>
    </w:p>
    <w:p>
      <w:pPr>
        <w:pStyle w:val="ListParagraph"/>
        <w:numPr>
          <w:ilvl w:val="0"/>
          <w:numId w:val="2"/>
        </w:numPr>
        <w:spacing w:after="80"/>
      </w:pPr>
      <w:r>
        <w:t xml:space="preserve">Self-service onboarding of a brand-new hazard type (e.g. “landslide”) from the admin panel, with zero engineering work required.</w:t>
      </w:r>
    </w:p>
    <w:p>
      <w:pPr>
        <w:pStyle w:val="Heading3"/>
        <w:spacing w:after="100" w:before="240"/>
      </w:pPr>
      <w:r>
        <w:t xml:space="preserve">3.2 — What still needs to be built</w:t>
      </w:r>
    </w:p>
    <w:p>
      <w:pPr>
        <w:pStyle w:val="ListParagraph"/>
        <w:numPr>
          <w:ilvl w:val="0"/>
          <w:numId w:val="3"/>
        </w:numPr>
        <w:spacing w:after="80"/>
      </w:pPr>
      <w:r>
        <w:t xml:space="preserve">The installer/setup wizard itself — a guided script that stands up a country’s own database, applies all of this system’s database structure to it, deploys the backend logic, and configures everything for that country’s own domain and server.</w:t>
      </w:r>
    </w:p>
    <w:p>
      <w:pPr>
        <w:pStyle w:val="ListParagraph"/>
        <w:numPr>
          <w:ilvl w:val="0"/>
          <w:numId w:val="3"/>
        </w:numPr>
        <w:spacing w:after="80"/>
      </w:pPr>
      <w:r>
        <w:t xml:space="preserve">A “first account” bootstrap step — today every account must be invited by an existing administrator; a brand-new installation has no administrator yet, so the installer needs to safely create exactly one first account to get started.</w:t>
      </w:r>
    </w:p>
    <w:p>
      <w:pPr>
        <w:pStyle w:val="ListParagraph"/>
        <w:numPr>
          <w:ilvl w:val="0"/>
          <w:numId w:val="3"/>
        </w:numPr>
        <w:spacing w:after="80"/>
      </w:pPr>
      <w:r>
        <w:t xml:space="preserve">Verification on real self-hosted infrastructure — the system depends on several background-automation features of our current hosting provider that are assumed, but not yet confirmed, to work identically once a country is running its own copy. This needs a real test installation before being promised to a country as ready.</w:t>
      </w:r>
    </w:p>
    <w:p>
      <w:pPr>
        <w:pStyle w:val="Heading3"/>
        <w:spacing w:after="100" w:before="240"/>
      </w:pPr>
      <w:r>
        <w:t xml:space="preserve">3.3 — What a country will need to provide / do</w:t>
      </w:r>
    </w:p>
    <w:p>
      <w:pPr>
        <w:pStyle w:val="ListParagraph"/>
        <w:numPr>
          <w:ilvl w:val="0"/>
          <w:numId w:val="2"/>
        </w:numPr>
        <w:spacing w:after="80"/>
      </w:pPr>
      <w:r>
        <w:t xml:space="preserve">Its own server (a VPS or on-premises machine) and a domain name with an SSL certificate.</w:t>
      </w:r>
    </w:p>
    <w:p>
      <w:pPr>
        <w:pStyle w:val="ListParagraph"/>
        <w:numPr>
          <w:ilvl w:val="0"/>
          <w:numId w:val="2"/>
        </w:numPr>
        <w:spacing w:after="80"/>
      </w:pPr>
      <w:r>
        <w:t xml:space="preserve">Someone with basic system-administration ability to run the guided installer and answer its prompts (technical, but not a software engineer).</w:t>
      </w:r>
    </w:p>
    <w:p>
      <w:pPr>
        <w:pStyle w:val="ListParagraph"/>
        <w:numPr>
          <w:ilvl w:val="0"/>
          <w:numId w:val="2"/>
        </w:numPr>
        <w:spacing w:after="80"/>
      </w:pPr>
      <w:r>
        <w:t xml:space="preserve">An initial access request sent to the central team, so the very first administrator account for that country can be created.</w:t>
      </w:r>
    </w:p>
    <w:p>
      <w:pPr>
        <w:pStyle w:val="Heading3"/>
        <w:spacing w:after="100" w:before="240"/>
      </w:pPr>
      <w:r>
        <w:t xml:space="preserve">3.4 — What “done” looks like</w:t>
      </w:r>
    </w:p>
    <w:p>
      <w:pPr>
        <w:spacing w:after="160"/>
      </w:pPr>
      <w:r>
        <w:t xml:space="preserve">A country’s own IT contact runs one guided installer end to end and finishes with a fully working, completely independent copy of this entire system — their own map, their own alerts, their own data, running on infrastructure they control. From that point on, the central team is not involved in their day-to-day operation at all; the country’s own Country Admin invites and manages their own staff going forward.</w:t>
      </w:r>
    </w:p>
    <w:p>
      <w:pPr>
        <w:spacing w:after="160"/>
      </w:pPr>
      <w:r>
        <w:t xml:space="preserve">Recommended build order: (1) a trial self-host installation on a test server first, to confirm the assumptions in 3.2.3 above, before (2) building the first-account bootstrap step, then (3) building and testing the guided installer end to end, and only then (4) writing the step-by-step documentation — written last, so it describes what the installer actually does rather than the other way around.</w:t>
      </w:r>
    </w:p>
    <w:p>
      <w:pPr>
        <w:pStyle w:val="Heading2"/>
        <w:pBdr>
          <w:bottom w:val="single" w:color="DDE3EC" w:sz="8" w:space="4"/>
        </w:pBdr>
        <w:spacing w:after="160" w:before="360"/>
      </w:pPr>
      <w:r>
        <w:rPr>
          <w:b/>
          <w:bCs/>
          <w:color w:val="1D4ED8"/>
        </w:rPr>
        <w:t xml:space="preserve">4. </w:t>
      </w:r>
      <w:r>
        <w:t xml:space="preserve">Recent Feature Highlights</w:t>
      </w:r>
    </w:p>
    <w:p>
      <w:pPr>
        <w:spacing w:after="160"/>
      </w:pPr>
      <w:r>
        <w:t xml:space="preserve">The most recently completed capabilities, in plain terms:</w:t>
      </w:r>
    </w:p>
    <w:p>
      <w:pPr>
        <w:pStyle w:val="ListParagraph"/>
        <w:numPr>
          <w:ilvl w:val="0"/>
          <w:numId w:val="2"/>
        </w:numPr>
        <w:spacing w:after="80"/>
      </w:pPr>
      <w:r>
        <w:t xml:space="preserve">Cascading hazard risk — the system can now say “this earthquake also raises flood, epidemic, or landslide risk nearby,” with every judgment traceable to an explicit, admin-editable rule.</w:t>
      </w:r>
    </w:p>
    <w:p>
      <w:pPr>
        <w:pStyle w:val="ListParagraph"/>
        <w:numPr>
          <w:ilvl w:val="0"/>
          <w:numId w:val="2"/>
        </w:numPr>
        <w:spacing w:after="80"/>
      </w:pPr>
      <w:r>
        <w:t xml:space="preserve">“How far does this reach” visualization — selecting any earthquake or wildfire on the map now shows a translucent circle sized to that event’s real estimated impact radius, with a slider to explore “what if this had been stronger/weaker.”</w:t>
      </w:r>
    </w:p>
    <w:p>
      <w:pPr>
        <w:pStyle w:val="ListParagraph"/>
        <w:numPr>
          <w:ilvl w:val="0"/>
          <w:numId w:val="2"/>
        </w:numPr>
        <w:spacing w:after="80"/>
      </w:pPr>
      <w:r>
        <w:t xml:space="preserve">Distance-graded facility risk — schools, clinics, and emergency facilities near a selected hazard are now color-graded from yellow to red by proximity, with an explicit on-screen note that this is a distance-based estimate, not a confirmed damage assessment.</w:t>
      </w:r>
    </w:p>
    <w:p>
      <w:pPr>
        <w:pStyle w:val="ListParagraph"/>
        <w:numPr>
          <w:ilvl w:val="0"/>
          <w:numId w:val="2"/>
        </w:numPr>
        <w:spacing w:after="80"/>
      </w:pPr>
      <w:r>
        <w:t xml:space="preserve">Building density mapping — a new layer showing real building density per area, sourced from a global satellite-derived building dataset, for all three served countries.</w:t>
      </w:r>
    </w:p>
    <w:p>
      <w:pPr>
        <w:pStyle w:val="ListParagraph"/>
        <w:numPr>
          <w:ilvl w:val="0"/>
          <w:numId w:val="2"/>
        </w:numPr>
        <w:spacing w:after="80"/>
      </w:pPr>
      <w:r>
        <w:t xml:space="preserve">Landslide-susceptibility mapping — steep-terrain zones from real satellite elevation data, for all three served countries.</w:t>
      </w:r>
    </w:p>
    <w:p>
      <w:pPr>
        <w:pStyle w:val="ListParagraph"/>
        <w:numPr>
          <w:ilvl w:val="0"/>
          <w:numId w:val="2"/>
        </w:numPr>
        <w:spacing w:after="80"/>
      </w:pPr>
      <w:r>
        <w:t xml:space="preserve">Category-filterable critical infrastructure — an operator can show/hide schools, health facilities, and emergency services independently.</w:t>
      </w:r>
    </w:p>
    <w:p>
      <w:r>
        <w:br w:type="page"/>
      </w:r>
    </w:p>
    <w:p>
      <w:pPr>
        <w:pStyle w:val="Heading2"/>
        <w:pBdr>
          <w:bottom w:val="single" w:color="DDE3EC" w:sz="8" w:space="4"/>
        </w:pBdr>
        <w:spacing w:after="160" w:before="360"/>
      </w:pPr>
      <w:r>
        <w:rPr>
          <w:b/>
          <w:bCs/>
          <w:color w:val="1D4ED8"/>
        </w:rPr>
        <w:t xml:space="preserve">5. </w:t>
      </w:r>
      <w:r>
        <w:t xml:space="preserve">Completion Status by Module</w:t>
      </w:r>
    </w:p>
    <w:p>
      <w:pPr>
        <w:spacing w:after="160"/>
      </w:pPr>
      <w:r>
        <w:t xml:space="preserve">This project is built using a formal “spec-first” engineering process: every feature is written up as a specification with an explicit task checklist before it is built, so completion can be measured directly and honestly rather than estimated. The tables below are generated directly from those checklists.</w:t>
      </w:r>
    </w:p>
    <w:p>
      <w:pPr>
        <w:pStyle w:val="Heading3"/>
        <w:spacing w:after="100" w:before="240"/>
      </w:pPr>
      <w:r>
        <w:t xml:space="preserve">5.1 — By functional area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200"/>
        <w:gridCol w:w="1800"/>
        <w:gridCol w:w="3360"/>
      </w:tblGrid>
      <w:tr>
        <w:trPr>
          <w:tblHeader/>
        </w:trPr>
        <w:tc>
          <w:tcPr>
            <w:tcW w:type="dxa" w:w="4200"/>
            <w:tcBorders>
              <w:top w:val="single" w:color="DDE3EC" w:sz="4"/>
              <w:left w:val="single" w:color="DDE3EC" w:sz="4"/>
              <w:bottom w:val="single" w:color="DDE3EC" w:sz="4"/>
              <w:right w:val="single" w:color="DDE3EC" w:sz="4"/>
            </w:tcBorders>
            <w:shd w:fill="F8FAFC" w:val="clear"/>
            <w:tcMar>
              <w:top w:type="dxa" w:w="60"/>
              <w:left w:type="dxa" w:w="100"/>
              <w:bottom w:type="dxa" w:w="60"/>
              <w:right w:type="dxa" w:w="100"/>
            </w:tcMar>
          </w:tcPr>
          <w:p>
            <w:r>
              <w:rPr>
                <w:b/>
                <w:bCs/>
                <w:sz w:val="16"/>
                <w:szCs w:val="16"/>
              </w:rPr>
              <w:t xml:space="preserve">Functional Area</w:t>
            </w:r>
          </w:p>
        </w:tc>
        <w:tc>
          <w:tcPr>
            <w:tcW w:type="dxa" w:w="1800"/>
            <w:tcBorders>
              <w:top w:val="single" w:color="DDE3EC" w:sz="4"/>
              <w:left w:val="single" w:color="DDE3EC" w:sz="4"/>
              <w:bottom w:val="single" w:color="DDE3EC" w:sz="4"/>
              <w:right w:val="single" w:color="DDE3EC" w:sz="4"/>
            </w:tcBorders>
            <w:shd w:fill="F8FAFC" w:val="clear"/>
            <w:tcMar>
              <w:top w:type="dxa" w:w="60"/>
              <w:left w:type="dxa" w:w="100"/>
              <w:bottom w:type="dxa" w:w="60"/>
              <w:right w:type="dxa" w:w="100"/>
            </w:tcMar>
          </w:tcPr>
          <w:p>
            <w:r>
              <w:rPr>
                <w:b/>
                <w:bCs/>
                <w:sz w:val="16"/>
                <w:szCs w:val="16"/>
              </w:rPr>
              <w:t xml:space="preserve">Modules</w:t>
            </w:r>
          </w:p>
        </w:tc>
        <w:tc>
          <w:tcPr>
            <w:tcW w:type="dxa" w:w="3360"/>
            <w:tcBorders>
              <w:top w:val="single" w:color="DDE3EC" w:sz="4"/>
              <w:left w:val="single" w:color="DDE3EC" w:sz="4"/>
              <w:bottom w:val="single" w:color="DDE3EC" w:sz="4"/>
              <w:right w:val="single" w:color="DDE3EC" w:sz="4"/>
            </w:tcBorders>
            <w:shd w:fill="F8FAFC" w:val="clear"/>
            <w:tcMar>
              <w:top w:type="dxa" w:w="60"/>
              <w:left w:type="dxa" w:w="100"/>
              <w:bottom w:type="dxa" w:w="60"/>
              <w:right w:type="dxa" w:w="100"/>
            </w:tcMar>
          </w:tcPr>
          <w:p>
            <w:r>
              <w:rPr>
                <w:b/>
                <w:bCs/>
                <w:sz w:val="16"/>
                <w:szCs w:val="16"/>
              </w:rPr>
              <w:t xml:space="preserve">Status</w:t>
            </w:r>
          </w:p>
        </w:tc>
      </w:tr>
      <w:tr>
        <w:tc>
          <w:tcPr>
            <w:tcW w:type="dxa" w:w="42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Data Ingestion &amp; Source Monitoring</w:t>
            </w:r>
          </w:p>
        </w:tc>
        <w:tc>
          <w:tcPr>
            <w:tcW w:type="dxa" w:w="180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color w:val="5B6478"/>
              </w:rPr>
              <w:t xml:space="preserve">3 modules</w:t>
            </w:r>
          </w:p>
        </w:tc>
        <w:tc>
          <w:tcPr>
            <w:tcW w:type="dxa" w:w="336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b/>
                <w:bCs/>
                <w:color w:val="16A34A"/>
              </w:rPr>
              <w:t xml:space="preserve">100%</w:t>
            </w:r>
          </w:p>
        </w:tc>
      </w:tr>
      <w:tr>
        <w:tc>
          <w:tcPr>
            <w:tcW w:type="dxa" w:w="42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Administration, Access &amp; Security</w:t>
            </w:r>
          </w:p>
        </w:tc>
        <w:tc>
          <w:tcPr>
            <w:tcW w:type="dxa" w:w="180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color w:val="5B6478"/>
              </w:rPr>
              <w:t xml:space="preserve">7 modules</w:t>
            </w:r>
          </w:p>
        </w:tc>
        <w:tc>
          <w:tcPr>
            <w:tcW w:type="dxa" w:w="336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b/>
                <w:bCs/>
                <w:color w:val="16A34A"/>
              </w:rPr>
              <w:t xml:space="preserve">100%</w:t>
            </w:r>
          </w:p>
        </w:tc>
      </w:tr>
      <w:tr>
        <w:tc>
          <w:tcPr>
            <w:tcW w:type="dxa" w:w="42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Alert Authoring (CAP) &amp; Dispatch</w:t>
            </w:r>
          </w:p>
        </w:tc>
        <w:tc>
          <w:tcPr>
            <w:tcW w:type="dxa" w:w="180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color w:val="5B6478"/>
              </w:rPr>
              <w:t xml:space="preserve">7 modules</w:t>
            </w:r>
          </w:p>
        </w:tc>
        <w:tc>
          <w:tcPr>
            <w:tcW w:type="dxa" w:w="336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b/>
                <w:bCs/>
                <w:color w:val="16A34A"/>
              </w:rPr>
              <w:t xml:space="preserve">100%</w:t>
            </w:r>
          </w:p>
        </w:tc>
      </w:tr>
      <w:tr>
        <w:tc>
          <w:tcPr>
            <w:tcW w:type="dxa" w:w="42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Impact Analysis &amp; Exposure Data</w:t>
            </w:r>
          </w:p>
        </w:tc>
        <w:tc>
          <w:tcPr>
            <w:tcW w:type="dxa" w:w="180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color w:val="5B6478"/>
              </w:rPr>
              <w:t xml:space="preserve">10 modules</w:t>
            </w:r>
          </w:p>
        </w:tc>
        <w:tc>
          <w:tcPr>
            <w:tcW w:type="dxa" w:w="336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b/>
                <w:bCs/>
                <w:color w:val="16A34A"/>
              </w:rPr>
              <w:t xml:space="preserve">100%</w:t>
            </w:r>
          </w:p>
        </w:tc>
      </w:tr>
      <w:tr>
        <w:tc>
          <w:tcPr>
            <w:tcW w:type="dxa" w:w="42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Risk &amp; Scenario Modeling (incl. cascading risk)</w:t>
            </w:r>
          </w:p>
        </w:tc>
        <w:tc>
          <w:tcPr>
            <w:tcW w:type="dxa" w:w="180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color w:val="5B6478"/>
              </w:rPr>
              <w:t xml:space="preserve">3 modules</w:t>
            </w:r>
          </w:p>
        </w:tc>
        <w:tc>
          <w:tcPr>
            <w:tcW w:type="dxa" w:w="336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b/>
                <w:bCs/>
                <w:color w:val="B45309"/>
              </w:rPr>
              <w:t xml:space="preserve">97%</w:t>
            </w:r>
          </w:p>
        </w:tc>
      </w:tr>
      <w:tr>
        <w:tc>
          <w:tcPr>
            <w:tcW w:type="dxa" w:w="42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Incident Tracking &amp; Drills/Exercises</w:t>
            </w:r>
          </w:p>
        </w:tc>
        <w:tc>
          <w:tcPr>
            <w:tcW w:type="dxa" w:w="180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color w:val="5B6478"/>
              </w:rPr>
              <w:t xml:space="preserve">8 modules</w:t>
            </w:r>
          </w:p>
        </w:tc>
        <w:tc>
          <w:tcPr>
            <w:tcW w:type="dxa" w:w="336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b/>
                <w:bCs/>
                <w:color w:val="16A34A"/>
              </w:rPr>
              <w:t xml:space="preserve">100%</w:t>
            </w:r>
          </w:p>
        </w:tc>
      </w:tr>
      <w:tr>
        <w:tc>
          <w:tcPr>
            <w:tcW w:type="dxa" w:w="42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Audit &amp; Compliance</w:t>
            </w:r>
          </w:p>
        </w:tc>
        <w:tc>
          <w:tcPr>
            <w:tcW w:type="dxa" w:w="180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color w:val="5B6478"/>
              </w:rPr>
              <w:t xml:space="preserve">7 modules</w:t>
            </w:r>
          </w:p>
        </w:tc>
        <w:tc>
          <w:tcPr>
            <w:tcW w:type="dxa" w:w="336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b/>
                <w:bCs/>
                <w:color w:val="16A34A"/>
              </w:rPr>
              <w:t xml:space="preserve">100%</w:t>
            </w:r>
          </w:p>
        </w:tc>
      </w:tr>
      <w:tr>
        <w:tc>
          <w:tcPr>
            <w:tcW w:type="dxa" w:w="42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Map Visualization &amp; Hazard Taxonomy</w:t>
            </w:r>
          </w:p>
        </w:tc>
        <w:tc>
          <w:tcPr>
            <w:tcW w:type="dxa" w:w="180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color w:val="5B6478"/>
              </w:rPr>
              <w:t xml:space="preserve">5 modules</w:t>
            </w:r>
          </w:p>
        </w:tc>
        <w:tc>
          <w:tcPr>
            <w:tcW w:type="dxa" w:w="336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b/>
                <w:bCs/>
                <w:color w:val="16A34A"/>
              </w:rPr>
              <w:t xml:space="preserve">100%</w:t>
            </w:r>
          </w:p>
        </w:tc>
      </w:tr>
    </w:tbl>
    <w:p>
      <w:pPr>
        <w:pStyle w:val="Heading3"/>
        <w:spacing w:after="100" w:before="240"/>
      </w:pPr>
      <w:r>
        <w:t xml:space="preserve">5.2 — Full module-by-module detail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5060"/>
        <w:gridCol w:w="1600"/>
        <w:gridCol w:w="1800"/>
      </w:tblGrid>
      <w:tr>
        <w:trPr>
          <w:tblHeader/>
        </w:trPr>
        <w:tc>
          <w:tcPr>
            <w:tcW w:type="dxa" w:w="900"/>
            <w:tcBorders>
              <w:top w:val="single" w:color="DDE3EC" w:sz="4"/>
              <w:left w:val="single" w:color="DDE3EC" w:sz="4"/>
              <w:bottom w:val="single" w:color="DDE3EC" w:sz="4"/>
              <w:right w:val="single" w:color="DDE3EC" w:sz="4"/>
            </w:tcBorders>
            <w:shd w:fill="F8FAFC" w:val="clear"/>
            <w:tcMar>
              <w:top w:type="dxa" w:w="60"/>
              <w:left w:type="dxa" w:w="100"/>
              <w:bottom w:type="dxa" w:w="60"/>
              <w:right w:type="dxa" w:w="100"/>
            </w:tcMar>
          </w:tcPr>
          <w:p>
            <w:r>
              <w:rPr>
                <w:b/>
                <w:bCs/>
                <w:sz w:val="16"/>
                <w:szCs w:val="16"/>
              </w:rPr>
              <w:t xml:space="preserve">#</w:t>
            </w:r>
          </w:p>
        </w:tc>
        <w:tc>
          <w:tcPr>
            <w:tcW w:type="dxa" w:w="5060"/>
            <w:tcBorders>
              <w:top w:val="single" w:color="DDE3EC" w:sz="4"/>
              <w:left w:val="single" w:color="DDE3EC" w:sz="4"/>
              <w:bottom w:val="single" w:color="DDE3EC" w:sz="4"/>
              <w:right w:val="single" w:color="DDE3EC" w:sz="4"/>
            </w:tcBorders>
            <w:shd w:fill="F8FAFC" w:val="clear"/>
            <w:tcMar>
              <w:top w:type="dxa" w:w="60"/>
              <w:left w:type="dxa" w:w="100"/>
              <w:bottom w:type="dxa" w:w="60"/>
              <w:right w:type="dxa" w:w="100"/>
            </w:tcMar>
          </w:tcPr>
          <w:p>
            <w:r>
              <w:rPr>
                <w:b/>
                <w:bCs/>
                <w:sz w:val="16"/>
                <w:szCs w:val="16"/>
              </w:rPr>
              <w:t xml:space="preserve">Module</w:t>
            </w:r>
          </w:p>
        </w:tc>
        <w:tc>
          <w:tcPr>
            <w:tcW w:type="dxa" w:w="1600"/>
            <w:tcBorders>
              <w:top w:val="single" w:color="DDE3EC" w:sz="4"/>
              <w:left w:val="single" w:color="DDE3EC" w:sz="4"/>
              <w:bottom w:val="single" w:color="DDE3EC" w:sz="4"/>
              <w:right w:val="single" w:color="DDE3EC" w:sz="4"/>
            </w:tcBorders>
            <w:shd w:fill="F8FAFC" w:val="clear"/>
            <w:tcMar>
              <w:top w:type="dxa" w:w="60"/>
              <w:left w:type="dxa" w:w="100"/>
              <w:bottom w:type="dxa" w:w="60"/>
              <w:right w:type="dxa" w:w="100"/>
            </w:tcMar>
          </w:tcPr>
          <w:p>
            <w:r>
              <w:rPr>
                <w:b/>
                <w:bCs/>
                <w:sz w:val="16"/>
                <w:szCs w:val="16"/>
              </w:rPr>
              <w:t xml:space="preserve">Tasks Done</w:t>
            </w:r>
          </w:p>
        </w:tc>
        <w:tc>
          <w:tcPr>
            <w:tcW w:type="dxa" w:w="1800"/>
            <w:tcBorders>
              <w:top w:val="single" w:color="DDE3EC" w:sz="4"/>
              <w:left w:val="single" w:color="DDE3EC" w:sz="4"/>
              <w:bottom w:val="single" w:color="DDE3EC" w:sz="4"/>
              <w:right w:val="single" w:color="DDE3EC" w:sz="4"/>
            </w:tcBorders>
            <w:shd w:fill="F8FAFC" w:val="clear"/>
            <w:tcMar>
              <w:top w:type="dxa" w:w="60"/>
              <w:left w:type="dxa" w:w="100"/>
              <w:bottom w:type="dxa" w:w="60"/>
              <w:right w:type="dxa" w:w="100"/>
            </w:tcMar>
          </w:tcPr>
          <w:p>
            <w:r>
              <w:rPr>
                <w:b/>
                <w:bCs/>
                <w:sz w:val="16"/>
                <w:szCs w:val="16"/>
              </w:rPr>
              <w:t xml:space="preserve">Completion</w:t>
            </w:r>
          </w:p>
        </w:tc>
      </w:tr>
      <w:tr>
        <w:tc>
          <w:tcPr>
            <w:tcW w:type="dxa" w:w="9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001</w:t>
            </w:r>
          </w:p>
        </w:tc>
        <w:tc>
          <w:tcPr>
            <w:tcW w:type="dxa" w:w="506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Data Ingestion &amp; Source Monitoring</w:t>
            </w:r>
          </w:p>
        </w:tc>
        <w:tc>
          <w:tcPr>
            <w:tcW w:type="dxa" w:w="16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34 / 34</w:t>
            </w:r>
          </w:p>
        </w:tc>
        <w:tc>
          <w:tcPr>
            <w:tcW w:type="dxa" w:w="180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b/>
                <w:bCs/>
                <w:color w:val="16A34A"/>
              </w:rPr>
              <w:t xml:space="preserve">100%</w:t>
            </w:r>
          </w:p>
        </w:tc>
      </w:tr>
      <w:tr>
        <w:tc>
          <w:tcPr>
            <w:tcW w:type="dxa" w:w="9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002</w:t>
            </w:r>
          </w:p>
        </w:tc>
        <w:tc>
          <w:tcPr>
            <w:tcW w:type="dxa" w:w="506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Source Country-Scoping</w:t>
            </w:r>
          </w:p>
        </w:tc>
        <w:tc>
          <w:tcPr>
            <w:tcW w:type="dxa" w:w="16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16 / 16</w:t>
            </w:r>
          </w:p>
        </w:tc>
        <w:tc>
          <w:tcPr>
            <w:tcW w:type="dxa" w:w="180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b/>
                <w:bCs/>
                <w:color w:val="16A34A"/>
              </w:rPr>
              <w:t xml:space="preserve">100%</w:t>
            </w:r>
          </w:p>
        </w:tc>
      </w:tr>
      <w:tr>
        <w:tc>
          <w:tcPr>
            <w:tcW w:type="dxa" w:w="9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003</w:t>
            </w:r>
          </w:p>
        </w:tc>
        <w:tc>
          <w:tcPr>
            <w:tcW w:type="dxa" w:w="506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GDACS Multi-Hazard Source</w:t>
            </w:r>
          </w:p>
        </w:tc>
        <w:tc>
          <w:tcPr>
            <w:tcW w:type="dxa" w:w="16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12 / 12</w:t>
            </w:r>
          </w:p>
        </w:tc>
        <w:tc>
          <w:tcPr>
            <w:tcW w:type="dxa" w:w="180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b/>
                <w:bCs/>
                <w:color w:val="16A34A"/>
              </w:rPr>
              <w:t xml:space="preserve">100%</w:t>
            </w:r>
          </w:p>
        </w:tc>
      </w:tr>
      <w:tr>
        <w:tc>
          <w:tcPr>
            <w:tcW w:type="dxa" w:w="9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004</w:t>
            </w:r>
          </w:p>
        </w:tc>
        <w:tc>
          <w:tcPr>
            <w:tcW w:type="dxa" w:w="506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Admin Access Hardening (RBAC)</w:t>
            </w:r>
          </w:p>
        </w:tc>
        <w:tc>
          <w:tcPr>
            <w:tcW w:type="dxa" w:w="16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25 / 25</w:t>
            </w:r>
          </w:p>
        </w:tc>
        <w:tc>
          <w:tcPr>
            <w:tcW w:type="dxa" w:w="180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b/>
                <w:bCs/>
                <w:color w:val="16A34A"/>
              </w:rPr>
              <w:t xml:space="preserve">100%</w:t>
            </w:r>
          </w:p>
        </w:tc>
      </w:tr>
      <w:tr>
        <w:tc>
          <w:tcPr>
            <w:tcW w:type="dxa" w:w="9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005</w:t>
            </w:r>
          </w:p>
        </w:tc>
        <w:tc>
          <w:tcPr>
            <w:tcW w:type="dxa" w:w="506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MFA Login (TOTP)</w:t>
            </w:r>
          </w:p>
        </w:tc>
        <w:tc>
          <w:tcPr>
            <w:tcW w:type="dxa" w:w="16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28 / 28</w:t>
            </w:r>
          </w:p>
        </w:tc>
        <w:tc>
          <w:tcPr>
            <w:tcW w:type="dxa" w:w="180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b/>
                <w:bCs/>
                <w:color w:val="16A34A"/>
              </w:rPr>
              <w:t xml:space="preserve">100%</w:t>
            </w:r>
          </w:p>
        </w:tc>
      </w:tr>
      <w:tr>
        <w:tc>
          <w:tcPr>
            <w:tcW w:type="dxa" w:w="9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006</w:t>
            </w:r>
          </w:p>
        </w:tc>
        <w:tc>
          <w:tcPr>
            <w:tcW w:type="dxa" w:w="506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CAP Alert Authoring</w:t>
            </w:r>
          </w:p>
        </w:tc>
        <w:tc>
          <w:tcPr>
            <w:tcW w:type="dxa" w:w="16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30 / 30</w:t>
            </w:r>
          </w:p>
        </w:tc>
        <w:tc>
          <w:tcPr>
            <w:tcW w:type="dxa" w:w="180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b/>
                <w:bCs/>
                <w:color w:val="16A34A"/>
              </w:rPr>
              <w:t xml:space="preserve">100%</w:t>
            </w:r>
          </w:p>
        </w:tc>
      </w:tr>
      <w:tr>
        <w:tc>
          <w:tcPr>
            <w:tcW w:type="dxa" w:w="9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007</w:t>
            </w:r>
          </w:p>
        </w:tc>
        <w:tc>
          <w:tcPr>
            <w:tcW w:type="dxa" w:w="506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Audit &amp; Compliance (base)</w:t>
            </w:r>
          </w:p>
        </w:tc>
        <w:tc>
          <w:tcPr>
            <w:tcW w:type="dxa" w:w="16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26 / 26</w:t>
            </w:r>
          </w:p>
        </w:tc>
        <w:tc>
          <w:tcPr>
            <w:tcW w:type="dxa" w:w="180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b/>
                <w:bCs/>
                <w:color w:val="16A34A"/>
              </w:rPr>
              <w:t xml:space="preserve">100%</w:t>
            </w:r>
          </w:p>
        </w:tc>
      </w:tr>
      <w:tr>
        <w:tc>
          <w:tcPr>
            <w:tcW w:type="dxa" w:w="9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008</w:t>
            </w:r>
          </w:p>
        </w:tc>
        <w:tc>
          <w:tcPr>
            <w:tcW w:type="dxa" w:w="506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Impact Analysis (core)</w:t>
            </w:r>
          </w:p>
        </w:tc>
        <w:tc>
          <w:tcPr>
            <w:tcW w:type="dxa" w:w="16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40 / 40</w:t>
            </w:r>
          </w:p>
        </w:tc>
        <w:tc>
          <w:tcPr>
            <w:tcW w:type="dxa" w:w="180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b/>
                <w:bCs/>
                <w:color w:val="16A34A"/>
              </w:rPr>
              <w:t xml:space="preserve">100%</w:t>
            </w:r>
          </w:p>
        </w:tc>
      </w:tr>
      <w:tr>
        <w:tc>
          <w:tcPr>
            <w:tcW w:type="dxa" w:w="9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009</w:t>
            </w:r>
          </w:p>
        </w:tc>
        <w:tc>
          <w:tcPr>
            <w:tcW w:type="dxa" w:w="506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Dissemination &amp; Dispatch</w:t>
            </w:r>
          </w:p>
        </w:tc>
        <w:tc>
          <w:tcPr>
            <w:tcW w:type="dxa" w:w="16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52 / 52</w:t>
            </w:r>
          </w:p>
        </w:tc>
        <w:tc>
          <w:tcPr>
            <w:tcW w:type="dxa" w:w="180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b/>
                <w:bCs/>
                <w:color w:val="16A34A"/>
              </w:rPr>
              <w:t xml:space="preserve">100%</w:t>
            </w:r>
          </w:p>
        </w:tc>
      </w:tr>
      <w:tr>
        <w:tc>
          <w:tcPr>
            <w:tcW w:type="dxa" w:w="9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010</w:t>
            </w:r>
          </w:p>
        </w:tc>
        <w:tc>
          <w:tcPr>
            <w:tcW w:type="dxa" w:w="506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Hazard Taxonomy Admin</w:t>
            </w:r>
          </w:p>
        </w:tc>
        <w:tc>
          <w:tcPr>
            <w:tcW w:type="dxa" w:w="16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37 / 37</w:t>
            </w:r>
          </w:p>
        </w:tc>
        <w:tc>
          <w:tcPr>
            <w:tcW w:type="dxa" w:w="180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b/>
                <w:bCs/>
                <w:color w:val="16A34A"/>
              </w:rPr>
              <w:t xml:space="preserve">100%</w:t>
            </w:r>
          </w:p>
        </w:tc>
      </w:tr>
      <w:tr>
        <w:tc>
          <w:tcPr>
            <w:tcW w:type="dxa" w:w="9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011</w:t>
            </w:r>
          </w:p>
        </w:tc>
        <w:tc>
          <w:tcPr>
            <w:tcW w:type="dxa" w:w="506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Incident Tracking</w:t>
            </w:r>
          </w:p>
        </w:tc>
        <w:tc>
          <w:tcPr>
            <w:tcW w:type="dxa" w:w="16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34 / 34</w:t>
            </w:r>
          </w:p>
        </w:tc>
        <w:tc>
          <w:tcPr>
            <w:tcW w:type="dxa" w:w="180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b/>
                <w:bCs/>
                <w:color w:val="16A34A"/>
              </w:rPr>
              <w:t xml:space="preserve">100%</w:t>
            </w:r>
          </w:p>
        </w:tc>
      </w:tr>
      <w:tr>
        <w:tc>
          <w:tcPr>
            <w:tcW w:type="dxa" w:w="9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012</w:t>
            </w:r>
          </w:p>
        </w:tc>
        <w:tc>
          <w:tcPr>
            <w:tcW w:type="dxa" w:w="506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OGC WMS/WFS Map Layers</w:t>
            </w:r>
          </w:p>
        </w:tc>
        <w:tc>
          <w:tcPr>
            <w:tcW w:type="dxa" w:w="16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27 / 27</w:t>
            </w:r>
          </w:p>
        </w:tc>
        <w:tc>
          <w:tcPr>
            <w:tcW w:type="dxa" w:w="180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b/>
                <w:bCs/>
                <w:color w:val="16A34A"/>
              </w:rPr>
              <w:t xml:space="preserve">100%</w:t>
            </w:r>
          </w:p>
        </w:tc>
      </w:tr>
      <w:tr>
        <w:tc>
          <w:tcPr>
            <w:tcW w:type="dxa" w:w="9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013</w:t>
            </w:r>
          </w:p>
        </w:tc>
        <w:tc>
          <w:tcPr>
            <w:tcW w:type="dxa" w:w="506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Drill Mode Safety (CAP)</w:t>
            </w:r>
          </w:p>
        </w:tc>
        <w:tc>
          <w:tcPr>
            <w:tcW w:type="dxa" w:w="16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14 / 14</w:t>
            </w:r>
          </w:p>
        </w:tc>
        <w:tc>
          <w:tcPr>
            <w:tcW w:type="dxa" w:w="180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b/>
                <w:bCs/>
                <w:color w:val="16A34A"/>
              </w:rPr>
              <w:t xml:space="preserve">100%</w:t>
            </w:r>
          </w:p>
        </w:tc>
      </w:tr>
      <w:tr>
        <w:tc>
          <w:tcPr>
            <w:tcW w:type="dxa" w:w="9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014</w:t>
            </w:r>
          </w:p>
        </w:tc>
        <w:tc>
          <w:tcPr>
            <w:tcW w:type="dxa" w:w="506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CAP v1.2 Envelope Export</w:t>
            </w:r>
          </w:p>
        </w:tc>
        <w:tc>
          <w:tcPr>
            <w:tcW w:type="dxa" w:w="16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21 / 21</w:t>
            </w:r>
          </w:p>
        </w:tc>
        <w:tc>
          <w:tcPr>
            <w:tcW w:type="dxa" w:w="180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b/>
                <w:bCs/>
                <w:color w:val="16A34A"/>
              </w:rPr>
              <w:t xml:space="preserve">100%</w:t>
            </w:r>
          </w:p>
        </w:tc>
      </w:tr>
      <w:tr>
        <w:tc>
          <w:tcPr>
            <w:tcW w:type="dxa" w:w="9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015</w:t>
            </w:r>
          </w:p>
        </w:tc>
        <w:tc>
          <w:tcPr>
            <w:tcW w:type="dxa" w:w="506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Region-Coded Dispatch Targeting</w:t>
            </w:r>
          </w:p>
        </w:tc>
        <w:tc>
          <w:tcPr>
            <w:tcW w:type="dxa" w:w="16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11 / 11</w:t>
            </w:r>
          </w:p>
        </w:tc>
        <w:tc>
          <w:tcPr>
            <w:tcW w:type="dxa" w:w="180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b/>
                <w:bCs/>
                <w:color w:val="16A34A"/>
              </w:rPr>
              <w:t xml:space="preserve">100%</w:t>
            </w:r>
          </w:p>
        </w:tc>
      </w:tr>
      <w:tr>
        <w:tc>
          <w:tcPr>
            <w:tcW w:type="dxa" w:w="9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016</w:t>
            </w:r>
          </w:p>
        </w:tc>
        <w:tc>
          <w:tcPr>
            <w:tcW w:type="dxa" w:w="506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Backend Threshold Sync</w:t>
            </w:r>
          </w:p>
        </w:tc>
        <w:tc>
          <w:tcPr>
            <w:tcW w:type="dxa" w:w="16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14 / 14</w:t>
            </w:r>
          </w:p>
        </w:tc>
        <w:tc>
          <w:tcPr>
            <w:tcW w:type="dxa" w:w="180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b/>
                <w:bCs/>
                <w:color w:val="16A34A"/>
              </w:rPr>
              <w:t xml:space="preserve">100%</w:t>
            </w:r>
          </w:p>
        </w:tc>
      </w:tr>
      <w:tr>
        <w:tc>
          <w:tcPr>
            <w:tcW w:type="dxa" w:w="9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017</w:t>
            </w:r>
          </w:p>
        </w:tc>
        <w:tc>
          <w:tcPr>
            <w:tcW w:type="dxa" w:w="506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Drill Response Metrics</w:t>
            </w:r>
          </w:p>
        </w:tc>
        <w:tc>
          <w:tcPr>
            <w:tcW w:type="dxa" w:w="16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16 / 16</w:t>
            </w:r>
          </w:p>
        </w:tc>
        <w:tc>
          <w:tcPr>
            <w:tcW w:type="dxa" w:w="180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b/>
                <w:bCs/>
                <w:color w:val="16A34A"/>
              </w:rPr>
              <w:t xml:space="preserve">100%</w:t>
            </w:r>
          </w:p>
        </w:tc>
      </w:tr>
      <w:tr>
        <w:tc>
          <w:tcPr>
            <w:tcW w:type="dxa" w:w="9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018</w:t>
            </w:r>
          </w:p>
        </w:tc>
        <w:tc>
          <w:tcPr>
            <w:tcW w:type="dxa" w:w="506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Admin Capability Grants</w:t>
            </w:r>
          </w:p>
        </w:tc>
        <w:tc>
          <w:tcPr>
            <w:tcW w:type="dxa" w:w="16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19 / 19</w:t>
            </w:r>
          </w:p>
        </w:tc>
        <w:tc>
          <w:tcPr>
            <w:tcW w:type="dxa" w:w="180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b/>
                <w:bCs/>
                <w:color w:val="16A34A"/>
              </w:rPr>
              <w:t xml:space="preserve">100%</w:t>
            </w:r>
          </w:p>
        </w:tc>
      </w:tr>
      <w:tr>
        <w:tc>
          <w:tcPr>
            <w:tcW w:type="dxa" w:w="9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019</w:t>
            </w:r>
          </w:p>
        </w:tc>
        <w:tc>
          <w:tcPr>
            <w:tcW w:type="dxa" w:w="506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Scheduled Compliance Reports</w:t>
            </w:r>
          </w:p>
        </w:tc>
        <w:tc>
          <w:tcPr>
            <w:tcW w:type="dxa" w:w="16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15 / 15</w:t>
            </w:r>
          </w:p>
        </w:tc>
        <w:tc>
          <w:tcPr>
            <w:tcW w:type="dxa" w:w="180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b/>
                <w:bCs/>
                <w:color w:val="16A34A"/>
              </w:rPr>
              <w:t xml:space="preserve">100%</w:t>
            </w:r>
          </w:p>
        </w:tc>
      </w:tr>
      <w:tr>
        <w:tc>
          <w:tcPr>
            <w:tcW w:type="dxa" w:w="9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020</w:t>
            </w:r>
          </w:p>
        </w:tc>
        <w:tc>
          <w:tcPr>
            <w:tcW w:type="dxa" w:w="506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Regional Threshold Overrides</w:t>
            </w:r>
          </w:p>
        </w:tc>
        <w:tc>
          <w:tcPr>
            <w:tcW w:type="dxa" w:w="16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20 / 20</w:t>
            </w:r>
          </w:p>
        </w:tc>
        <w:tc>
          <w:tcPr>
            <w:tcW w:type="dxa" w:w="180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b/>
                <w:bCs/>
                <w:color w:val="16A34A"/>
              </w:rPr>
              <w:t xml:space="preserve">100%</w:t>
            </w:r>
          </w:p>
        </w:tc>
      </w:tr>
      <w:tr>
        <w:tc>
          <w:tcPr>
            <w:tcW w:type="dxa" w:w="9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021</w:t>
            </w:r>
          </w:p>
        </w:tc>
        <w:tc>
          <w:tcPr>
            <w:tcW w:type="dxa" w:w="506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Shelter Management</w:t>
            </w:r>
          </w:p>
        </w:tc>
        <w:tc>
          <w:tcPr>
            <w:tcW w:type="dxa" w:w="16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23 / 23</w:t>
            </w:r>
          </w:p>
        </w:tc>
        <w:tc>
          <w:tcPr>
            <w:tcW w:type="dxa" w:w="180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b/>
                <w:bCs/>
                <w:color w:val="16A34A"/>
              </w:rPr>
              <w:t xml:space="preserve">100%</w:t>
            </w:r>
          </w:p>
        </w:tc>
      </w:tr>
      <w:tr>
        <w:tc>
          <w:tcPr>
            <w:tcW w:type="dxa" w:w="9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022</w:t>
            </w:r>
          </w:p>
        </w:tc>
        <w:tc>
          <w:tcPr>
            <w:tcW w:type="dxa" w:w="506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WhatsApp Integration Credentials</w:t>
            </w:r>
          </w:p>
        </w:tc>
        <w:tc>
          <w:tcPr>
            <w:tcW w:type="dxa" w:w="16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19 / 19</w:t>
            </w:r>
          </w:p>
        </w:tc>
        <w:tc>
          <w:tcPr>
            <w:tcW w:type="dxa" w:w="180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b/>
                <w:bCs/>
                <w:color w:val="16A34A"/>
              </w:rPr>
              <w:t xml:space="preserve">100%</w:t>
            </w:r>
          </w:p>
        </w:tc>
      </w:tr>
      <w:tr>
        <w:tc>
          <w:tcPr>
            <w:tcW w:type="dxa" w:w="9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023</w:t>
            </w:r>
          </w:p>
        </w:tc>
        <w:tc>
          <w:tcPr>
            <w:tcW w:type="dxa" w:w="506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Shapefile Exposure Upload</w:t>
            </w:r>
          </w:p>
        </w:tc>
        <w:tc>
          <w:tcPr>
            <w:tcW w:type="dxa" w:w="16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12 / 12</w:t>
            </w:r>
          </w:p>
        </w:tc>
        <w:tc>
          <w:tcPr>
            <w:tcW w:type="dxa" w:w="180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b/>
                <w:bCs/>
                <w:color w:val="16A34A"/>
              </w:rPr>
              <w:t xml:space="preserve">100%</w:t>
            </w:r>
          </w:p>
        </w:tc>
      </w:tr>
      <w:tr>
        <w:tc>
          <w:tcPr>
            <w:tcW w:type="dxa" w:w="9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024</w:t>
            </w:r>
          </w:p>
        </w:tc>
        <w:tc>
          <w:tcPr>
            <w:tcW w:type="dxa" w:w="506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Hazard Taxonomy Hierarchy</w:t>
            </w:r>
          </w:p>
        </w:tc>
        <w:tc>
          <w:tcPr>
            <w:tcW w:type="dxa" w:w="16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18 / 18</w:t>
            </w:r>
          </w:p>
        </w:tc>
        <w:tc>
          <w:tcPr>
            <w:tcW w:type="dxa" w:w="180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b/>
                <w:bCs/>
                <w:color w:val="16A34A"/>
              </w:rPr>
              <w:t xml:space="preserve">100%</w:t>
            </w:r>
          </w:p>
        </w:tc>
      </w:tr>
      <w:tr>
        <w:tc>
          <w:tcPr>
            <w:tcW w:type="dxa" w:w="9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025</w:t>
            </w:r>
          </w:p>
        </w:tc>
        <w:tc>
          <w:tcPr>
            <w:tcW w:type="dxa" w:w="506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Generic Integration Credentials</w:t>
            </w:r>
          </w:p>
        </w:tc>
        <w:tc>
          <w:tcPr>
            <w:tcW w:type="dxa" w:w="16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20 / 20</w:t>
            </w:r>
          </w:p>
        </w:tc>
        <w:tc>
          <w:tcPr>
            <w:tcW w:type="dxa" w:w="180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b/>
                <w:bCs/>
                <w:color w:val="16A34A"/>
              </w:rPr>
              <w:t xml:space="preserve">100%</w:t>
            </w:r>
          </w:p>
        </w:tc>
      </w:tr>
      <w:tr>
        <w:tc>
          <w:tcPr>
            <w:tcW w:type="dxa" w:w="9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026</w:t>
            </w:r>
          </w:p>
        </w:tc>
        <w:tc>
          <w:tcPr>
            <w:tcW w:type="dxa" w:w="506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Incident Timeline &amp; Reports</w:t>
            </w:r>
          </w:p>
        </w:tc>
        <w:tc>
          <w:tcPr>
            <w:tcW w:type="dxa" w:w="16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17 / 17</w:t>
            </w:r>
          </w:p>
        </w:tc>
        <w:tc>
          <w:tcPr>
            <w:tcW w:type="dxa" w:w="180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b/>
                <w:bCs/>
                <w:color w:val="16A34A"/>
              </w:rPr>
              <w:t xml:space="preserve">100%</w:t>
            </w:r>
          </w:p>
        </w:tc>
      </w:tr>
      <w:tr>
        <w:tc>
          <w:tcPr>
            <w:tcW w:type="dxa" w:w="9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027</w:t>
            </w:r>
          </w:p>
        </w:tc>
        <w:tc>
          <w:tcPr>
            <w:tcW w:type="dxa" w:w="506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Shelter Map Display</w:t>
            </w:r>
          </w:p>
        </w:tc>
        <w:tc>
          <w:tcPr>
            <w:tcW w:type="dxa" w:w="16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15 / 15</w:t>
            </w:r>
          </w:p>
        </w:tc>
        <w:tc>
          <w:tcPr>
            <w:tcW w:type="dxa" w:w="180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b/>
                <w:bCs/>
                <w:color w:val="16A34A"/>
              </w:rPr>
              <w:t xml:space="preserve">100%</w:t>
            </w:r>
          </w:p>
        </w:tc>
      </w:tr>
      <w:tr>
        <w:tc>
          <w:tcPr>
            <w:tcW w:type="dxa" w:w="9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028</w:t>
            </w:r>
          </w:p>
        </w:tc>
        <w:tc>
          <w:tcPr>
            <w:tcW w:type="dxa" w:w="506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Access Review &amp; Account Lockout</w:t>
            </w:r>
          </w:p>
        </w:tc>
        <w:tc>
          <w:tcPr>
            <w:tcW w:type="dxa" w:w="16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18 / 18</w:t>
            </w:r>
          </w:p>
        </w:tc>
        <w:tc>
          <w:tcPr>
            <w:tcW w:type="dxa" w:w="180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b/>
                <w:bCs/>
                <w:color w:val="16A34A"/>
              </w:rPr>
              <w:t xml:space="preserve">100%</w:t>
            </w:r>
          </w:p>
        </w:tc>
      </w:tr>
      <w:tr>
        <w:tc>
          <w:tcPr>
            <w:tcW w:type="dxa" w:w="9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029</w:t>
            </w:r>
          </w:p>
        </w:tc>
        <w:tc>
          <w:tcPr>
            <w:tcW w:type="dxa" w:w="506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Audit Log Resilience</w:t>
            </w:r>
          </w:p>
        </w:tc>
        <w:tc>
          <w:tcPr>
            <w:tcW w:type="dxa" w:w="16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10 / 10</w:t>
            </w:r>
          </w:p>
        </w:tc>
        <w:tc>
          <w:tcPr>
            <w:tcW w:type="dxa" w:w="180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b/>
                <w:bCs/>
                <w:color w:val="16A34A"/>
              </w:rPr>
              <w:t xml:space="preserve">100%</w:t>
            </w:r>
          </w:p>
        </w:tc>
      </w:tr>
      <w:tr>
        <w:tc>
          <w:tcPr>
            <w:tcW w:type="dxa" w:w="9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030</w:t>
            </w:r>
          </w:p>
        </w:tc>
        <w:tc>
          <w:tcPr>
            <w:tcW w:type="dxa" w:w="506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Compliance Checklist Export</w:t>
            </w:r>
          </w:p>
        </w:tc>
        <w:tc>
          <w:tcPr>
            <w:tcW w:type="dxa" w:w="16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9 / 9</w:t>
            </w:r>
          </w:p>
        </w:tc>
        <w:tc>
          <w:tcPr>
            <w:tcW w:type="dxa" w:w="180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b/>
                <w:bCs/>
                <w:color w:val="16A34A"/>
              </w:rPr>
              <w:t xml:space="preserve">100%</w:t>
            </w:r>
          </w:p>
        </w:tc>
      </w:tr>
      <w:tr>
        <w:tc>
          <w:tcPr>
            <w:tcW w:type="dxa" w:w="9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031</w:t>
            </w:r>
          </w:p>
        </w:tc>
        <w:tc>
          <w:tcPr>
            <w:tcW w:type="dxa" w:w="506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Dissemination Reliability &amp; Compliance</w:t>
            </w:r>
          </w:p>
        </w:tc>
        <w:tc>
          <w:tcPr>
            <w:tcW w:type="dxa" w:w="16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21 / 21</w:t>
            </w:r>
          </w:p>
        </w:tc>
        <w:tc>
          <w:tcPr>
            <w:tcW w:type="dxa" w:w="180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b/>
                <w:bCs/>
                <w:color w:val="16A34A"/>
              </w:rPr>
              <w:t xml:space="preserve">100%</w:t>
            </w:r>
          </w:p>
        </w:tc>
      </w:tr>
      <w:tr>
        <w:tc>
          <w:tcPr>
            <w:tcW w:type="dxa" w:w="9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032</w:t>
            </w:r>
          </w:p>
        </w:tc>
        <w:tc>
          <w:tcPr>
            <w:tcW w:type="dxa" w:w="506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Drill Reporting &amp; Feedback</w:t>
            </w:r>
          </w:p>
        </w:tc>
        <w:tc>
          <w:tcPr>
            <w:tcW w:type="dxa" w:w="16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16 / 16</w:t>
            </w:r>
          </w:p>
        </w:tc>
        <w:tc>
          <w:tcPr>
            <w:tcW w:type="dxa" w:w="180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b/>
                <w:bCs/>
                <w:color w:val="16A34A"/>
              </w:rPr>
              <w:t xml:space="preserve">100%</w:t>
            </w:r>
          </w:p>
        </w:tc>
      </w:tr>
      <w:tr>
        <w:tc>
          <w:tcPr>
            <w:tcW w:type="dxa" w:w="9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033</w:t>
            </w:r>
          </w:p>
        </w:tc>
        <w:tc>
          <w:tcPr>
            <w:tcW w:type="dxa" w:w="506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SOP Versioning &amp; Search</w:t>
            </w:r>
          </w:p>
        </w:tc>
        <w:tc>
          <w:tcPr>
            <w:tcW w:type="dxa" w:w="16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12 / 12</w:t>
            </w:r>
          </w:p>
        </w:tc>
        <w:tc>
          <w:tcPr>
            <w:tcW w:type="dxa" w:w="180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b/>
                <w:bCs/>
                <w:color w:val="16A34A"/>
              </w:rPr>
              <w:t xml:space="preserve">100%</w:t>
            </w:r>
          </w:p>
        </w:tc>
      </w:tr>
      <w:tr>
        <w:tc>
          <w:tcPr>
            <w:tcW w:type="dxa" w:w="9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034</w:t>
            </w:r>
          </w:p>
        </w:tc>
        <w:tc>
          <w:tcPr>
            <w:tcW w:type="dxa" w:w="506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Impact Analysis Gaps (critical infra, snapshots)</w:t>
            </w:r>
          </w:p>
        </w:tc>
        <w:tc>
          <w:tcPr>
            <w:tcW w:type="dxa" w:w="16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16 / 16</w:t>
            </w:r>
          </w:p>
        </w:tc>
        <w:tc>
          <w:tcPr>
            <w:tcW w:type="dxa" w:w="180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b/>
                <w:bCs/>
                <w:color w:val="16A34A"/>
              </w:rPr>
              <w:t xml:space="preserve">100%</w:t>
            </w:r>
          </w:p>
        </w:tc>
      </w:tr>
      <w:tr>
        <w:tc>
          <w:tcPr>
            <w:tcW w:type="dxa" w:w="9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035</w:t>
            </w:r>
          </w:p>
        </w:tc>
        <w:tc>
          <w:tcPr>
            <w:tcW w:type="dxa" w:w="506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Audit/Compliance Retention &amp; Evidence Export</w:t>
            </w:r>
          </w:p>
        </w:tc>
        <w:tc>
          <w:tcPr>
            <w:tcW w:type="dxa" w:w="16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24 / 24</w:t>
            </w:r>
          </w:p>
        </w:tc>
        <w:tc>
          <w:tcPr>
            <w:tcW w:type="dxa" w:w="180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b/>
                <w:bCs/>
                <w:color w:val="16A34A"/>
              </w:rPr>
              <w:t xml:space="preserve">100%</w:t>
            </w:r>
          </w:p>
        </w:tc>
      </w:tr>
      <w:tr>
        <w:tc>
          <w:tcPr>
            <w:tcW w:type="dxa" w:w="9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036</w:t>
            </w:r>
          </w:p>
        </w:tc>
        <w:tc>
          <w:tcPr>
            <w:tcW w:type="dxa" w:w="506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Community Hazard Reporting</w:t>
            </w:r>
          </w:p>
        </w:tc>
        <w:tc>
          <w:tcPr>
            <w:tcW w:type="dxa" w:w="16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45 / 45</w:t>
            </w:r>
          </w:p>
        </w:tc>
        <w:tc>
          <w:tcPr>
            <w:tcW w:type="dxa" w:w="180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b/>
                <w:bCs/>
                <w:color w:val="16A34A"/>
              </w:rPr>
              <w:t xml:space="preserve">100%</w:t>
            </w:r>
          </w:p>
        </w:tc>
      </w:tr>
      <w:tr>
        <w:tc>
          <w:tcPr>
            <w:tcW w:type="dxa" w:w="9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037</w:t>
            </w:r>
          </w:p>
        </w:tc>
        <w:tc>
          <w:tcPr>
            <w:tcW w:type="dxa" w:w="506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Drill Hazard Injection</w:t>
            </w:r>
          </w:p>
        </w:tc>
        <w:tc>
          <w:tcPr>
            <w:tcW w:type="dxa" w:w="16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24 / 24</w:t>
            </w:r>
          </w:p>
        </w:tc>
        <w:tc>
          <w:tcPr>
            <w:tcW w:type="dxa" w:w="180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b/>
                <w:bCs/>
                <w:color w:val="16A34A"/>
              </w:rPr>
              <w:t xml:space="preserve">100%</w:t>
            </w:r>
          </w:p>
        </w:tc>
      </w:tr>
      <w:tr>
        <w:tc>
          <w:tcPr>
            <w:tcW w:type="dxa" w:w="9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038</w:t>
            </w:r>
          </w:p>
        </w:tc>
        <w:tc>
          <w:tcPr>
            <w:tcW w:type="dxa" w:w="506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Population Exposure Sources</w:t>
            </w:r>
          </w:p>
        </w:tc>
        <w:tc>
          <w:tcPr>
            <w:tcW w:type="dxa" w:w="16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36 / 36</w:t>
            </w:r>
          </w:p>
        </w:tc>
        <w:tc>
          <w:tcPr>
            <w:tcW w:type="dxa" w:w="180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b/>
                <w:bCs/>
                <w:color w:val="16A34A"/>
              </w:rPr>
              <w:t xml:space="preserve">100%</w:t>
            </w:r>
          </w:p>
        </w:tc>
      </w:tr>
      <w:tr>
        <w:tc>
          <w:tcPr>
            <w:tcW w:type="dxa" w:w="9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039</w:t>
            </w:r>
          </w:p>
        </w:tc>
        <w:tc>
          <w:tcPr>
            <w:tcW w:type="dxa" w:w="506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Risk &amp; Scenario Modeling</w:t>
            </w:r>
          </w:p>
        </w:tc>
        <w:tc>
          <w:tcPr>
            <w:tcW w:type="dxa" w:w="16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38 / 39</w:t>
            </w:r>
          </w:p>
        </w:tc>
        <w:tc>
          <w:tcPr>
            <w:tcW w:type="dxa" w:w="180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b/>
                <w:bCs/>
                <w:color w:val="B45309"/>
              </w:rPr>
              <w:t xml:space="preserve">97%</w:t>
            </w:r>
          </w:p>
        </w:tc>
      </w:tr>
      <w:tr>
        <w:tc>
          <w:tcPr>
            <w:tcW w:type="dxa" w:w="9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040</w:t>
            </w:r>
          </w:p>
        </w:tc>
        <w:tc>
          <w:tcPr>
            <w:tcW w:type="dxa" w:w="506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OSM Roads Exposure</w:t>
            </w:r>
          </w:p>
        </w:tc>
        <w:tc>
          <w:tcPr>
            <w:tcW w:type="dxa" w:w="16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30 / 30</w:t>
            </w:r>
          </w:p>
        </w:tc>
        <w:tc>
          <w:tcPr>
            <w:tcW w:type="dxa" w:w="180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b/>
                <w:bCs/>
                <w:color w:val="16A34A"/>
              </w:rPr>
              <w:t xml:space="preserve">100%</w:t>
            </w:r>
          </w:p>
        </w:tc>
      </w:tr>
      <w:tr>
        <w:tc>
          <w:tcPr>
            <w:tcW w:type="dxa" w:w="9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041</w:t>
            </w:r>
          </w:p>
        </w:tc>
        <w:tc>
          <w:tcPr>
            <w:tcW w:type="dxa" w:w="506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HydroRIVERS Exposure</w:t>
            </w:r>
          </w:p>
        </w:tc>
        <w:tc>
          <w:tcPr>
            <w:tcW w:type="dxa" w:w="16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32 / 32</w:t>
            </w:r>
          </w:p>
        </w:tc>
        <w:tc>
          <w:tcPr>
            <w:tcW w:type="dxa" w:w="180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b/>
                <w:bCs/>
                <w:color w:val="16A34A"/>
              </w:rPr>
              <w:t xml:space="preserve">100%</w:t>
            </w:r>
          </w:p>
        </w:tc>
      </w:tr>
      <w:tr>
        <w:tc>
          <w:tcPr>
            <w:tcW w:type="dxa" w:w="9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042</w:t>
            </w:r>
          </w:p>
        </w:tc>
        <w:tc>
          <w:tcPr>
            <w:tcW w:type="dxa" w:w="506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Exposure Layer Map Visualization</w:t>
            </w:r>
          </w:p>
        </w:tc>
        <w:tc>
          <w:tcPr>
            <w:tcW w:type="dxa" w:w="16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26 / 26</w:t>
            </w:r>
          </w:p>
        </w:tc>
        <w:tc>
          <w:tcPr>
            <w:tcW w:type="dxa" w:w="180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b/>
                <w:bCs/>
                <w:color w:val="16A34A"/>
              </w:rPr>
              <w:t xml:space="preserve">100%</w:t>
            </w:r>
          </w:p>
        </w:tc>
      </w:tr>
      <w:tr>
        <w:tc>
          <w:tcPr>
            <w:tcW w:type="dxa" w:w="9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043</w:t>
            </w:r>
          </w:p>
        </w:tc>
        <w:tc>
          <w:tcPr>
            <w:tcW w:type="dxa" w:w="506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WorldPop Raster Population</w:t>
            </w:r>
          </w:p>
        </w:tc>
        <w:tc>
          <w:tcPr>
            <w:tcW w:type="dxa" w:w="16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25 / 25</w:t>
            </w:r>
          </w:p>
        </w:tc>
        <w:tc>
          <w:tcPr>
            <w:tcW w:type="dxa" w:w="180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b/>
                <w:bCs/>
                <w:color w:val="16A34A"/>
              </w:rPr>
              <w:t xml:space="preserve">100%</w:t>
            </w:r>
          </w:p>
        </w:tc>
      </w:tr>
      <w:tr>
        <w:tc>
          <w:tcPr>
            <w:tcW w:type="dxa" w:w="9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044</w:t>
            </w:r>
          </w:p>
        </w:tc>
        <w:tc>
          <w:tcPr>
            <w:tcW w:type="dxa" w:w="506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Country-Locked Exclusive Layers</w:t>
            </w:r>
          </w:p>
        </w:tc>
        <w:tc>
          <w:tcPr>
            <w:tcW w:type="dxa" w:w="16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17 / 17</w:t>
            </w:r>
          </w:p>
        </w:tc>
        <w:tc>
          <w:tcPr>
            <w:tcW w:type="dxa" w:w="180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b/>
                <w:bCs/>
                <w:color w:val="16A34A"/>
              </w:rPr>
              <w:t xml:space="preserve">100%</w:t>
            </w:r>
          </w:p>
        </w:tc>
      </w:tr>
      <w:tr>
        <w:tc>
          <w:tcPr>
            <w:tcW w:type="dxa" w:w="9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045</w:t>
            </w:r>
          </w:p>
        </w:tc>
        <w:tc>
          <w:tcPr>
            <w:tcW w:type="dxa" w:w="506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Hexagon Resolution Panel</w:t>
            </w:r>
          </w:p>
        </w:tc>
        <w:tc>
          <w:tcPr>
            <w:tcW w:type="dxa" w:w="16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24 / 24</w:t>
            </w:r>
          </w:p>
        </w:tc>
        <w:tc>
          <w:tcPr>
            <w:tcW w:type="dxa" w:w="180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b/>
                <w:bCs/>
                <w:color w:val="16A34A"/>
              </w:rPr>
              <w:t xml:space="preserve">100%</w:t>
            </w:r>
          </w:p>
        </w:tc>
      </w:tr>
      <w:tr>
        <w:tc>
          <w:tcPr>
            <w:tcW w:type="dxa" w:w="9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046</w:t>
            </w:r>
          </w:p>
        </w:tc>
        <w:tc>
          <w:tcPr>
            <w:tcW w:type="dxa" w:w="506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Population Hex Labels / Provinces</w:t>
            </w:r>
          </w:p>
        </w:tc>
        <w:tc>
          <w:tcPr>
            <w:tcW w:type="dxa" w:w="16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20 / 20</w:t>
            </w:r>
          </w:p>
        </w:tc>
        <w:tc>
          <w:tcPr>
            <w:tcW w:type="dxa" w:w="180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b/>
                <w:bCs/>
                <w:color w:val="16A34A"/>
              </w:rPr>
              <w:t xml:space="preserve">100%</w:t>
            </w:r>
          </w:p>
        </w:tc>
      </w:tr>
      <w:tr>
        <w:tc>
          <w:tcPr>
            <w:tcW w:type="dxa" w:w="9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047</w:t>
            </w:r>
          </w:p>
        </w:tc>
        <w:tc>
          <w:tcPr>
            <w:tcW w:type="dxa" w:w="506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NetCDF Raster Service (Python)</w:t>
            </w:r>
          </w:p>
        </w:tc>
        <w:tc>
          <w:tcPr>
            <w:tcW w:type="dxa" w:w="16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21 / 21</w:t>
            </w:r>
          </w:p>
        </w:tc>
        <w:tc>
          <w:tcPr>
            <w:tcW w:type="dxa" w:w="180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b/>
                <w:bCs/>
                <w:color w:val="16A34A"/>
              </w:rPr>
              <w:t xml:space="preserve">100%</w:t>
            </w:r>
          </w:p>
        </w:tc>
      </w:tr>
      <w:tr>
        <w:tc>
          <w:tcPr>
            <w:tcW w:type="dxa" w:w="9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048</w:t>
            </w:r>
          </w:p>
        </w:tc>
        <w:tc>
          <w:tcPr>
            <w:tcW w:type="dxa" w:w="506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Cascading Hazard Risk (engine)</w:t>
            </w:r>
          </w:p>
        </w:tc>
        <w:tc>
          <w:tcPr>
            <w:tcW w:type="dxa" w:w="16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21 / 22</w:t>
            </w:r>
          </w:p>
        </w:tc>
        <w:tc>
          <w:tcPr>
            <w:tcW w:type="dxa" w:w="180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b/>
                <w:bCs/>
                <w:color w:val="B45309"/>
              </w:rPr>
              <w:t xml:space="preserve">95%</w:t>
            </w:r>
          </w:p>
        </w:tc>
      </w:tr>
      <w:tr>
        <w:tc>
          <w:tcPr>
            <w:tcW w:type="dxa" w:w="9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049</w:t>
            </w:r>
          </w:p>
        </w:tc>
        <w:tc>
          <w:tcPr>
            <w:tcW w:type="dxa" w:w="506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Cascade Map Integration &amp; Auto-Alert</w:t>
            </w:r>
          </w:p>
        </w:tc>
        <w:tc>
          <w:tcPr>
            <w:tcW w:type="dxa" w:w="16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26 / 26</w:t>
            </w:r>
          </w:p>
        </w:tc>
        <w:tc>
          <w:tcPr>
            <w:tcW w:type="dxa" w:w="180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b/>
                <w:bCs/>
                <w:color w:val="16A34A"/>
              </w:rPr>
              <w:t xml:space="preserve">100%</w:t>
            </w:r>
          </w:p>
        </w:tc>
      </w:tr>
      <w:tr>
        <w:tc>
          <w:tcPr>
            <w:tcW w:type="dxa" w:w="9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050</w:t>
            </w:r>
          </w:p>
        </w:tc>
        <w:tc>
          <w:tcPr>
            <w:tcW w:type="dxa" w:w="506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Hazard Impact Halo Visualization</w:t>
            </w:r>
          </w:p>
        </w:tc>
        <w:tc>
          <w:tcPr>
            <w:tcW w:type="dxa" w:w="16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19 / 19</w:t>
            </w:r>
          </w:p>
        </w:tc>
        <w:tc>
          <w:tcPr>
            <w:tcW w:type="dxa" w:w="180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b/>
                <w:bCs/>
                <w:color w:val="16A34A"/>
              </w:rPr>
              <w:t xml:space="preserve">100%</w:t>
            </w:r>
          </w:p>
        </w:tc>
      </w:tr>
    </w:tbl>
    <w:p>
      <w:pPr>
        <w:spacing w:before="160"/>
        <w:jc w:val="right"/>
      </w:pPr>
      <w:r>
        <w:rPr>
          <w:b/>
          <w:bCs/>
          <w:sz w:val="18"/>
          <w:szCs w:val="18"/>
        </w:rPr>
        <w:t xml:space="preserve">Overall: 1,145 / 1,147 tracked tasks complete — 99.8%</w:t>
      </w:r>
    </w:p>
    <w:p>
      <w:r>
        <w:br w:type="page"/>
      </w:r>
    </w:p>
    <w:p>
      <w:pPr>
        <w:pStyle w:val="Heading2"/>
        <w:pBdr>
          <w:bottom w:val="single" w:color="DDE3EC" w:sz="8" w:space="4"/>
        </w:pBdr>
        <w:spacing w:after="160" w:before="360"/>
      </w:pPr>
      <w:r>
        <w:rPr>
          <w:b/>
          <w:bCs/>
          <w:color w:val="1D4ED8"/>
        </w:rPr>
        <w:t xml:space="preserve">6. </w:t>
      </w:r>
      <w:r>
        <w:t xml:space="preserve">Outstanding Items</w:t>
      </w:r>
    </w:p>
    <w:p>
      <w:pPr>
        <w:pStyle w:val="Heading3"/>
        <w:spacing w:after="100" w:before="240"/>
      </w:pPr>
      <w:r>
        <w:t xml:space="preserve">6.1 — Internal, non-blocking (2 items)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single" w:color="1D4ED8" w:sz="24"/>
              <w:bottom w:val="none"/>
              <w:right w:val="none"/>
            </w:tcBorders>
            <w:shd w:fill="FFF7ED" w:val="clear"/>
            <w:tcMar>
              <w:top w:type="dxa" w:w="140"/>
              <w:left w:type="dxa" w:w="200"/>
              <w:bottom w:type="dxa" w:w="140"/>
              <w:right w:type="dxa" w:w="200"/>
            </w:tcMar>
          </w:tcPr>
          <w:p>
            <w:pPr>
              <w:spacing w:after="60"/>
            </w:pPr>
            <w:r>
              <w:rPr>
                <w:b/>
                <w:bCs/>
                <w:color w:val="1D4ED8"/>
                <w:sz w:val="20"/>
                <w:szCs w:val="20"/>
              </w:rPr>
              <w:t xml:space="preserve">Documentation note pending — Module 039, Risk &amp; Scenario Modeling</w:t>
            </w:r>
          </w:p>
          <w:p>
            <w:r>
              <w:t xml:space="preserve">The feature itself is complete and fully operational in production today — configurable risk indicators, the vulnerability/coping-capacity/exposure scoring dashboard, and the cascading-risk engine are all live and in active use, with real data already entered by an operator. The single remaining open item is a documentation cross-reference: whether the write-up should describe the INFORM risk-index methodology as adopted at the global/country level or via hand-curated sub-regional data, and whether that same documentation choice should repeat for every new country. That one question is waiting on a reply from the UN partner team — it does not block or limit use of the feature in any way.</w:t>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single" w:color="B45309" w:sz="24"/>
              <w:bottom w:val="none"/>
              <w:right w:val="none"/>
            </w:tcBorders>
            <w:shd w:fill="FFF7ED" w:val="clear"/>
            <w:tcMar>
              <w:top w:type="dxa" w:w="140"/>
              <w:left w:type="dxa" w:w="200"/>
              <w:bottom w:type="dxa" w:w="140"/>
              <w:right w:type="dxa" w:w="200"/>
            </w:tcMar>
          </w:tcPr>
          <w:p>
            <w:pPr>
              <w:spacing w:after="60"/>
            </w:pPr>
            <w:r>
              <w:rPr>
                <w:b/>
                <w:bCs/>
                <w:color w:val="B45309"/>
                <w:sz w:val="20"/>
                <w:szCs w:val="20"/>
              </w:rPr>
              <w:t xml:space="preserve">Follow-up test — Module 048, Cascading Hazard Risk</w:t>
            </w:r>
          </w:p>
          <w:p>
            <w:r>
              <w:t xml:space="preserve">A defense-in-depth security test (confirming a real, non-super-admin country administrator is correctly denied access to another country’s cascade-risk configuration) has not yet been separately exercised with a live non-admin account — the same access-control pattern is already proven correct elsewhere in the system, so risk is assessed as low, but this is flagged for completeness.</w:t>
            </w:r>
          </w:p>
        </w:tc>
      </w:tr>
    </w:tbl>
    <w:p>
      <w:pPr>
        <w:pStyle w:val="Heading3"/>
        <w:spacing w:after="100" w:before="240"/>
      </w:pPr>
      <w:r>
        <w:t xml:space="preserve">6.2 — External dependencies (outside our control)</w:t>
      </w:r>
    </w:p>
    <w:p>
      <w:pPr>
        <w:spacing w:after="160"/>
      </w:pPr>
      <w:r>
        <w:rPr>
          <w:i/>
          <w:iCs/>
          <w:color w:val="5B6478"/>
          <w:sz w:val="18"/>
          <w:szCs w:val="18"/>
        </w:rPr>
        <w:t xml:space="preserve">Last verified 2026-07-23 — recommend a quick re-check with the engineering team before including these in a live presentation, as external status can change.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00"/>
        <w:gridCol w:w="1900"/>
        <w:gridCol w:w="4660"/>
      </w:tblGrid>
      <w:tr>
        <w:trPr>
          <w:tblHeader/>
        </w:trPr>
        <w:tc>
          <w:tcPr>
            <w:tcW w:type="dxa" w:w="2800"/>
            <w:tcBorders>
              <w:top w:val="single" w:color="DDE3EC" w:sz="4"/>
              <w:left w:val="single" w:color="DDE3EC" w:sz="4"/>
              <w:bottom w:val="single" w:color="DDE3EC" w:sz="4"/>
              <w:right w:val="single" w:color="DDE3EC" w:sz="4"/>
            </w:tcBorders>
            <w:shd w:fill="F8FAFC" w:val="clear"/>
            <w:tcMar>
              <w:top w:type="dxa" w:w="60"/>
              <w:left w:type="dxa" w:w="100"/>
              <w:bottom w:type="dxa" w:w="60"/>
              <w:right w:type="dxa" w:w="100"/>
            </w:tcMar>
          </w:tcPr>
          <w:p>
            <w:r>
              <w:rPr>
                <w:b/>
                <w:bCs/>
                <w:sz w:val="16"/>
                <w:szCs w:val="16"/>
              </w:rPr>
              <w:t xml:space="preserve">Item</w:t>
            </w:r>
          </w:p>
        </w:tc>
        <w:tc>
          <w:tcPr>
            <w:tcW w:type="dxa" w:w="1900"/>
            <w:tcBorders>
              <w:top w:val="single" w:color="DDE3EC" w:sz="4"/>
              <w:left w:val="single" w:color="DDE3EC" w:sz="4"/>
              <w:bottom w:val="single" w:color="DDE3EC" w:sz="4"/>
              <w:right w:val="single" w:color="DDE3EC" w:sz="4"/>
            </w:tcBorders>
            <w:shd w:fill="F8FAFC" w:val="clear"/>
            <w:tcMar>
              <w:top w:type="dxa" w:w="60"/>
              <w:left w:type="dxa" w:w="100"/>
              <w:bottom w:type="dxa" w:w="60"/>
              <w:right w:type="dxa" w:w="100"/>
            </w:tcMar>
          </w:tcPr>
          <w:p>
            <w:r>
              <w:rPr>
                <w:b/>
                <w:bCs/>
                <w:sz w:val="16"/>
                <w:szCs w:val="16"/>
              </w:rPr>
              <w:t xml:space="preserve">Status</w:t>
            </w:r>
          </w:p>
        </w:tc>
        <w:tc>
          <w:tcPr>
            <w:tcW w:type="dxa" w:w="4660"/>
            <w:tcBorders>
              <w:top w:val="single" w:color="DDE3EC" w:sz="4"/>
              <w:left w:val="single" w:color="DDE3EC" w:sz="4"/>
              <w:bottom w:val="single" w:color="DDE3EC" w:sz="4"/>
              <w:right w:val="single" w:color="DDE3EC" w:sz="4"/>
            </w:tcBorders>
            <w:shd w:fill="F8FAFC" w:val="clear"/>
            <w:tcMar>
              <w:top w:type="dxa" w:w="60"/>
              <w:left w:type="dxa" w:w="100"/>
              <w:bottom w:type="dxa" w:w="60"/>
              <w:right w:type="dxa" w:w="100"/>
            </w:tcMar>
          </w:tcPr>
          <w:p>
            <w:r>
              <w:rPr>
                <w:b/>
                <w:bCs/>
                <w:sz w:val="16"/>
                <w:szCs w:val="16"/>
              </w:rPr>
              <w:t xml:space="preserve">Why it is outside our control</w:t>
            </w:r>
          </w:p>
        </w:tc>
      </w:tr>
      <w:tr>
        <w:tc>
          <w:tcPr>
            <w:tcW w:type="dxa" w:w="28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ReliefWeb (flood data source)</w:t>
            </w:r>
          </w:p>
        </w:tc>
        <w:tc>
          <w:tcPr>
            <w:tcW w:type="dxa" w:w="190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b/>
                <w:bCs/>
                <w:color w:val="B45309"/>
                <w:sz w:val="16"/>
                <w:szCs w:val="16"/>
              </w:rPr>
              <w:t xml:space="preserve">Pending approval</w:t>
            </w:r>
          </w:p>
        </w:tc>
        <w:tc>
          <w:tcPr>
            <w:tcW w:type="dxa" w:w="466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sz w:val="18"/>
                <w:szCs w:val="18"/>
              </w:rPr>
              <w:t xml:space="preserve">API access request submitted; awaiting the provider’s approval email.</w:t>
            </w:r>
          </w:p>
        </w:tc>
      </w:tr>
      <w:tr>
        <w:tc>
          <w:tcPr>
            <w:tcW w:type="dxa" w:w="28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GDO SPI (drought severity index)</w:t>
            </w:r>
          </w:p>
        </w:tc>
        <w:tc>
          <w:tcPr>
            <w:tcW w:type="dxa" w:w="190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b/>
                <w:bCs/>
                <w:color w:val="B91C1C"/>
                <w:sz w:val="16"/>
                <w:szCs w:val="16"/>
              </w:rPr>
              <w:t xml:space="preserve">Permanently blocked</w:t>
            </w:r>
          </w:p>
        </w:tc>
        <w:tc>
          <w:tcPr>
            <w:tcW w:type="dxa" w:w="466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sz w:val="18"/>
                <w:szCs w:val="18"/>
              </w:rPr>
              <w:t xml:space="preserve">The upstream provider’s own API returns broken/inconsistent data — a data-quality issue on their side, not ours.</w:t>
            </w:r>
          </w:p>
        </w:tc>
      </w:tr>
      <w:tr>
        <w:tc>
          <w:tcPr>
            <w:tcW w:type="dxa" w:w="28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OpenStreetMap roads/buildings (2 of 3 countries)</w:t>
            </w:r>
          </w:p>
        </w:tc>
        <w:tc>
          <w:tcPr>
            <w:tcW w:type="dxa" w:w="190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b/>
                <w:bCs/>
                <w:color w:val="B45309"/>
                <w:sz w:val="16"/>
                <w:szCs w:val="16"/>
              </w:rPr>
              <w:t xml:space="preserve">Filling in gradually</w:t>
            </w:r>
          </w:p>
        </w:tc>
        <w:tc>
          <w:tcPr>
            <w:tcW w:type="dxa" w:w="466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sz w:val="18"/>
                <w:szCs w:val="18"/>
              </w:rPr>
              <w:t xml:space="preserve">The free query service enforces its own usage limits; a weekly automatic retry completes it over time with no action needed from us.</w:t>
            </w:r>
          </w:p>
        </w:tc>
      </w:tr>
      <w:tr>
        <w:tc>
          <w:tcPr>
            <w:tcW w:type="dxa" w:w="2800"/>
            <w:tcBorders>
              <w:top w:val="single" w:color="DDE3EC" w:sz="4"/>
              <w:left w:val="single" w:color="DDE3EC" w:sz="4"/>
              <w:bottom w:val="single" w:color="DDE3EC" w:sz="4"/>
              <w:right w:val="single" w:color="DDE3EC" w:sz="4"/>
            </w:tcBorders>
            <w:tcMar>
              <w:top w:type="dxa" w:w="60"/>
              <w:left w:type="dxa" w:w="100"/>
              <w:bottom w:type="dxa" w:w="60"/>
              <w:right w:type="dxa" w:w="100"/>
            </w:tcMar>
          </w:tcPr>
          <w:p>
            <w:r>
              <w:t xml:space="preserve">Cloud platform Edge Function redeploy</w:t>
            </w:r>
          </w:p>
        </w:tc>
        <w:tc>
          <w:tcPr>
            <w:tcW w:type="dxa" w:w="190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b/>
                <w:bCs/>
                <w:color w:val="5B6478"/>
                <w:sz w:val="16"/>
                <w:szCs w:val="16"/>
              </w:rPr>
              <w:t xml:space="preserve">Cosmetic only</w:t>
            </w:r>
          </w:p>
        </w:tc>
        <w:tc>
          <w:tcPr>
            <w:tcW w:type="dxa" w:w="4660"/>
            <w:tcBorders>
              <w:top w:val="single" w:color="DDE3EC" w:sz="4"/>
              <w:left w:val="single" w:color="DDE3EC" w:sz="4"/>
              <w:bottom w:val="single" w:color="DDE3EC" w:sz="4"/>
              <w:right w:val="single" w:color="DDE3EC" w:sz="4"/>
            </w:tcBorders>
            <w:tcMar>
              <w:top w:type="dxa" w:w="60"/>
              <w:left w:type="dxa" w:w="100"/>
              <w:bottom w:type="dxa" w:w="60"/>
              <w:right w:type="dxa" w:w="100"/>
            </w:tcMar>
          </w:tcPr>
          <w:p>
            <w:r>
              <w:rPr>
                <w:sz w:val="18"/>
                <w:szCs w:val="18"/>
              </w:rPr>
              <w:t xml:space="preserve">A hosting-platform bug prevents redeploying a specific type of backend function; all real workloads already run in Docker instead, so there is no functional impact.</w:t>
            </w:r>
          </w:p>
        </w:tc>
      </w:tr>
    </w:tbl>
    <w:p>
      <w:pPr>
        <w:pStyle w:val="Heading3"/>
        <w:spacing w:after="100" w:before="240"/>
      </w:pPr>
      <w:r>
        <w:t xml:space="preserve">6.3 — Planned, not yet started</w:t>
      </w:r>
    </w:p>
    <w:p>
      <w:pPr>
        <w:spacing w:after="160"/>
      </w:pPr>
      <w:r>
        <w:t xml:space="preserve">The federated setup wizard described in Section 3 in full — this is intentionally a separate, upcoming initiative, not a gap in the current system’s own functionality.</w:t>
      </w:r>
    </w:p>
    <w:p>
      <w:pPr>
        <w:pStyle w:val="Heading2"/>
        <w:pBdr>
          <w:bottom w:val="single" w:color="DDE3EC" w:sz="8" w:space="4"/>
        </w:pBdr>
        <w:spacing w:after="160" w:before="360"/>
      </w:pPr>
      <w:r>
        <w:rPr>
          <w:b/>
          <w:bCs/>
          <w:color w:val="1D4ED8"/>
        </w:rPr>
        <w:t xml:space="preserve">7. </w:t>
      </w:r>
      <w:r>
        <w:t xml:space="preserve">Summary</w:t>
      </w:r>
    </w:p>
    <w:p>
      <w:pPr>
        <w:spacing w:after="160"/>
      </w:pPr>
      <w:r>
        <w:t xml:space="preserve">The system’s core mission — detect hazards in real time, understand their impact, and issue a compliant public alert — is fully built, tested, and running in production for three countries today, with 99.8% of all formally tracked engineering work complete. The only two items still open within the current scope are non-blocking and well understood. The next major initiative is not a missing feature but a deployment model change: giving each country its own fully independent, self-hosted copy of the same proven system.</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478"/>
        <w:sz w:val="15"/>
        <w:szCs w:val="15"/>
      </w:rPr>
      <w:t xml:space="preserve">Page </w:t>
    </w:r>
    <w:r>
      <w:rPr>
        <w:color w:val="5B6478"/>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478"/>
        <w:sz w:val="15"/>
        <w:szCs w:val="15"/>
      </w:rPr>
      <w:t xml:space="preserve">Global Alert (MHEWS) — Project Status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60"/>
      </w:pPr>
    </w:lvl>
  </w:abstractNum>
  <w:abstractNum w:abstractNumId="3" w15:restartNumberingAfterBreak="0">
    <w:multiLevelType w:val="hybridMultilevel"/>
    <w:lvl w:ilvl="0" w15:tentative="1">
      <w:start w:val="1"/>
      <w:numFmt w:val="decimal"/>
      <w:lvlText w:val="%1."/>
      <w:lvlJc w:val="left"/>
      <w:pPr>
        <w:ind w:left="5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22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A2233"/>
      <w:sz w:val="40"/>
      <w:szCs w:val="40"/>
    </w:rPr>
  </w:style>
  <w:style w:type="paragraph" w:styleId="Heading2">
    <w:name w:val="Heading 2"/>
    <w:basedOn w:val="Normal"/>
    <w:next w:val="Normal"/>
    <w:qFormat/>
    <w:pPr>
      <w:spacing w:after="160" w:before="360"/>
      <w:outlineLvl w:val="1"/>
    </w:pPr>
    <w:rPr>
      <w:rFonts w:ascii="Arial" w:cs="Arial" w:eastAsia="Arial" w:hAnsi="Arial"/>
      <w:b/>
      <w:bCs/>
      <w:color w:val="1A2233"/>
      <w:sz w:val="27"/>
      <w:szCs w:val="27"/>
    </w:rPr>
  </w:style>
  <w:style w:type="paragraph" w:styleId="Heading3">
    <w:name w:val="Heading 3"/>
    <w:basedOn w:val="Normal"/>
    <w:next w:val="Normal"/>
    <w:qFormat/>
    <w:pPr>
      <w:spacing w:after="100" w:before="220"/>
      <w:outlineLvl w:val="2"/>
    </w:pPr>
    <w:rPr>
      <w:rFonts w:ascii="Arial" w:cs="Arial" w:eastAsia="Arial" w:hAnsi="Arial"/>
      <w:b/>
      <w:bCs/>
      <w:color w:val="1A22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2026-07-28T17:16:10.745Z</dcterms:created>
  <dcterms:modified xsi:type="dcterms:W3CDTF">2026-07-28T17:16:10.746Z</dcterms:modified>
</cp:coreProperties>
</file>

<file path=docProps/custom.xml><?xml version="1.0" encoding="utf-8"?>
<Properties xmlns="http://schemas.openxmlformats.org/officeDocument/2006/custom-properties" xmlns:vt="http://schemas.openxmlformats.org/officeDocument/2006/docPropsVTypes"/>
</file>