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D4ED8"/>
          <w:spacing w:val="20"/>
          <w:sz w:val="18"/>
          <w:szCs w:val="18"/>
        </w:rPr>
        <w:t xml:space="preserve">PROJECT STATUS &amp; SYSTEM OVERVIEW</w:t>
      </w:r>
    </w:p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Global Alert — Multi-Hazard Early Warning System (MHEWS)</w:t>
      </w:r>
    </w:p>
    <w:p>
      <w:pPr>
        <w:spacing w:after="80"/>
        <w:jc w:val="center"/>
      </w:pPr>
      <w:r>
        <w:rPr>
          <w:color w:val="5B6478"/>
          <w:sz w:val="22"/>
          <w:szCs w:val="22"/>
        </w:rPr>
        <w:t xml:space="preserve">A plain-language briefing for project leadership, partner organizations, and incoming engineers</w:t>
      </w:r>
    </w:p>
    <w:p>
      <w:pPr>
        <w:pBdr>
          <w:bottom w:val="single" w:color="1D4ED8" w:sz="16" w:space="8"/>
        </w:pBdr>
        <w:spacing w:after="300"/>
        <w:jc w:val="center"/>
      </w:pPr>
      <w:r>
        <w:rPr>
          <w:color w:val="5B6478"/>
          <w:sz w:val="16"/>
          <w:szCs w:val="16"/>
        </w:rPr>
        <w:t xml:space="preserve">Prepared 2026-07-28  ·  Reflects live production status as of this date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1D4ED8" w:sz="24"/>
              <w:bottom w:val="none"/>
              <w:right w:val="none"/>
            </w:tcBorders>
            <w:shd w:fill="EEF2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b/>
                <w:bCs/>
              </w:rPr>
              <w:t xml:space="preserve">In one sentence: </w:t>
            </w:r>
            <w:r>
              <w:t xml:space="preserve">Global Alert is a real-time, multi-hazard early warning platform — it watches earthquakes, wildfires, floods, drought, food-security crises, tsunamis, cyclones and disease outbreaks worldwide, shows them on a live map alongside the population and infrastructure they threaten, and gives disaster-management staff the tools to turn that information into an official public alert.</w:t>
            </w:r>
          </w:p>
        </w:tc>
      </w:tr>
    </w:tbl>
    <w:p>
      <w:pPr>
        <w:spacing w:after="200"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BF0CC" w:sz="4"/>
              <w:left w:val="single" w:color="BBF0CC" w:sz="4"/>
              <w:bottom w:val="single" w:color="BBF0CC" w:sz="4"/>
              <w:right w:val="single" w:color="BBF0CC" w:sz="4"/>
            </w:tcBorders>
            <w:shd w:fill="ECFDF3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6A34A"/>
                <w:sz w:val="34"/>
                <w:szCs w:val="34"/>
              </w:rPr>
              <w:t xml:space="preserve">99.8%</w:t>
            </w:r>
          </w:p>
          <w:p>
            <w:pPr>
              <w:jc w:val="center"/>
            </w:pPr>
            <w:r>
              <w:rPr>
                <w:color w:val="5B6478"/>
                <w:sz w:val="16"/>
                <w:szCs w:val="16"/>
              </w:rPr>
              <w:t xml:space="preserve">of tracked work complete</w:t>
            </w:r>
          </w:p>
        </w:tc>
        <w:tc>
          <w:tcPr>
            <w:tcW w:type="dxa" w:w="2520"/>
            <w:tcBorders>
              <w:top w:val="single" w:color="BBF0CC" w:sz="4"/>
              <w:left w:val="single" w:color="BBF0CC" w:sz="4"/>
              <w:bottom w:val="single" w:color="BBF0CC" w:sz="4"/>
              <w:right w:val="single" w:color="BBF0CC" w:sz="4"/>
            </w:tcBorders>
            <w:shd w:fill="ECFDF3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6A34A"/>
                <w:sz w:val="34"/>
                <w:szCs w:val="34"/>
              </w:rPr>
              <w:t xml:space="preserve">50</w:t>
            </w:r>
          </w:p>
          <w:p>
            <w:pPr>
              <w:jc w:val="center"/>
            </w:pPr>
            <w:r>
              <w:rPr>
                <w:color w:val="5B6478"/>
                <w:sz w:val="16"/>
                <w:szCs w:val="16"/>
              </w:rPr>
              <w:t xml:space="preserve">feature modules built</w:t>
            </w:r>
          </w:p>
        </w:tc>
        <w:tc>
          <w:tcPr>
            <w:tcW w:type="dxa" w:w="2520"/>
            <w:tcBorders>
              <w:top w:val="single" w:color="BBF0CC" w:sz="4"/>
              <w:left w:val="single" w:color="BBF0CC" w:sz="4"/>
              <w:bottom w:val="single" w:color="BBF0CC" w:sz="4"/>
              <w:right w:val="single" w:color="BBF0CC" w:sz="4"/>
            </w:tcBorders>
            <w:shd w:fill="ECFDF3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6A34A"/>
                <w:sz w:val="34"/>
                <w:szCs w:val="34"/>
              </w:rPr>
              <w:t xml:space="preserve">3</w:t>
            </w:r>
          </w:p>
          <w:p>
            <w:pPr>
              <w:jc w:val="center"/>
            </w:pPr>
            <w:r>
              <w:rPr>
                <w:color w:val="5B6478"/>
                <w:sz w:val="16"/>
                <w:szCs w:val="16"/>
              </w:rPr>
              <w:t xml:space="preserve">countries live (TR/MG/MY)</w:t>
            </w:r>
          </w:p>
        </w:tc>
        <w:tc>
          <w:tcPr>
            <w:tcW w:type="dxa" w:w="2520"/>
            <w:tcBorders>
              <w:top w:val="single" w:color="BBF0CC" w:sz="4"/>
              <w:left w:val="single" w:color="BBF0CC" w:sz="4"/>
              <w:bottom w:val="single" w:color="BBF0CC" w:sz="4"/>
              <w:right w:val="single" w:color="BBF0CC" w:sz="4"/>
            </w:tcBorders>
            <w:shd w:fill="ECFDF3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6A34A"/>
                <w:sz w:val="34"/>
                <w:szCs w:val="34"/>
              </w:rPr>
              <w:t xml:space="preserve">2</w:t>
            </w:r>
          </w:p>
          <w:p>
            <w:pPr>
              <w:jc w:val="center"/>
            </w:pPr>
            <w:r>
              <w:rPr>
                <w:color w:val="5B6478"/>
                <w:sz w:val="16"/>
                <w:szCs w:val="16"/>
              </w:rPr>
              <w:t xml:space="preserve">non-blocking items open</w:t>
            </w:r>
          </w:p>
        </w:tc>
      </w:tr>
    </w:tbl>
    <w:p>
      <w:pPr>
        <w:pStyle w:val="Heading2"/>
        <w:pBdr>
          <w:bottom w:val="single" w:color="DDE3EC" w:sz="8" w:space="4"/>
        </w:pBdr>
        <w:spacing w:after="160" w:before="360"/>
      </w:pPr>
      <w:r>
        <w:rPr>
          <w:b/>
          <w:bCs/>
          <w:color w:val="1D4ED8"/>
        </w:rPr>
        <w:t xml:space="preserve">1. </w:t>
      </w:r>
      <w:r>
        <w:t xml:space="preserve">What This Project Is</w:t>
      </w:r>
    </w:p>
    <w:p>
      <w:pPr>
        <w:spacing w:after="160"/>
      </w:pPr>
      <w:r>
        <w:t xml:space="preserve">Global Alert (internally also called GEWS/MHEWS — Multi-Hazard Early Warning System) is a platform that disaster-management authorities use to do three things: see what hazards are happening right now anywhere in the world, understand who and what is actually at risk from a given hazard, and act — draft, approve, and send an official, standards-compliant public alert through email, WhatsApp, and a public web portal.</w:t>
      </w:r>
    </w:p>
    <w:p>
      <w:pPr>
        <w:spacing w:after="160"/>
      </w:pPr>
      <w:r>
        <w:t xml:space="preserve">It is built to be handed over, country by country, as a self-contained product: each country’s disaster agency gets its own administrators, its own users, and — eventually, once the setup wizard described in Section 3 is built — its own independently hosted copy of the entire system.</w:t>
      </w:r>
    </w:p>
    <w:p>
      <w:pPr>
        <w:pStyle w:val="Heading2"/>
        <w:pBdr>
          <w:bottom w:val="single" w:color="DDE3EC" w:sz="8" w:space="4"/>
        </w:pBdr>
        <w:spacing w:after="160" w:before="360"/>
      </w:pPr>
      <w:r>
        <w:rPr>
          <w:b/>
          <w:bCs/>
          <w:color w:val="1D4ED8"/>
        </w:rPr>
        <w:t xml:space="preserve">2. </w:t>
      </w:r>
      <w:r>
        <w:t xml:space="preserve">How the System Works — Architecture &amp; Data Pipeline</w:t>
      </w:r>
    </w:p>
    <w:p>
      <w:pPr>
        <w:spacing w:after="160"/>
      </w:pPr>
      <w:r>
        <w:t xml:space="preserve">The system has three moving parts working together at all times: a set of automated data collectors, a central database that everything reads from and writes to, and the map/admin application that a human actually uses. Nothing here requires manual data entry to function — hazard events flow in on their own, continuously.</w:t>
      </w:r>
    </w:p>
    <w:p>
      <w:pPr>
        <w:pStyle w:val="Heading3"/>
        <w:spacing w:after="100" w:before="240"/>
      </w:pPr>
      <w:r>
        <w:t xml:space="preserve">2.1 — Data flows in from real, independent sources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8FA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Live hazard feeds</w:t>
            </w:r>
          </w:p>
          <w:p>
            <w:pPr>
              <w:jc w:val="center"/>
            </w:pPr>
            <w:r>
              <w:rPr>
                <w:color w:val="5B6478"/>
                <w:sz w:val="16"/>
                <w:szCs w:val="16"/>
              </w:rPr>
              <w:t xml:space="preserve">USGS, EMSC, AFAD, Kandilli, GEOFON (earthquakes) · NASA FIRMS (wildfire) · GDACS (multi-hazard) · WHO / PTWC / FEWS NET</w:t>
            </w:r>
          </w:p>
        </w:tc>
        <w:tc>
          <w:tcPr>
            <w:tcW w:type="dxa" w:w="3024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8FA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Aggregator service</w:t>
            </w:r>
          </w:p>
          <w:p>
            <w:pPr>
              <w:jc w:val="center"/>
            </w:pPr>
            <w:r>
              <w:rPr>
                <w:color w:val="5B6478"/>
                <w:sz w:val="16"/>
                <w:szCs w:val="16"/>
              </w:rPr>
              <w:t xml:space="preserve">Always-on background process. Normalizes every source, removes duplicates, stores the result.</w:t>
            </w:r>
          </w:p>
        </w:tc>
        <w:tc>
          <w:tcPr>
            <w:tcW w:type="dxa" w:w="3024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8FA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Database</w:t>
            </w:r>
          </w:p>
          <w:p>
            <w:pPr>
              <w:jc w:val="center"/>
            </w:pPr>
            <w:r>
              <w:rPr>
                <w:color w:val="5B6478"/>
                <w:sz w:val="16"/>
                <w:szCs w:val="16"/>
              </w:rPr>
              <w:t xml:space="preserve">Supabase (PostgreSQL + real-time updates). Every connected map updates instantly.</w:t>
            </w:r>
          </w:p>
        </w:tc>
      </w:tr>
    </w:tbl>
    <w:p>
      <w:pPr>
        <w:spacing w:after="160" w:before="160"/>
      </w:pPr>
      <w:r>
        <w:t xml:space="preserve">A country’s disaster agency can also add its own additional data source at any time from the admin panel — no engineering work required — and the same pipeline picks it up automatically.</w:t>
      </w:r>
    </w:p>
    <w:p>
      <w:pPr>
        <w:pStyle w:val="Heading3"/>
        <w:spacing w:after="100" w:before="240"/>
      </w:pPr>
      <w:r>
        <w:t xml:space="preserve">2.2 — Context layers: what’s actually on the ground</w:t>
      </w:r>
    </w:p>
    <w:p>
      <w:pPr>
        <w:spacing w:after="160"/>
      </w:pPr>
      <w:r>
        <w:t xml:space="preserve">A hazard event on its own only says “something happened here.” To answer “who is affected,” the system separately imports real-world context data for each served country and keeps it ready on the map: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Real Source</w:t>
            </w:r>
          </w:p>
        </w:tc>
        <w:tc>
          <w:tcPr>
            <w:tcW w:type="dxa" w:w="39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What It Answers</w:t>
            </w:r>
          </w:p>
        </w:tc>
      </w:tr>
      <w:tr>
        <w:tc>
          <w:tcPr>
            <w:tcW w:type="dxa" w:w="2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Population density</w:t>
            </w:r>
          </w:p>
        </w:tc>
        <w:tc>
          <w:tcPr>
            <w:tcW w:type="dxa" w:w="3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WorldPop, Meta/HDX, GHSL</w:t>
            </w:r>
          </w:p>
        </w:tc>
        <w:tc>
          <w:tcPr>
            <w:tcW w:type="dxa" w:w="39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How many people live near this hazard?</w:t>
            </w:r>
          </w:p>
        </w:tc>
      </w:tr>
      <w:tr>
        <w:tc>
          <w:tcPr>
            <w:tcW w:type="dxa" w:w="2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Critical infrastructure</w:t>
            </w:r>
          </w:p>
        </w:tc>
        <w:tc>
          <w:tcPr>
            <w:tcW w:type="dxa" w:w="3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OpenStreetMap</w:t>
            </w:r>
          </w:p>
        </w:tc>
        <w:tc>
          <w:tcPr>
            <w:tcW w:type="dxa" w:w="39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Which specific facilities are nearby, filterable by category</w:t>
            </w:r>
          </w:p>
        </w:tc>
      </w:tr>
      <w:tr>
        <w:tc>
          <w:tcPr>
            <w:tcW w:type="dxa" w:w="2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General building density</w:t>
            </w:r>
          </w:p>
        </w:tc>
        <w:tc>
          <w:tcPr>
            <w:tcW w:type="dxa" w:w="3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Microsoft global building-footprint dataset</w:t>
            </w:r>
          </w:p>
        </w:tc>
        <w:tc>
          <w:tcPr>
            <w:tcW w:type="dxa" w:w="39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How dense is construction in this area? (~128,000 measured cells for Turkey alone)</w:t>
            </w:r>
          </w:p>
        </w:tc>
      </w:tr>
      <w:tr>
        <w:tc>
          <w:tcPr>
            <w:tcW w:type="dxa" w:w="2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Rivers &amp; watersheds</w:t>
            </w:r>
          </w:p>
        </w:tc>
        <w:tc>
          <w:tcPr>
            <w:tcW w:type="dxa" w:w="3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HydroRIVERS/HydroBASINS, GloFAS</w:t>
            </w:r>
          </w:p>
        </w:tc>
        <w:tc>
          <w:tcPr>
            <w:tcW w:type="dxa" w:w="39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Flood/liquefaction exposure near water</w:t>
            </w:r>
          </w:p>
        </w:tc>
      </w:tr>
      <w:tr>
        <w:tc>
          <w:tcPr>
            <w:tcW w:type="dxa" w:w="2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Terrain steepness</w:t>
            </w:r>
          </w:p>
        </w:tc>
        <w:tc>
          <w:tcPr>
            <w:tcW w:type="dxa" w:w="3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Copernicus satellite elevation</w:t>
            </w:r>
          </w:p>
        </w:tc>
        <w:tc>
          <w:tcPr>
            <w:tcW w:type="dxa" w:w="39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Landslide-susceptible zones after an earthquake</w:t>
            </w:r>
          </w:p>
        </w:tc>
      </w:tr>
      <w:tr>
        <w:tc>
          <w:tcPr>
            <w:tcW w:type="dxa" w:w="2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Rainfall &amp; drought</w:t>
            </w:r>
          </w:p>
        </w:tc>
        <w:tc>
          <w:tcPr>
            <w:tcW w:type="dxa" w:w="3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CHIRPS, vegetation/soil-moisture anomaly indices</w:t>
            </w:r>
          </w:p>
        </w:tc>
        <w:tc>
          <w:tcPr>
            <w:tcW w:type="dxa" w:w="39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Drought and food-security risk trends</w:t>
            </w:r>
          </w:p>
        </w:tc>
      </w:tr>
    </w:tbl>
    <w:p>
      <w:pPr>
        <w:spacing w:after="160" w:before="160"/>
      </w:pPr>
      <w:r>
        <w:t xml:space="preserve">These imports run as separate, independent background jobs that can be re-run per country at any time to refresh the data, without touching the live hazard-monitoring pipeline at all.</w:t>
      </w:r>
    </w:p>
    <w:p>
      <w:pPr>
        <w:pStyle w:val="Heading3"/>
        <w:spacing w:after="100" w:before="240"/>
      </w:pPr>
      <w:r>
        <w:t xml:space="preserve">2.3 — Turning data into a decision: the cascading-risk engine</w:t>
      </w:r>
    </w:p>
    <w:p>
      <w:pPr>
        <w:spacing w:after="160"/>
      </w:pPr>
      <w:r>
        <w:t xml:space="preserve">A defining feature of this system is that it can flag secondary risks a hazard creates — e.g. “this earthquake is close enough to a river that liquefaction-driven flooding is plausible,” or “terrain steepness near this epicenter suggests landslide risk.” This is done with simple, transparent, admin-editable rules (“if magnitude ≥ X and distance to Y ≤ Z km, then flag risk category W”) — deliberately not a machine-learning model. Every triggered recommendation can be traced back to the exact rule and threshold that produced it, which matters a great deal for an external body auditing the system’s reasoning (e.g. a UN partner reviewing methodology).</w:t>
      </w:r>
    </w:p>
    <w:p>
      <w:pPr>
        <w:pStyle w:val="Heading3"/>
        <w:spacing w:after="100" w:before="240"/>
      </w:pPr>
      <w:r>
        <w:t xml:space="preserve">2.4 — From detection to public alert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8FA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Detected event</w:t>
            </w:r>
          </w:p>
          <w:p>
            <w:pPr>
              <w:jc w:val="center"/>
            </w:pPr>
            <w:r>
              <w:rPr>
                <w:color w:val="5B6478"/>
                <w:sz w:val="16"/>
                <w:szCs w:val="16"/>
              </w:rPr>
              <w:t xml:space="preserve">Real hazard on the live map, or a manually reported community incident</w:t>
            </w:r>
          </w:p>
        </w:tc>
        <w:tc>
          <w:tcPr>
            <w:tcW w:type="dxa" w:w="2268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8FA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Draft alert (CAP)</w:t>
            </w:r>
          </w:p>
          <w:p>
            <w:pPr>
              <w:jc w:val="center"/>
            </w:pPr>
            <w:r>
              <w:rPr>
                <w:color w:val="5B6478"/>
                <w:sz w:val="16"/>
                <w:szCs w:val="16"/>
              </w:rPr>
              <w:t xml:space="preserve">Operator drafts a standards-compliant (OASIS CAP v1.2) public warning</w:t>
            </w:r>
          </w:p>
        </w:tc>
        <w:tc>
          <w:tcPr>
            <w:tcW w:type="dxa" w:w="2268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8FA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Four-eyes approval</w:t>
            </w:r>
          </w:p>
          <w:p>
            <w:pPr>
              <w:jc w:val="center"/>
            </w:pPr>
            <w:r>
              <w:rPr>
                <w:color w:val="5B6478"/>
                <w:sz w:val="16"/>
                <w:szCs w:val="16"/>
              </w:rPr>
              <w:t xml:space="preserve">A second, separate approver must sign off before anything goes out</w:t>
            </w:r>
          </w:p>
        </w:tc>
        <w:tc>
          <w:tcPr>
            <w:tcW w:type="dxa" w:w="2268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8FA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Dispatch</w:t>
            </w:r>
          </w:p>
          <w:p>
            <w:pPr>
              <w:jc w:val="center"/>
            </w:pPr>
            <w:r>
              <w:rPr>
                <w:color w:val="5B6478"/>
                <w:sz w:val="16"/>
                <w:szCs w:val="16"/>
              </w:rPr>
              <w:t xml:space="preserve">Email, WhatsApp, and a public web portal, with automatic retry and delivery tracking</w:t>
            </w:r>
          </w:p>
        </w:tc>
      </w:tr>
    </w:tbl>
    <w:p>
      <w:pPr>
        <w:spacing w:after="160" w:before="160"/>
      </w:pPr>
      <w:r>
        <w:t xml:space="preserve">Every step above — every login, edit, approval, and dispatch — is written to a tamper-evident audit log (a cryptographic hash chain, the same integrity idea used in blockchains), so the full history of any alert can be reconstructed and verified later.</w:t>
      </w:r>
    </w:p>
    <w:p>
      <w:r>
        <w:br w:type="page"/>
      </w:r>
    </w:p>
    <w:p>
      <w:pPr>
        <w:pStyle w:val="Heading2"/>
        <w:pBdr>
          <w:bottom w:val="single" w:color="DDE3EC" w:sz="8" w:space="4"/>
        </w:pBdr>
        <w:spacing w:after="160" w:before="360"/>
      </w:pPr>
      <w:r>
        <w:rPr>
          <w:b/>
          <w:bCs/>
          <w:color w:val="1D4ED8"/>
        </w:rPr>
        <w:t xml:space="preserve">3. </w:t>
      </w:r>
      <w:r>
        <w:t xml:space="preserve">What Happens Next: The Federated Setup Wizard</w:t>
      </w:r>
    </w:p>
    <w:p>
      <w:pPr>
        <w:spacing w:after="160"/>
      </w:pPr>
      <w:r>
        <w:t xml:space="preserve">Today, every served country (Turkey, Madagascar, Malaysia) runs on one shared, centrally-hosted system that we operate — already fully separated by country (a Turkey administrator cannot see Madagascar’s private data, and vice versa; this isolation is already built, tested, and running in production). The next stage of the project is letting each country instead run its own, fully independent copy — its own server, its own database, full data ownership — for organizations that require this for sovereignty or compliance reasons.</w:t>
      </w:r>
    </w:p>
    <w:p>
      <w:pPr>
        <w:pStyle w:val="Heading3"/>
        <w:spacing w:after="100" w:before="240"/>
      </w:pPr>
      <w:r>
        <w:t xml:space="preserve">3.1 — What already exists and will not need to be rebuilt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secure user-invitation system (a new user gets a one-time secure email link to set their own password — the same industry-standard mechanism used by major cloud platforms).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four-tier role hierarchy: Super Admin → Country Admin → Org Admin → Viewer, where a Country Admin can only invite/manage users within their own country, and so on down the chain.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Self-service onboarding of a brand-new hazard type (e.g. “landslide”) from the admin panel, with zero engineering work required.</w:t>
      </w:r>
    </w:p>
    <w:p>
      <w:pPr>
        <w:pStyle w:val="Heading3"/>
        <w:spacing w:after="100" w:before="240"/>
      </w:pPr>
      <w:r>
        <w:t xml:space="preserve">3.2 — What still needs to be built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installer/setup wizard itself — a guided script that stands up a country’s own database, applies all of this system’s database structure to it, deploys the backend logic, and configures everything for that country’s own domain and server.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“first account” bootstrap step — today every account must be invited by an existing administrator; a brand-new installation has no administrator yet, so the installer needs to safely create exactly one first account to get started.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Verification on real self-hosted infrastructure — the system depends on several background-automation features of our current hosting provider that are assumed, but not yet confirmed, to work identically once a country is running its own copy. This needs a real test installation before being promised to a country as ready.</w:t>
      </w:r>
    </w:p>
    <w:p>
      <w:pPr>
        <w:pStyle w:val="Heading3"/>
        <w:spacing w:after="100" w:before="240"/>
      </w:pPr>
      <w:r>
        <w:t xml:space="preserve">3.3 — What a country will need to provide / 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Its own server (a VPS or on-premises machine) and a domain name with an SSL certificate.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Someone with basic system-administration ability to run the guided installer and answer its prompts (technical, but not a software engineer).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initial access request sent to the central team, so the very first administrator account for that country can be created.</w:t>
      </w:r>
    </w:p>
    <w:p>
      <w:pPr>
        <w:pStyle w:val="Heading3"/>
        <w:spacing w:after="100" w:before="240"/>
      </w:pPr>
      <w:r>
        <w:t xml:space="preserve">3.4 — What “done” looks like</w:t>
      </w:r>
    </w:p>
    <w:p>
      <w:pPr>
        <w:spacing w:after="160"/>
      </w:pPr>
      <w:r>
        <w:t xml:space="preserve">A country’s own IT contact runs one guided installer end to end and finishes with a fully working, completely independent copy of this entire system — their own map, their own alerts, their own data, running on infrastructure they control. From that point on, the central team is not involved in their day-to-day operation at all; the country’s own Country Admin invites and manages their own staff going forward.</w:t>
      </w:r>
    </w:p>
    <w:p>
      <w:pPr>
        <w:spacing w:after="160"/>
      </w:pPr>
      <w:r>
        <w:t xml:space="preserve">Recommended build order: (1) a trial self-host installation on a test server first, to confirm the assumptions in 3.2.3 above, before (2) building the first-account bootstrap step, then (3) building and testing the guided installer end to end, and only then (4) writing the step-by-step documentation — written last, so it describes what the installer actually does rather than the other way around.</w:t>
      </w:r>
    </w:p>
    <w:p>
      <w:pPr>
        <w:pStyle w:val="Heading2"/>
        <w:pBdr>
          <w:bottom w:val="single" w:color="DDE3EC" w:sz="8" w:space="4"/>
        </w:pBdr>
        <w:spacing w:after="160" w:before="360"/>
      </w:pPr>
      <w:r>
        <w:rPr>
          <w:b/>
          <w:bCs/>
          <w:color w:val="1D4ED8"/>
        </w:rPr>
        <w:t xml:space="preserve">4. </w:t>
      </w:r>
      <w:r>
        <w:t xml:space="preserve">Recent Feature Highlights</w:t>
      </w:r>
    </w:p>
    <w:p>
      <w:pPr>
        <w:spacing w:after="160"/>
      </w:pPr>
      <w:r>
        <w:t xml:space="preserve">The most recently completed capabilities, in plain terms: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Cascading hazard risk — the system can now say “this earthquake also raises flood, epidemic, or landslide risk nearby,” with every judgment traceable to an explicit, admin-editable rule.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“How far does this reach” visualization — selecting any earthquake or wildfire on the map now shows a translucent circle sized to that event’s real estimated impact radius, with a slider to explore “what if this had been stronger/weaker.”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Distance-graded facility risk — schools, clinics, and emergency facilities near a selected hazard are now color-graded from yellow to red by proximity, with an explicit on-screen note that this is a distance-based estimate, not a confirmed damage assessment.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Building density mapping — a new layer showing real building density per area, sourced from a global satellite-derived building dataset, for all three served countries.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Landslide-susceptibility mapping — steep-terrain zones from real satellite elevation data, for all three served countries.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Category-filterable critical infrastructure — an operator can show/hide schools, health facilities, and emergency services independently.</w:t>
      </w:r>
    </w:p>
    <w:p>
      <w:r>
        <w:br w:type="page"/>
      </w:r>
    </w:p>
    <w:p>
      <w:pPr>
        <w:pStyle w:val="Heading2"/>
        <w:pBdr>
          <w:bottom w:val="single" w:color="DDE3EC" w:sz="8" w:space="4"/>
        </w:pBdr>
        <w:spacing w:after="160" w:before="360"/>
      </w:pPr>
      <w:r>
        <w:rPr>
          <w:b/>
          <w:bCs/>
          <w:color w:val="1D4ED8"/>
        </w:rPr>
        <w:t xml:space="preserve">5. </w:t>
      </w:r>
      <w:r>
        <w:t xml:space="preserve">Completion Status by Module</w:t>
      </w:r>
    </w:p>
    <w:p>
      <w:pPr>
        <w:spacing w:after="160"/>
      </w:pPr>
      <w:r>
        <w:t xml:space="preserve">This project is built using a formal “spec-first” engineering process: every feature is written up as a specification with an explicit task checklist before it is built, so completion can be measured directly and honestly rather than estimated. The tables below are generated directly from those checklists.</w:t>
      </w:r>
    </w:p>
    <w:p>
      <w:pPr>
        <w:pStyle w:val="Heading3"/>
        <w:spacing w:after="100" w:before="240"/>
      </w:pPr>
      <w:r>
        <w:t xml:space="preserve">5.1 — By functional area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rPr>
          <w:tblHeader/>
        </w:trPr>
        <w:tc>
          <w:tcPr>
            <w:tcW w:type="dxa" w:w="4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Functional Area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Modules</w:t>
            </w:r>
          </w:p>
        </w:tc>
        <w:tc>
          <w:tcPr>
            <w:tcW w:type="dxa" w:w="33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 Ingestion &amp; Source Monitoring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B6478"/>
              </w:rPr>
              <w:t xml:space="preserve">3 modules</w:t>
            </w:r>
          </w:p>
        </w:tc>
        <w:tc>
          <w:tcPr>
            <w:tcW w:type="dxa" w:w="33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4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Administration, Access &amp; Security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B6478"/>
              </w:rPr>
              <w:t xml:space="preserve">7 modules</w:t>
            </w:r>
          </w:p>
        </w:tc>
        <w:tc>
          <w:tcPr>
            <w:tcW w:type="dxa" w:w="33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4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Alert Authoring (CAP) &amp; Dispatch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B6478"/>
              </w:rPr>
              <w:t xml:space="preserve">7 modules</w:t>
            </w:r>
          </w:p>
        </w:tc>
        <w:tc>
          <w:tcPr>
            <w:tcW w:type="dxa" w:w="33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4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Impact Analysis &amp; Exposure Data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B6478"/>
              </w:rPr>
              <w:t xml:space="preserve">10 modules</w:t>
            </w:r>
          </w:p>
        </w:tc>
        <w:tc>
          <w:tcPr>
            <w:tcW w:type="dxa" w:w="33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4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Risk &amp; Scenario Modeling (incl. cascading risk)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B6478"/>
              </w:rPr>
              <w:t xml:space="preserve">3 modules</w:t>
            </w:r>
          </w:p>
        </w:tc>
        <w:tc>
          <w:tcPr>
            <w:tcW w:type="dxa" w:w="33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45309"/>
              </w:rPr>
              <w:t xml:space="preserve">97%</w:t>
            </w:r>
          </w:p>
        </w:tc>
      </w:tr>
      <w:tr>
        <w:tc>
          <w:tcPr>
            <w:tcW w:type="dxa" w:w="4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Incident Tracking &amp; Drills/Exercises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B6478"/>
              </w:rPr>
              <w:t xml:space="preserve">8 modules</w:t>
            </w:r>
          </w:p>
        </w:tc>
        <w:tc>
          <w:tcPr>
            <w:tcW w:type="dxa" w:w="33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4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Audit &amp; Compliance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B6478"/>
              </w:rPr>
              <w:t xml:space="preserve">7 modules</w:t>
            </w:r>
          </w:p>
        </w:tc>
        <w:tc>
          <w:tcPr>
            <w:tcW w:type="dxa" w:w="33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42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Map Visualization &amp; Hazard Taxonomy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B6478"/>
              </w:rPr>
              <w:t xml:space="preserve">5 modules</w:t>
            </w:r>
          </w:p>
        </w:tc>
        <w:tc>
          <w:tcPr>
            <w:tcW w:type="dxa" w:w="33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</w:tbl>
    <w:p>
      <w:pPr>
        <w:pStyle w:val="Heading3"/>
        <w:spacing w:after="100" w:before="240"/>
      </w:pPr>
      <w:r>
        <w:t xml:space="preserve">5.2 — Full module-by-module detail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1600"/>
        <w:gridCol w:w="1800"/>
      </w:tblGrid>
      <w:tr>
        <w:trPr>
          <w:tblHeader/>
        </w:trP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Tasks Done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Completion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001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 Ingestion &amp; Source Monitoring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34 / 34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002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Source Country-Scoping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 / 16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003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GDACS Multi-Hazard Source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 / 12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004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 Access Hardening (RBAC)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 / 25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005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MFA Login (TOTP)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 / 28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006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 Alert Authoring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/ 30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007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Audit &amp; Compliance (base)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 / 26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008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Impact Analysis (core)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 / 40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009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Dissemination &amp; Dispatch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52 / 52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010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Hazard Taxonomy Admin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37 / 37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011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Incident Tracking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34 / 34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012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OGC WMS/WFS Map Layers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 / 27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013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Drill Mode Safety (CAP)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 / 14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014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 v1.2 Envelope Export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 / 21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015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Region-Coded Dispatch Targeting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 / 11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016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Threshold Sync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 / 14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017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Drill Response Metrics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 / 16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018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 Capability Grants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 / 19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019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Scheduled Compliance Reports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 / 15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020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Regional Threshold Overrides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 / 20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021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Shelter Management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23 / 23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022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WhatsApp Integration Credentials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 / 19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023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Shapefile Exposure Upload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 / 12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024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Hazard Taxonomy Hierarchy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 / 18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025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Generic Integration Credentials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 / 20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026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Incident Timeline &amp; Reports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 / 17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027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Shelter Map Display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 / 15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028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Access Review &amp; Account Lockout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 / 18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029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Audit Log Resilience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/ 10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030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Compliance Checklist Export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 / 9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031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Dissemination Reliability &amp; Compliance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 / 21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032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Drill Reporting &amp; Feedback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 / 16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033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SOP Versioning &amp; Search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 / 12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034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Impact Analysis Gaps (critical infra, snapshots)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 / 16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035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Audit/Compliance Retention &amp; Evidence Export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 / 24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036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Community Hazard Reporting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45 / 45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037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Drill Hazard Injection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 / 24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038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Population Exposure Sources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36 / 36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039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Risk &amp; Scenario Modeling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38 / 39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45309"/>
              </w:rPr>
              <w:t xml:space="preserve">97%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040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OSM Roads Exposure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/ 30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041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HydroRIVERS Exposure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32 / 32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042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Exposure Layer Map Visualization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 / 26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043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WorldPop Raster Population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 / 25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044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Country-Locked Exclusive Layers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 / 17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045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Hexagon Resolution Panel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 / 24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046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Population Hex Labels / Provinces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 / 20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047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NetCDF Raster Service (Python)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 / 21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048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Cascading Hazard Risk (engine)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 / 22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45309"/>
              </w:rPr>
              <w:t xml:space="preserve">95%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049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Cascade Map Integration &amp; Auto-Alert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 / 26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  <w:tr>
        <w:tc>
          <w:tcPr>
            <w:tcW w:type="dxa" w:w="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050</w:t>
            </w:r>
          </w:p>
        </w:tc>
        <w:tc>
          <w:tcPr>
            <w:tcW w:type="dxa" w:w="50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Hazard Impact Halo Visualization</w:t>
            </w:r>
          </w:p>
        </w:tc>
        <w:tc>
          <w:tcPr>
            <w:tcW w:type="dxa" w:w="16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 / 19</w:t>
            </w:r>
          </w:p>
        </w:tc>
        <w:tc>
          <w:tcPr>
            <w:tcW w:type="dxa" w:w="1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6A34A"/>
              </w:rPr>
              <w:t xml:space="preserve">100%</w:t>
            </w:r>
          </w:p>
        </w:tc>
      </w:tr>
    </w:tbl>
    <w:p>
      <w:pPr>
        <w:spacing w:before="160"/>
        <w:jc w:val="right"/>
      </w:pPr>
      <w:r>
        <w:rPr>
          <w:b/>
          <w:bCs/>
          <w:sz w:val="18"/>
          <w:szCs w:val="18"/>
        </w:rPr>
        <w:t xml:space="preserve">Overall: 1,145 / 1,147 tracked tasks complete — 99.8%</w:t>
      </w:r>
    </w:p>
    <w:p>
      <w:r>
        <w:br w:type="page"/>
      </w:r>
    </w:p>
    <w:p>
      <w:pPr>
        <w:pStyle w:val="Heading2"/>
        <w:pBdr>
          <w:bottom w:val="single" w:color="DDE3EC" w:sz="8" w:space="4"/>
        </w:pBdr>
        <w:spacing w:after="160" w:before="360"/>
      </w:pPr>
      <w:r>
        <w:rPr>
          <w:b/>
          <w:bCs/>
          <w:color w:val="1D4ED8"/>
        </w:rPr>
        <w:t xml:space="preserve">6. </w:t>
      </w:r>
      <w:r>
        <w:t xml:space="preserve">Outstanding Items</w:t>
      </w:r>
    </w:p>
    <w:p>
      <w:pPr>
        <w:pStyle w:val="Heading3"/>
        <w:spacing w:after="100" w:before="240"/>
      </w:pPr>
      <w:r>
        <w:t xml:space="preserve">6.1 — Internal, non-blocking (2 items)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B45309" w:sz="24"/>
              <w:bottom w:val="none"/>
              <w:right w:val="none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Waiting on partner — Module 039, Risk &amp; Scenario Modeling</w:t>
            </w:r>
          </w:p>
          <w:p>
            <w:r>
              <w:t xml:space="preserve">One open question about whether a specific risk-index methodology (the INFORM index) should be adopted at the global/country level or with hand-curated sub-regional data, and whether that process repeats for every new country — this is waiting on a response from the UN partner team and cannot be resolved by engineering work alone.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B45309" w:sz="24"/>
              <w:bottom w:val="none"/>
              <w:right w:val="none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Follow-up test — Module 048, Cascading Hazard Risk</w:t>
            </w:r>
          </w:p>
          <w:p>
            <w:r>
              <w:t xml:space="preserve">A defense-in-depth security test (confirming a real, non-super-admin country administrator is correctly denied access to another country’s cascade-risk configuration) has not yet been separately exercised with a live non-admin account — the same access-control pattern is already proven correct elsewhere in the system, so risk is assessed as low, but this is flagged for completeness.</w:t>
            </w:r>
          </w:p>
        </w:tc>
      </w:tr>
    </w:tbl>
    <w:p>
      <w:pPr>
        <w:pStyle w:val="Heading3"/>
        <w:spacing w:after="100" w:before="240"/>
      </w:pPr>
      <w:r>
        <w:t xml:space="preserve">6.2 — External dependencies (outside our control)</w:t>
      </w:r>
    </w:p>
    <w:p>
      <w:pPr>
        <w:spacing w:after="160"/>
      </w:pPr>
      <w:r>
        <w:rPr>
          <w:i/>
          <w:iCs/>
          <w:color w:val="5B6478"/>
          <w:sz w:val="18"/>
          <w:szCs w:val="18"/>
        </w:rPr>
        <w:t xml:space="preserve">Last verified 2026-07-23 — recommend a quick re-check with the engineering team before including these in a live presentation, as external status can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4660"/>
      </w:tblGrid>
      <w:tr>
        <w:trPr>
          <w:tblHeader/>
        </w:trPr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Item</w:t>
            </w:r>
          </w:p>
        </w:tc>
        <w:tc>
          <w:tcPr>
            <w:tcW w:type="dxa" w:w="1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Why it is outside our control</w:t>
            </w:r>
          </w:p>
        </w:tc>
      </w:tr>
      <w:tr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ReliefWeb (flood data source)</w:t>
            </w:r>
          </w:p>
        </w:tc>
        <w:tc>
          <w:tcPr>
            <w:tcW w:type="dxa" w:w="1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45309"/>
                <w:sz w:val="16"/>
                <w:szCs w:val="16"/>
              </w:rPr>
              <w:t xml:space="preserve">Pending approval</w:t>
            </w:r>
          </w:p>
        </w:tc>
        <w:tc>
          <w:tcPr>
            <w:tcW w:type="dxa" w:w="46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access request submitted; awaiting the provider’s approval email.</w:t>
            </w:r>
          </w:p>
        </w:tc>
      </w:tr>
      <w:tr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GDO SPI (drought severity index)</w:t>
            </w:r>
          </w:p>
        </w:tc>
        <w:tc>
          <w:tcPr>
            <w:tcW w:type="dxa" w:w="1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91C1C"/>
                <w:sz w:val="16"/>
                <w:szCs w:val="16"/>
              </w:rPr>
              <w:t xml:space="preserve">Permanently blocked</w:t>
            </w:r>
          </w:p>
        </w:tc>
        <w:tc>
          <w:tcPr>
            <w:tcW w:type="dxa" w:w="46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upstream provider’s own API returns broken/inconsistent data — a data-quality issue on their side, not ours.</w:t>
            </w:r>
          </w:p>
        </w:tc>
      </w:tr>
      <w:tr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OpenStreetMap roads/buildings (2 of 3 countries)</w:t>
            </w:r>
          </w:p>
        </w:tc>
        <w:tc>
          <w:tcPr>
            <w:tcW w:type="dxa" w:w="1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45309"/>
                <w:sz w:val="16"/>
                <w:szCs w:val="16"/>
              </w:rPr>
              <w:t xml:space="preserve">Filling in gradually</w:t>
            </w:r>
          </w:p>
        </w:tc>
        <w:tc>
          <w:tcPr>
            <w:tcW w:type="dxa" w:w="46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free query service enforces its own usage limits; a weekly automatic retry completes it over time with no action needed from us.</w:t>
            </w:r>
          </w:p>
        </w:tc>
      </w:tr>
      <w:tr>
        <w:tc>
          <w:tcPr>
            <w:tcW w:type="dxa" w:w="28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Cloud platform Edge Function redeploy</w:t>
            </w:r>
          </w:p>
        </w:tc>
        <w:tc>
          <w:tcPr>
            <w:tcW w:type="dxa" w:w="190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5B6478"/>
                <w:sz w:val="16"/>
                <w:szCs w:val="16"/>
              </w:rPr>
              <w:t xml:space="preserve">Cosmetic only</w:t>
            </w:r>
          </w:p>
        </w:tc>
        <w:tc>
          <w:tcPr>
            <w:tcW w:type="dxa" w:w="4660"/>
            <w:tcBorders>
              <w:top w:val="single" w:color="DDE3EC" w:sz="4"/>
              <w:left w:val="single" w:color="DDE3EC" w:sz="4"/>
              <w:bottom w:val="single" w:color="DDE3EC" w:sz="4"/>
              <w:right w:val="single" w:color="DDE3E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hosting-platform bug prevents redeploying a specific type of backend function; all real workloads already run in Docker instead, so there is no functional impact.</w:t>
            </w:r>
          </w:p>
        </w:tc>
      </w:tr>
    </w:tbl>
    <w:p>
      <w:pPr>
        <w:pStyle w:val="Heading3"/>
        <w:spacing w:after="100" w:before="240"/>
      </w:pPr>
      <w:r>
        <w:t xml:space="preserve">6.3 — Planned, not yet started</w:t>
      </w:r>
    </w:p>
    <w:p>
      <w:pPr>
        <w:spacing w:after="160"/>
      </w:pPr>
      <w:r>
        <w:t xml:space="preserve">The federated setup wizard described in Section 3 in full — this is intentionally a separate, upcoming initiative, not a gap in the current system’s own functionality.</w:t>
      </w:r>
    </w:p>
    <w:p>
      <w:pPr>
        <w:pStyle w:val="Heading2"/>
        <w:pBdr>
          <w:bottom w:val="single" w:color="DDE3EC" w:sz="8" w:space="4"/>
        </w:pBdr>
        <w:spacing w:after="160" w:before="360"/>
      </w:pPr>
      <w:r>
        <w:rPr>
          <w:b/>
          <w:bCs/>
          <w:color w:val="1D4ED8"/>
        </w:rPr>
        <w:t xml:space="preserve">7. </w:t>
      </w:r>
      <w:r>
        <w:t xml:space="preserve">Summary</w:t>
      </w:r>
    </w:p>
    <w:p>
      <w:pPr>
        <w:spacing w:after="160"/>
      </w:pPr>
      <w:r>
        <w:t xml:space="preserve">The system’s core mission — detect hazards in real time, understand their impact, and issue a compliant public alert — is fully built, tested, and running in production for three countries today, with 99.8% of all formally tracked engineering work complete. The only two items still open within the current scope are non-blocking and well understood. The next major initiative is not a missing feature but a deployment model change: giving each country its own fully independent, self-hosted copy of the same proven system.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8"/>
        <w:sz w:val="15"/>
        <w:szCs w:val="15"/>
      </w:rPr>
      <w:t xml:space="preserve">Page </w:t>
    </w:r>
    <w:r>
      <w:rPr>
        <w:color w:val="5B647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8"/>
        <w:sz w:val="15"/>
        <w:szCs w:val="15"/>
      </w:rPr>
      <w:t xml:space="preserve">Global Alert (MHEWS) — Project Status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2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2233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22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22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2026-07-28T16:24:10.264Z</dcterms:created>
  <dcterms:modified xsi:type="dcterms:W3CDTF">2026-07-28T16:24:10.264Z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