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Bloke ve Değerlendirme Aşamasındaki Kaynaklar — Analiz ve Yol Haritası</w:t>
      </w:r>
    </w:p>
    <w:p>
      <w:r>
        <w:rPr>
          <w:i/>
          <w:color w:val="595959"/>
          <w:sz w:val="20"/>
        </w:rPr>
        <w:t>MHEWS · Veri Kaynakları Envanteri, Bölüm 6 ve 8'in detaylı analizi — hangi kaynağı nasıl tamamlayabiliriz, neye ihtiyaç var</w:t>
      </w:r>
    </w:p>
    <w:p>
      <w:r>
        <w:rPr>
          <w:color w:val="808080"/>
          <w:sz w:val="18"/>
        </w:rPr>
        <w:t>Hazırlanma tarihi: 2026-07-20 · Kaynak: Veri_Kaynaklari_Envanteri.docx bölüm 6 ve 8'in canlı test bulgularına dayanır</w:t>
      </w:r>
    </w:p>
    <w:p/>
    <w:p>
      <w:pPr>
        <w:pStyle w:val="Heading1"/>
      </w:pPr>
      <w:r>
        <w:t>1. Kod Yazıldı, Deploy Edildi — Ama Veri Üretmiyor (Bölüm 6)</w:t>
      </w:r>
    </w:p>
    <w:p>
      <w:r>
        <w:rPr>
          <w:sz w:val="20"/>
        </w:rPr>
        <w:t>Bu üç kaynağın hepsi için fetch modülü, Edge Function, veritabanı migration'ı ve cron zamanlaması tamamlandı ve canlıya deploy edildi. Ortak sorun: Supabase Edge Function'ların bellek sınırı (WORKER_RESOURCE_LIMIT).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Kaynak</w:t>
            </w:r>
          </w:p>
        </w:tc>
        <w:tc>
          <w:tcPr>
            <w:tcW w:type="dxa" w:w="3312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Engel</w:t>
            </w:r>
          </w:p>
        </w:tc>
        <w:tc>
          <w:tcPr>
            <w:tcW w:type="dxa" w:w="1872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Yapılabilir mi?</w:t>
            </w:r>
          </w:p>
        </w:tc>
        <w:tc>
          <w:tcPr>
            <w:tcW w:type="dxa" w:w="3312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Ne Gerekir</w:t>
            </w:r>
          </w:p>
        </w:tc>
      </w:tr>
      <w:tr>
        <w:tc>
          <w:tcPr>
            <w:tcW w:type="dxa" w:w="1872"/>
            <w:shd w:val="clear" w:color="auto" w:fill="FFF2CC"/>
          </w:tcPr>
          <w:p>
            <w:r/>
            <w:r>
              <w:rPr>
                <w:b w:val="0"/>
                <w:sz w:val="19"/>
              </w:rPr>
              <w:t>Meta/HDX Population</w:t>
            </w:r>
          </w:p>
        </w:tc>
        <w:tc>
          <w:tcPr>
            <w:tcW w:type="dxa" w:w="3312"/>
            <w:shd w:val="clear" w:color="auto" w:fill="FFF2CC"/>
          </w:tcPr>
          <w:p>
            <w:r/>
            <w:r>
              <w:rPr>
                <w:b w:val="0"/>
                <w:sz w:val="19"/>
              </w:rPr>
              <w:t>Ülke başına ~10-11GB ham raster dosyası — hem Edge Function'ın bellek bütçesine, hem bu makinenin diskine sığmıyor (canlı doğrulandı, Madagaskar için).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b w:val="0"/>
                <w:sz w:val="19"/>
              </w:rPr>
              <w:t>Şu an HAYIR (mevcut mimariyle)</w:t>
            </w:r>
          </w:p>
        </w:tc>
        <w:tc>
          <w:tcPr>
            <w:tcW w:type="dxa" w:w="3312"/>
            <w:shd w:val="clear" w:color="auto" w:fill="FFF2CC"/>
          </w:tcPr>
          <w:p>
            <w:r/>
            <w:r>
              <w:rPr>
                <w:b w:val="0"/>
                <w:sz w:val="19"/>
              </w:rPr>
              <w:t>Disk üzerinde akışlı (streaming) işleme yapabilecek gerçek bir sunucu/VM. Küçük bir düzeltme değil, mimari değişiklik gerektirir.</w:t>
            </w:r>
          </w:p>
        </w:tc>
      </w:tr>
      <w:tr>
        <w:tc>
          <w:tcPr>
            <w:tcW w:type="dxa" w:w="1872"/>
            <w:shd w:val="clear" w:color="auto" w:fill="D9EAD3"/>
          </w:tcPr>
          <w:p>
            <w:r/>
            <w:r>
              <w:rPr>
                <w:b w:val="0"/>
                <w:sz w:val="19"/>
              </w:rPr>
              <w:t>GHSL</w:t>
            </w:r>
          </w:p>
        </w:tc>
        <w:tc>
          <w:tcPr>
            <w:tcW w:type="dxa" w:w="3312"/>
            <w:shd w:val="clear" w:color="auto" w:fill="D9EAD3"/>
          </w:tcPr>
          <w:p>
            <w:r/>
            <w:r>
              <w:rPr>
                <w:b w:val="0"/>
                <w:sz w:val="19"/>
              </w:rPr>
              <w:t>WORKER_RESOURCE_LIMIT hatası. Denendi: turf kaldırıldı, tile-bazlı (küçük parça) indirmeye geçildi — hiçbiri çözmedi.</w:t>
            </w:r>
          </w:p>
        </w:tc>
        <w:tc>
          <w:tcPr>
            <w:tcW w:type="dxa" w:w="1872"/>
            <w:shd w:val="clear" w:color="auto" w:fill="D9EAD3"/>
          </w:tcPr>
          <w:p>
            <w:r/>
            <w:r>
              <w:rPr>
                <w:b w:val="0"/>
                <w:sz w:val="19"/>
              </w:rPr>
              <w:t>MUHTEMELEN EVET (farklı yaklaşımla)</w:t>
            </w:r>
          </w:p>
        </w:tc>
        <w:tc>
          <w:tcPr>
            <w:tcW w:type="dxa" w:w="3312"/>
            <w:shd w:val="clear" w:color="auto" w:fill="D9EAD3"/>
          </w:tcPr>
          <w:p>
            <w:r/>
            <w:r>
              <w:rPr>
                <w:b w:val="0"/>
                <w:sz w:val="19"/>
              </w:rPr>
              <w:t>Ya (a) geotiff.js yerine başka bir GeoTIFF kütüphanesi/yöntem, ya (b) Edge Function kaynak tier'ını büyütmek (Supabase planına bağlı), ya (c) Python/Docker servisine taşımak.</w:t>
            </w:r>
          </w:p>
        </w:tc>
      </w:tr>
      <w:tr>
        <w:tc>
          <w:tcPr>
            <w:tcW w:type="dxa" w:w="1872"/>
            <w:shd w:val="clear" w:color="auto" w:fill="D9EAD3"/>
          </w:tcPr>
          <w:p>
            <w:r/>
            <w:r>
              <w:rPr>
                <w:b w:val="0"/>
                <w:sz w:val="19"/>
              </w:rPr>
              <w:t>GDO SPI (GPCC)</w:t>
            </w:r>
          </w:p>
        </w:tc>
        <w:tc>
          <w:tcPr>
            <w:tcW w:type="dxa" w:w="3312"/>
            <w:shd w:val="clear" w:color="auto" w:fill="D9EAD3"/>
          </w:tcPr>
          <w:p>
            <w:r/>
            <w:r>
              <w:rPr>
                <w:b w:val="0"/>
                <w:sz w:val="19"/>
              </w:rPr>
              <w:t>Aynı WORKER_RESOURCE_LIMIT hatası. h3-js bağımlılığı kaldırıldı (bu fonksiyon zaten kullanmıyordu) — sorun devam etti.</w:t>
            </w:r>
          </w:p>
        </w:tc>
        <w:tc>
          <w:tcPr>
            <w:tcW w:type="dxa" w:w="1872"/>
            <w:shd w:val="clear" w:color="auto" w:fill="D9EAD3"/>
          </w:tcPr>
          <w:p>
            <w:r/>
            <w:r>
              <w:rPr>
                <w:b w:val="0"/>
                <w:sz w:val="19"/>
              </w:rPr>
              <w:t>MUHTEMELEN EVET (GHSL ile aynı çözümle)</w:t>
            </w:r>
          </w:p>
        </w:tc>
        <w:tc>
          <w:tcPr>
            <w:tcW w:type="dxa" w:w="3312"/>
            <w:shd w:val="clear" w:color="auto" w:fill="D9EAD3"/>
          </w:tcPr>
          <w:p>
            <w:r/>
            <w:r>
              <w:rPr>
                <w:b w:val="0"/>
                <w:sz w:val="19"/>
              </w:rPr>
              <w:t>GHSL ile AYNI kök sebep (muhtemelen geotiff.js'in kendi bellek ayak izi) — ayrı ayrı değil, tek bir ortak düzeltmeyle birlikte çözülebilir.</w:t>
            </w:r>
          </w:p>
        </w:tc>
      </w:tr>
    </w:tbl>
    <w:p>
      <w:r>
        <w:rPr>
          <w:i/>
          <w:sz w:val="19"/>
        </w:rPr>
        <w:br/>
        <w:t>Önemli gözlem: GHSL ve GDO SPI aynı hatayı, aynı koşullarda veriyor. Bunlar muhtemelen bağımsız iki problem değil — geotiff.js'in bu Edge Function ortamındaki temel bellek ayak izi. Birini çözmek muhtemelen ikisini birden çözer.</w:t>
      </w:r>
    </w:p>
    <w:p/>
    <w:p>
      <w:pPr>
        <w:pStyle w:val="Heading1"/>
      </w:pPr>
      <w:r>
        <w:t>2. Değerlendirildi, Henüz Denenmedi (Bölüm 8)</w:t>
      </w:r>
    </w:p>
    <w:p>
      <w:r>
        <w:rPr>
          <w:sz w:val="20"/>
        </w:rPr>
        <w:t>Bu kaynaklar için henüz fetch kodu yazılmadı — sadece araştırma/uygunluk değerlendirmesi yapıldı.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Kaynak</w:t>
            </w:r>
          </w:p>
        </w:tc>
        <w:tc>
          <w:tcPr>
            <w:tcW w:type="dxa" w:w="3312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Durum</w:t>
            </w:r>
          </w:p>
        </w:tc>
        <w:tc>
          <w:tcPr>
            <w:tcW w:type="dxa" w:w="1872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Yapılabilir mi?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Ne Gerekir</w:t>
            </w:r>
          </w:p>
        </w:tc>
      </w:tr>
      <w:tr>
        <w:tc>
          <w:tcPr>
            <w:tcW w:type="dxa" w:w="2304"/>
            <w:shd w:val="clear" w:color="auto" w:fill="F4CCCC"/>
          </w:tcPr>
          <w:p>
            <w:r/>
            <w:r>
              <w:rPr>
                <w:b w:val="0"/>
                <w:sz w:val="19"/>
              </w:rPr>
              <w:t>INFORM Index</w:t>
            </w:r>
          </w:p>
        </w:tc>
        <w:tc>
          <w:tcPr>
            <w:tcW w:type="dxa" w:w="3312"/>
            <w:shd w:val="clear" w:color="auto" w:fill="F4CCCC"/>
          </w:tcPr>
          <w:p>
            <w:r/>
            <w:r>
              <w:rPr>
                <w:b w:val="0"/>
                <w:sz w:val="19"/>
              </w:rPr>
              <w:t>Statik, UNDP tarafından yılda bir güncelleniyor. API yok.</w:t>
            </w:r>
          </w:p>
        </w:tc>
        <w:tc>
          <w:tcPr>
            <w:tcW w:type="dxa" w:w="1872"/>
            <w:shd w:val="clear" w:color="auto" w:fill="F4CCCC"/>
          </w:tcPr>
          <w:p>
            <w:r/>
            <w:r>
              <w:rPr>
                <w:b w:val="0"/>
                <w:sz w:val="19"/>
              </w:rPr>
              <w:t>OTOMATİK HAYIR</w:t>
            </w:r>
          </w:p>
        </w:tc>
        <w:tc>
          <w:tcPr>
            <w:tcW w:type="dxa" w:w="2880"/>
            <w:shd w:val="clear" w:color="auto" w:fill="F4CCCC"/>
          </w:tcPr>
          <w:p>
            <w:r/>
            <w:r>
              <w:rPr>
                <w:b w:val="0"/>
                <w:sz w:val="19"/>
              </w:rPr>
              <w:t>Kod işi değil — admin panelinden elle, yılda bir güncelleme süreci. Bir karar/süreç işi, geliştirme işi değil.</w:t>
            </w:r>
          </w:p>
        </w:tc>
      </w:tr>
      <w:tr>
        <w:tc>
          <w:tcPr>
            <w:tcW w:type="dxa" w:w="2304"/>
            <w:shd w:val="clear" w:color="auto" w:fill="D9EAD3"/>
          </w:tcPr>
          <w:p>
            <w:r/>
            <w:r>
              <w:rPr>
                <w:b w:val="0"/>
                <w:sz w:val="19"/>
              </w:rPr>
              <w:t>GDO Soil Moisture Anomaly + FAPAR</w:t>
            </w:r>
          </w:p>
        </w:tc>
        <w:tc>
          <w:tcPr>
            <w:tcW w:type="dxa" w:w="3312"/>
            <w:shd w:val="clear" w:color="auto" w:fill="D9EAD3"/>
          </w:tcPr>
          <w:p>
            <w:r/>
            <w:r>
              <w:rPr>
                <w:b w:val="0"/>
                <w:sz w:val="19"/>
              </w:rPr>
              <w:t>Veri sadece NetCDF4/HDF5 toplu arşiv olarak var (~260MB/yıl) — pipeline'ımız sadece GeoTIFF okuyor.</w:t>
            </w:r>
          </w:p>
        </w:tc>
        <w:tc>
          <w:tcPr>
            <w:tcW w:type="dxa" w:w="1872"/>
            <w:shd w:val="clear" w:color="auto" w:fill="D9EAD3"/>
          </w:tcPr>
          <w:p>
            <w:r/>
            <w:r>
              <w:rPr>
                <w:b w:val="0"/>
                <w:sz w:val="19"/>
              </w:rPr>
              <w:t>EVET, ayrı yatırımla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 w:val="0"/>
                <w:sz w:val="19"/>
              </w:rPr>
              <w:t>Python/GDAL servisi — mevcut docker-compose.yml'e üçüncü konteyner olarak eklenebilir (sıfırdan altyapı değil). Bkz. ayrı spec.</w:t>
            </w:r>
          </w:p>
        </w:tc>
      </w:tr>
      <w:tr>
        <w:tc>
          <w:tcPr>
            <w:tcW w:type="dxa" w:w="2304"/>
            <w:shd w:val="clear" w:color="auto" w:fill="F4CCCC"/>
          </w:tcPr>
          <w:p>
            <w:r/>
            <w:r>
              <w:rPr>
                <w:b w:val="0"/>
                <w:sz w:val="19"/>
              </w:rPr>
              <w:t>JRC GFM</w:t>
            </w:r>
          </w:p>
        </w:tc>
        <w:tc>
          <w:tcPr>
            <w:tcW w:type="dxa" w:w="3312"/>
            <w:shd w:val="clear" w:color="auto" w:fill="F4CCCC"/>
          </w:tcPr>
          <w:p>
            <w:r/>
            <w:r>
              <w:rPr>
                <w:b w:val="0"/>
                <w:sz w:val="19"/>
              </w:rPr>
              <w:t>GloFAS ile aynı işi yapıyor (sel verisi), kayıt/onay gerektiriyor.</w:t>
            </w:r>
          </w:p>
        </w:tc>
        <w:tc>
          <w:tcPr>
            <w:tcW w:type="dxa" w:w="1872"/>
            <w:shd w:val="clear" w:color="auto" w:fill="F4CCCC"/>
          </w:tcPr>
          <w:p>
            <w:r/>
            <w:r>
              <w:rPr>
                <w:b w:val="0"/>
                <w:sz w:val="19"/>
              </w:rPr>
              <w:t>GEREK YOK</w:t>
            </w:r>
          </w:p>
        </w:tc>
        <w:tc>
          <w:tcPr>
            <w:tcW w:type="dxa" w:w="2880"/>
            <w:shd w:val="clear" w:color="auto" w:fill="F4CCCC"/>
          </w:tcPr>
          <w:p>
            <w:r/>
            <w:r>
              <w:rPr>
                <w:b w:val="0"/>
                <w:sz w:val="19"/>
              </w:rPr>
              <w:t>Zaten GloFAS var — eklemek yinelenen iş olur. Kasıtlı olarak atlandı.</w:t>
            </w:r>
          </w:p>
        </w:tc>
      </w:tr>
    </w:tbl>
    <w:p/>
    <w:p>
      <w:pPr>
        <w:pStyle w:val="Heading1"/>
      </w:pPr>
      <w:r>
        <w:t>3. Yol Haritası — Öncelik Sırasıyla</w:t>
      </w:r>
    </w:p>
    <w:p>
      <w:r>
        <w:rPr>
          <w:b/>
          <w:sz w:val="20"/>
        </w:rPr>
        <w:t xml:space="preserve">1) GHSL + GDO SPI ortak bloğu (Python gerektirmez) — </w:t>
      </w:r>
      <w:r>
        <w:rPr>
          <w:sz w:val="20"/>
        </w:rPr>
        <w:t>Önce farklı bir GeoTIFF kütüphanesi/okuma yöntemi denenecek (küçük, hızlı bir test). Başarısız olursa Edge Function kaynak tier'ı büyütme seçeneği değerlendirilecek. İkisi de olmazsa bu iş de Python servisine (madde 2) taşınır.</w:t>
      </w:r>
    </w:p>
    <w:p>
      <w:r>
        <w:rPr>
          <w:b/>
          <w:sz w:val="20"/>
        </w:rPr>
        <w:t xml:space="preserve">2) Python/NetCDF servisi (ayrı spec, bekletiliyor) — </w:t>
      </w:r>
      <w:r>
        <w:rPr>
          <w:sz w:val="20"/>
        </w:rPr>
        <w:t>GDO Soil Moisture + FAPAR, ve gerekirse GHSL/GDO SPI/gelecekteki CHIRPS-SPI için ortak bir Python+GDAL konteyneri. Mevcut docker-compose.yml'e eklenecek üçüncü servis. Spec hazırlanıp onay bekletilecek, şimdi implement edilmeyecek.</w:t>
      </w:r>
    </w:p>
    <w:p>
      <w:r>
        <w:rPr>
          <w:b/>
          <w:sz w:val="20"/>
        </w:rPr>
        <w:t xml:space="preserve">3) Meta/HDX Population — </w:t>
      </w:r>
      <w:r>
        <w:rPr>
          <w:sz w:val="20"/>
        </w:rPr>
        <w:t>Şu an aktif bir plan yok — gerçek bir sunucu/disk-streaming altyapısı gerektiriyor, bu proje kapsamının ötesinde büyük bir mimari iş. Beklemede.</w:t>
      </w:r>
    </w:p>
    <w:p>
      <w:r>
        <w:rPr>
          <w:b/>
          <w:sz w:val="20"/>
        </w:rPr>
        <w:t xml:space="preserve">4) INFORM Index / JRC GFM — </w:t>
      </w:r>
      <w:r>
        <w:rPr>
          <w:sz w:val="20"/>
        </w:rPr>
        <w:t>Kod işi değil — INFORM Index bir süreç/karar konusu, JRC GFM kasıtlı olarak atlanmış durumda.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