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B5C"/>
          <w:sz w:val="40"/>
          <w:szCs w:val="40"/>
        </w:rPr>
        <w:t>Veri Kaynakları Envanteri</w:t>
      </w:r>
    </w:p>
    <w:p>
      <w:pPr>
        <w:spacing w:after="100"/>
      </w:pPr>
      <w:r>
        <w:rPr>
          <w:rFonts w:ascii="Arial" w:cs="Arial" w:eastAsia="Arial" w:hAnsi="Arial"/>
          <w:i/>
          <w:iCs/>
          <w:sz w:val="20"/>
          <w:szCs w:val="20"/>
        </w:rPr>
        <w:t>MHEWS (Multi-Hazard Early Warning System) · Şu An Kodda Bulunan Kaynakların Durumu</w:t>
      </w:r>
    </w:p>
    <w:p>
      <w:pPr>
        <w:spacing w:after="240"/>
      </w:pPr>
      <w:r>
        <w:rPr>
          <w:rFonts w:ascii="Arial" w:cs="Arial" w:eastAsia="Arial" w:hAnsi="Arial"/>
          <w:sz w:val="22"/>
          <w:szCs w:val="22"/>
        </w:rPr>
        <w:t>Güncelleme: 2026-07-20 (aynı gün üçüncü kez revize edildi — GDO SPI (GPCC) uçtan uca uygulandı: ortak fetch modülü, Edge Function, migration push edildi, deploy edildi — ama GHSL'i bloke eden aynı platform-seviyesi WORKER_RESOURCE_LIMIT hatasına takılıyor; bunun GHSL denemesinde şüphelenilen h3-js bağımlılığından kaynaklanmadığı doğrulandı, çünkü GDO SPI'nin fetch kodu h3-js'i hiç import etmiyor ve yine de aynı tavana çarpıyor). Bu doküman, projede şu an gerçekten kullanılan tüm veri kaynaklarını, her birinin nasıl çekildiğini/işlendiğini ve hangi kategoriye girdiğini (canlı API, tek seferlik agregasyon, statik dosya, sadece tanımlı-ama-bağlanmamış, manuel yükleme) tek bir listede toplar. supabase/functions altındaki Edge Function'lar ve supabase/migrations altındaki data_sources seed kayıtları taranarak hazırlanmıştır ve gerçek, canlı doğrulanmış veriyi yansıtır — sadece yazılmış kod değil.</w:t>
      </w:r>
    </w:p>
    <w:p>
      <w:pPr>
        <w:pStyle w:val="Heading1"/>
        <w:spacing w:after="200" w:before="320"/>
      </w:pPr>
      <w:r>
        <w:rPr>
          <w:rFonts w:ascii="Arial" w:cs="Arial" w:eastAsia="Arial" w:hAnsi="Arial"/>
        </w:rPr>
        <w:t>1. Canlı/Otomatik Çekilen Afet (Hazard) Kaynakları</w:t>
      </w:r>
    </w:p>
    <w:p>
      <w:pPr>
        <w:spacing w:after="160"/>
      </w:pPr>
      <w:r>
        <w:rPr>
          <w:rFonts w:ascii="Arial" w:cs="Arial" w:eastAsia="Arial" w:hAnsi="Arial"/>
          <w:sz w:val="22"/>
          <w:szCs w:val="22"/>
        </w:rPr>
        <w:t>Bu kaynaklar pg_cron ile periyodik olarak (dakikalar–saatler arasında) otomatik tetiklenir, gelen veri normalize edilip ilgili tabloya (earthquake, flood, wildfire, drought, food_security) yazılır. Hiçbiri agregasyon değildir — her çalıştırmada o anki canlı veri çekilir. 2026-07-20'de bu listeye iki kaynak daha eklendi: PTWC (tsunami, REST bülten akışı, 3 dk'da bir) ve WHO (salgın, hastalık salgını API'si, 30 dk'da bir) — ikisi de bugüne kadar bu projenin Edge Function öncesi aggregator'ında (server/) kullanılmadan duran fetch kodu olarak vardı; dokümanın sonundaki güncellenmiş Özet Tablo'ya bakınız.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400"/>
        <w:gridCol w:w="2860"/>
      </w:tblGrid>
      <w:tr>
        <w:trPr>
          <w:tblHeader/>
        </w:trPr>
        <w:tc>
          <w:tcPr>
            <w:tcW w:type="dxa" w:w="19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Kaynak</w:t>
            </w:r>
          </w:p>
        </w:tc>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Hazard Tipi</w:t>
            </w:r>
          </w:p>
        </w:tc>
        <w:tc>
          <w:tcPr>
            <w:tcW w:type="dxa" w:w="24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Erişim</w:t>
            </w:r>
          </w:p>
        </w:tc>
        <w:tc>
          <w:tcPr>
            <w:tcW w:type="dxa" w:w="28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Not</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USGS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GeoJSON API, key yok</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1 dk aralıkla</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EMSC (seismicportal.eu)</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WebSocket (push)</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 anlık push — polling değil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GEOFON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FDSN Event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config'te var, 2 dk aralık</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AFAD</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Sadece Türkiye (country_code=TR)</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Kandilli (proxy)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Sadece Türkiye (country_code=TR)</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GloFAS / Copernicus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Sel</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ReliefWeb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Sel + Gıda Güvenliği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 (filtreli)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iki hazard tipi için de kullanılıyor</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NASA FIRMS (VIIRS)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Orman Yangını</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JSON/CSV API, key gerekli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 15 dk aralık</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FEWS NET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Kuraklık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(FEWS ülkeleri)</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WFP VAM</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Kuraklık</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GeoJSON endpoint</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WFP HungerMap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Gıda Güvenliği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GDACS (REST + RSS)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Çoklu (deprem/sel/kuraklık/yangın)</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 + RSS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Tek endpoint'ten 4 hazard tipine bölünüyor (gdacsSplit.ts)</w:t>
            </w:r>
          </w:p>
        </w:tc>
      </w:tr>
    </w:tbl>
    <w:p>
      <w:pPr>
        <w:pStyle w:val="Heading1"/>
        <w:spacing w:after="200" w:before="320"/>
      </w:pPr>
      <w:r>
        <w:rPr>
          <w:rFonts w:ascii="Arial" w:cs="Arial" w:eastAsia="Arial" w:hAnsi="Arial"/>
        </w:rPr>
        <w:t>2. Nüfus Exposure — Kontur &amp; WorldPop (İkisi de Artık Canlı)</w:t>
      </w:r>
    </w:p>
    <w:p>
      <w:pPr>
        <w:spacing w:after="120"/>
      </w:pPr>
      <w:r>
        <w:rPr>
          <w:rFonts w:ascii="Arial" w:cs="Arial" w:eastAsia="Arial" w:hAnsi="Arial"/>
          <w:sz w:val="22"/>
          <w:szCs w:val="22"/>
        </w:rPr>
        <w:t>Canlı bir hazard olayı değil — bir ülkenin nüfus dağılımını temsil eden statik/periyodik güncellenen bir veri katmanı. Değerlendirilen 4 nüfus kaynağı arasından (WorldPop, Meta, GHSL, Kontur) ilk entegre edilen Kontur oldu, çünkü verisini kendi tarafında H3 altıgenlerine önceden agregasyonluyor. İkinci entegre edilen WorldPop oldu — uzun süredir bekleyen ham-raster boşluğunu kapatarak (spec 043): yeni, kaynak-agnostik bir raster-den-altıgene pipeline (geotiff.js ile GeoTIFF okuma, h3-js ile piksel-den-H3-hücresine agregasyon, GDAL/native bağımlılık yok) artık WorldPop'un 100m çözünürlüklü nüfus GeoTIFF'lerini aynı altıgen formatına dönüştürüyor. Meta/HDX Population ve GHSL, 2026-07-20'de denendi ve hâlâ entegre değil — her birinin çarptığı somut, artık iyi anlaşılmış engel için 6. bölüme bakınız (artık belirsiz bir “daha fazla araştırma gerekiyor” değil).</w:t>
      </w:r>
    </w:p>
    <w:p>
      <w:pPr>
        <w:pStyle w:val="ListParagraph"/>
        <w:numPr>
          <w:ilvl w:val="0"/>
          <w:numId w:val="2"/>
        </w:numPr>
        <w:spacing w:after="100"/>
      </w:pPr>
      <w:r>
        <w:rPr>
          <w:rFonts w:ascii="Arial" w:cs="Arial" w:eastAsia="Arial" w:hAnsi="Arial"/>
          <w:sz w:val="22"/>
          <w:szCs w:val="22"/>
        </w:rPr>
        <w:t>Kontur Population — HDX üzerinden ülke başına GeoPackage dosyası indirilip (haftalık cron), sql.js (WASM SQLite) ile parse edilip H3 altıgen hücreleri exposure_datasets/exposure_features tablolarına yazılıyor.</w:t>
      </w:r>
    </w:p>
    <w:p>
      <w:pPr>
        <w:pStyle w:val="ListParagraph"/>
        <w:numPr>
          <w:ilvl w:val="0"/>
          <w:numId w:val="2"/>
        </w:numPr>
        <w:spacing w:after="100"/>
      </w:pPr>
      <w:r>
        <w:rPr>
          <w:rFonts w:ascii="Arial" w:cs="Arial" w:eastAsia="Arial" w:hAnsi="Arial"/>
          <w:sz w:val="22"/>
          <w:szCs w:val="22"/>
        </w:rPr>
        <w:t>Hangi ülkenin hangi Kontur veri setine karşılık geldiği bilgisi, ülke onboarding'inde bir kez HDX arama API'sine sorulup veritabanına yazılıyor — koda değil (185 ülkeye ölçeklenebilir tasarım).</w:t>
      </w:r>
    </w:p>
    <w:p>
      <w:pPr>
        <w:pStyle w:val="ListParagraph"/>
        <w:numPr>
          <w:ilvl w:val="0"/>
          <w:numId w:val="2"/>
        </w:numPr>
        <w:spacing w:after="100"/>
      </w:pPr>
      <w:r>
        <w:rPr>
          <w:rFonts w:ascii="Arial" w:cs="Arial" w:eastAsia="Arial" w:hAnsi="Arial"/>
          <w:sz w:val="22"/>
          <w:szCs w:val="22"/>
        </w:rPr>
        <w:t>WorldPop Population — ücretsiz, key gerektirmeyen, ülke bazlı bir REST API (hub.worldpop.org) her servis edilen ülkenin en güncel yıllık nüfus GeoTIFF indirme adresini çözüyor; raster indirilip pencere-bazlı satır bloklarıyla okunuyor (tamamı belleğe yüklenmeden), H3 seviye-7 altıgenlerine agregasyonlanıyor, sonra Kontur/yollar/nehirler/havzaların zaten kullandığı aynı generic exposure writer'la yazılıyor — Kontur'un kendi altıgenleriyle birleştirilmeyen, bağımsız açılıp kapanabilen ayrı bir nüfus katmanı olarak görünüyor.</w:t>
      </w:r>
    </w:p>
    <w:p>
      <w:pPr>
        <w:spacing w:after="200"/>
      </w:pPr>
      <w:r>
        <w:rPr>
          <w:rFonts w:ascii="Arial" w:cs="Arial" w:eastAsia="Arial" w:hAnsi="Arial"/>
          <w:b/>
          <w:bCs/>
          <w:sz w:val="22"/>
          <w:szCs w:val="22"/>
        </w:rPr>
        <w:t>Durum: Kontur, onboard edilen üç ülke için de canlı ve çalışıyor — 2026-07-20 itibarıyla gerçek veri: Türkiye 20.411 kayıt, Madagaskar 13.889 kayıt, Malezya 8.832 kayıt. WorldPop, Türkiye ve Madagaskar için canlı: Türkiye 19.930 altıgen, Madagaskar 16.227 altıgen. Kayıt sayıları önceki güncellemeye göre daha düşük, çünkü 2026-07-19 tarihli bir düzeltme (commit 87ec4bc) her iki kaynağı da daha kaba bir H3 seviyesine yeniden agregasyonladı — Kontur seviye 6'ya (WorldPop'un seviye 7'sinden bir kademe kaba) — orijinal ülke-bazlı çözünürlüğün, get_dataset_features_geojson'un veritabanı zaman aşımından önce serialize edemeyeceği kadar çok altıgen ürettiği, bu yüzden nüfus katmanının açılışta sessizce render edilemediği keşfedildikten sonra. Toplam nüfus toplamı değişmedi; sadece altıgen hücre sayısı azaldı.</w:t>
      </w:r>
      <w:r>
        <w:rPr>
          <w:rFonts w:ascii="Arial" w:cs="Arial" w:eastAsia="Arial" w:hAnsi="Arial"/>
          <w:sz w:val="22"/>
          <w:szCs w:val="22"/>
        </w:rPr>
      </w:r>
    </w:p>
    <w:p>
      <w:pPr>
        <w:pStyle w:val="Heading1"/>
        <w:spacing w:after="200" w:before="320"/>
      </w:pPr>
      <w:r>
        <w:rPr>
          <w:rFonts w:ascii="Arial" w:cs="Arial" w:eastAsia="Arial" w:hAnsi="Arial"/>
        </w:rPr>
        <w:t>3. Otomatik İçe Aktarılan Exposure Katmanları — Yollar, Nehirler, Havzalar &amp; Binalar (Yeni)</w:t>
      </w:r>
    </w:p>
    <w:p>
      <w:pPr>
        <w:spacing w:after="160"/>
      </w:pPr>
      <w:r>
        <w:rPr>
          <w:rFonts w:ascii="Arial" w:cs="Arial" w:eastAsia="Arial" w:hAnsi="Arial"/>
          <w:sz w:val="22"/>
          <w:szCs w:val="22"/>
        </w:rPr>
        <w:t>Bu dört katman envanterin önceki versiyonunda yoktu (ya sadece değerlendirme aşamasındaydı ya da manuel yüklemeyle geliyordu). Dördü de artık canlı, otomatik içe aktarılıyor ve haritada bağımsız açılıp kapanabilen, tıklayınca detay gösteren katmanlar olarak görünüyor (spec 042/044).</w:t>
      </w:r>
    </w:p>
    <w:p>
      <w:pPr>
        <w:spacing w:after="100"/>
      </w:pPr>
      <w:r>
        <w:rPr>
          <w:rFonts w:ascii="Arial" w:cs="Arial" w:eastAsia="Arial" w:hAnsi="Arial"/>
          <w:b/>
          <w:bCs/>
          <w:sz w:val="22"/>
          <w:szCs w:val="22"/>
        </w:rPr>
        <w:t>OSM/Overpass Yol Ağı</w:t>
      </w:r>
    </w:p>
    <w:p>
      <w:pPr>
        <w:spacing w:after="200"/>
      </w:pPr>
      <w:r>
        <w:rPr>
          <w:rFonts w:ascii="Arial" w:cs="Arial" w:eastAsia="Arial" w:hAnsi="Arial"/>
          <w:sz w:val="22"/>
          <w:szCs w:val="22"/>
        </w:rPr>
        <w:t>Google Roads API kullanılmıyor — ücretli bir servis (aylık ~150$+). Ücretsiz alternatif OSM/Overpass artık tamamen bağlandı: periyodik bir import, servis edilen her ülke için OpenStreetMap'in yol ağını (motorway/trunk/primary sınıflandırması) çekip exposure_datasets/exposure_features'a yazıyor. 2026-07-20 itibarıyla canlı veri: Türkiye 65.010 kayıt, Madagaskar 2.192 kayıt (Madagaskar'da “motorway” etiketli hiç OSM yolu yok, bu yüzden yol ağı trunk/primary seviyelerine dayanıyor).</w:t>
      </w:r>
    </w:p>
    <w:p>
      <w:pPr>
        <w:spacing w:after="100"/>
      </w:pPr>
      <w:r>
        <w:rPr>
          <w:rFonts w:ascii="Arial" w:cs="Arial" w:eastAsia="Arial" w:hAnsi="Arial"/>
          <w:b/>
          <w:bCs/>
          <w:sz w:val="22"/>
          <w:szCs w:val="22"/>
        </w:rPr>
        <w:t>HydroRIVERS (Nehir Ağı)</w:t>
      </w:r>
    </w:p>
    <w:p>
      <w:pPr>
        <w:spacing w:after="200"/>
      </w:pPr>
      <w:r>
        <w:rPr>
          <w:rFonts w:ascii="Arial" w:cs="Arial" w:eastAsia="Arial" w:hAnsi="Arial"/>
          <w:sz w:val="22"/>
          <w:szCs w:val="22"/>
        </w:rPr>
        <w:t>Ücretsiz, bekleme listesi gerektirmeyen küresel nehir ağı çizgi verisi (HydroSHEDS ailesi) — kıta ölçekli shapefile olarak dağıtılıyor, bir kez indirilip her servis edilen ülkenin sınırına göre spatial olarak kırpılıyor (clip). Canlı veri: Türkiye 40.421 kayıt, Madagaskar 55.196 kayıt.</w:t>
      </w:r>
    </w:p>
    <w:p>
      <w:pPr>
        <w:spacing w:after="100"/>
      </w:pPr>
      <w:r>
        <w:rPr>
          <w:rFonts w:ascii="Arial" w:cs="Arial" w:eastAsia="Arial" w:hAnsi="Arial"/>
          <w:b/>
          <w:bCs/>
          <w:sz w:val="22"/>
          <w:szCs w:val="22"/>
        </w:rPr>
        <w:t>HydroBASINS (Havza Sınırları, Seviye 6)</w:t>
      </w:r>
    </w:p>
    <w:p>
      <w:pPr>
        <w:spacing w:after="200"/>
      </w:pPr>
      <w:r>
        <w:rPr>
          <w:rFonts w:ascii="Arial" w:cs="Arial" w:eastAsia="Arial" w:hAnsi="Arial"/>
          <w:sz w:val="22"/>
          <w:szCs w:val="22"/>
        </w:rPr>
        <w:t>HydroRIVERS ile aynı ücretsiz HydroSHEDS ailesinden — bu, Google Flood Hub'ın “hybas_” gösterge kimliklerinin ve havza-alanı popup'ının arkasındaki aynı kaynak, bu katmanı eklememizi tetikleyen de tam olarak buydu. Haritamızda bir havza poligonuna tıklamak alanını gösteriyor, Google Flood Hub'da görülen aynı etkileşim. Canlı veri: Türkiye 115 kayıt, Madagaskar 80 kayıt.</w:t>
      </w:r>
    </w:p>
    <w:p>
      <w:pPr>
        <w:spacing w:after="240"/>
      </w:pPr>
      <w:r>
        <w:rPr>
          <w:rFonts w:ascii="Arial" w:cs="Arial" w:eastAsia="Arial" w:hAnsi="Arial"/>
          <w:b/>
          <w:bCs/>
          <w:sz w:val="22"/>
          <w:szCs w:val="22"/>
        </w:rPr>
        <w:t>Not: Google'ın Flood Hub / Flood Forecasting API'sinin kendisi (sadece altındaki HydroBASINS verisi değil, gerçek taşkın tahminleri) ayrıca değerlendirildi — ücretsiz ama şu an aylar sürebilecek bir onay bekleme listesi arkasında, demo takvimiyle uyumsuz, erişim onaylanana kadar kapsam dışı.</w:t>
      </w:r>
      <w:r>
        <w:rPr>
          <w:rFonts w:ascii="Arial" w:cs="Arial" w:eastAsia="Arial" w:hAnsi="Arial"/>
          <w:i/>
          <w:iCs/>
          <w:sz w:val="22"/>
          <w:szCs w:val="22"/>
        </w:rPr>
      </w:r>
    </w:p>
    <w:p>
      <w:pPr>
        <w:pStyle w:val="Heading1"/>
        <w:spacing w:after="200" w:before="320"/>
      </w:pPr>
      <w:r>
        <w:rPr>
          <w:rFonts w:ascii="Arial" w:cs="Arial" w:eastAsia="Arial" w:hAnsi="Arial"/>
        </w:rPr>
        <w:t>OSM/Overpass Binalar</w:t>
      </w:r>
    </w:p>
    <w:p>
      <w:pPr>
        <w:spacing w:after="120"/>
      </w:pPr>
      <w:r>
        <w:rPr>
          <w:rFonts w:ascii="Arial" w:cs="Arial" w:eastAsia="Arial" w:hAnsi="Arial"/>
          <w:sz w:val="22"/>
          <w:szCs w:val="22"/>
        </w:rPr>
        <w:t>8. bölümdeki “OpenBuildingMap” maddesi (değerlendirildi ama entegre edilmedi) artık canlı, her OSM bina konturu değil kritik tesislerle sınırlı olarak (spec 044): hastaneler/klinikler, okullar/üniversiteler, itfaiye/polis/devlet binaları, yollarla aynı Overpass deseniyle (highway etiketi değil, amenity/office etiketleri) her servis edilen ülke için sorgulanıyor. Kapsamsız bir building=* sorgusu baştan reddedildi — tipik bir OSM çıkarımında binalar yollardan 1–2 büyüklük mertebesi daha fazla, ve osmRoadsFetch.ts zaten çok daha küçük bir ölçekte deploy edilmiş Edge Function'ın WORKER_RESOURCE_LIMIT sınırına çarptığını belgeliyor. İçe aktarılan her tesis, get_critical_infrastructure_features()'ın zaten filtrelediği taksonomiye uyan bir asset_category (critical_infrastructure_health/education/emergency) ile etiketleniyor ve sayılıyor (alan olarak ölçülmüyor) — bu, ScenarioBuilder.vue'nun nüfus için zaten gösterdiği “etkilenen alanda kaç kritik tesis var” sorusunu yanıtlıyor. 2026-07-20 itibarıyla deploy edildi ve başarılı çağrıldığı doğrulandı (health_state: healthy); ilk zamanlanmış veri (Pazar 05:00 UTC haftalık cron) bu yazı itibarıyla hâlâ bekliyor.</w:t>
      </w:r>
    </w:p>
    <w:p>
      <w:pPr>
        <w:pStyle w:val="ListParagraph"/>
        <w:numPr>
          <w:ilvl w:val="0"/>
          <w:numId w:val="2"/>
        </w:numPr>
        <w:spacing w:after="100"/>
      </w:pPr>
      <w:r>
        <w:rPr>
          <w:rFonts w:ascii="Arial" w:cs="Arial" w:eastAsia="Arial" w:hAnsi="Arial"/>
          <w:sz w:val="22"/>
          <w:szCs w:val="22"/>
        </w:rPr>
        <w:t>4. Sınır (Boundary) Verisi — Statik, Tek Seferlik İndirilen</w:t>
      </w:r>
    </w:p>
    <w:p>
      <w:pPr>
        <w:pStyle w:val="Heading1"/>
        <w:spacing w:after="200" w:before="320"/>
      </w:pPr>
      <w:r>
        <w:rPr>
          <w:rFonts w:ascii="Arial" w:cs="Arial" w:eastAsia="Arial" w:hAnsi="Arial"/>
        </w:rPr>
        <w:t>Canlı API değil; repo içine bir kez indirilip GeoJSON dosyası olarak saklanıyor.</w:t>
      </w:r>
    </w:p>
    <w:p>
      <w:pPr>
        <w:spacing w:after="200"/>
      </w:pPr>
      <w:r>
        <w:rPr>
          <w:rFonts w:ascii="Arial" w:cs="Arial" w:eastAsia="Arial" w:hAnsi="Arial"/>
          <w:sz w:val="22"/>
          <w:szCs w:val="22"/>
        </w:rPr>
        <w:t>geoBoundaries (HDX üzerinden) — Türkiye'nin 81 ili (ADM1), Malezya'nın 16 eyaleti ve Madagaskar'ın 22 bölgesi (ADM1), src/data/boundaries/ altında statik GeoJSON olarak duruyor. Yeni bir ülke eklendiğinde aynı formatta bir dosya daha eklenmesi yeterli.</w:t>
      </w:r>
    </w:p>
    <w:p>
      <w:pPr>
        <w:pStyle w:val="Heading1"/>
        <w:spacing w:after="200" w:before="320"/>
      </w:pPr>
      <w:r>
        <w:rPr>
          <w:rFonts w:ascii="Arial" w:cs="Arial" w:eastAsia="Arial" w:hAnsi="Arial"/>
        </w:rPr>
        <w:t>5. Harita Üzerinde Exposure Katmanı Görselleştirme (Yeni)</w:t>
      </w:r>
    </w:p>
    <w:p>
      <w:pPr>
        <w:spacing w:after="160"/>
      </w:pPr>
      <w:r>
        <w:rPr>
          <w:rFonts w:ascii="Arial" w:cs="Arial" w:eastAsia="Arial" w:hAnsi="Arial"/>
          <w:sz w:val="22"/>
          <w:szCs w:val="22"/>
        </w:rPr>
        <w:t>Haritada artık generic, açılıp kapanabilen bir katman paneli var: herhangi bir exposure veri seti (nüfus, yollar, nehirler, havzalar — ve gelecekteki her yeni kaynak) bağımsız olarak açılıp kapatılabiliyor, katman bazında kademeli, veri-güdümlü renklendirme kullanıyor (2026-07-19'da eklendi, katman başına tek düz renk yerine), ve tıklayınca o özelliğin ana niteliklerini gösteren bir popup açılıyor. Render kodunda kaynağa özel hiç kod yok — yeni bir kaynak tipi, import edildiği anda otomatik olarak görünüyor. Bu, arayüzün Google Flood Hub gibi referans araçlara kıyasla “teorik” kaldığı yönündeki önceki geri bildirimi doğrudan karşılıyor.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Kaynak</w:t>
            </w:r>
          </w:p>
        </w:tc>
        <w:tc>
          <w:tcPr>
            <w:tcW w:type="dxa" w:w="25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Hazard Tipi</w:t>
            </w:r>
          </w:p>
        </w:tc>
        <w:tc>
          <w:tcPr>
            <w:tcW w:type="dxa" w:w="4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Durum</w:t>
            </w:r>
          </w:p>
        </w:tc>
      </w:tr>
      <w:tr>
        <w:tc>
          <w:tcPr>
            <w:tcW w:type="dxa" w:w="2500"/>
          </w:tcPr>
          <w:p>
            <w:r>
              <w:t>Meta/HDX Population</w:t>
            </w:r>
          </w:p>
        </w:tc>
        <w:tc>
          <w:tcPr>
            <w:tcW w:type="dxa" w:w="2500"/>
          </w:tcPr>
          <w:p>
            <w:r>
              <w:t>Nüfus (exposure)</w:t>
            </w:r>
          </w:p>
        </w:tc>
        <w:tc>
          <w:tcPr>
            <w:tcW w:type="dxa" w:w="4360"/>
          </w:tcPr>
          <w:p>
            <w:r>
              <w:t>Ülke başına HDX paket ID'leri çözüldü (TR/MG/MY); import kodu geri alındı — ülke başına rasterler sıkıştırılmamış ~10–11GB (Madagaskar için canlı doğrulandı), bu Edge Function'ın bellek bütçesi için ve bu makinenin yerel işlem için mevcut disk alanı için çok büyük</w:t>
            </w:r>
          </w:p>
        </w:tc>
      </w:tr>
      <w:tr>
        <w:tc>
          <w:tcPr>
            <w:tcW w:type="dxa" w:w="2500"/>
          </w:tcPr>
          <w:p>
            <w:r>
              <w:t>GHSL</w:t>
            </w:r>
          </w:p>
        </w:tc>
        <w:tc>
          <w:tcPr>
            <w:tcW w:type="dxa" w:w="2500"/>
          </w:tcPr>
          <w:p>
            <w:r>
              <w:t>Nüfus (exposure)</w:t>
            </w:r>
          </w:p>
        </w:tc>
        <w:tc>
          <w:tcPr>
            <w:tcW w:type="dxa" w:w="4360"/>
          </w:tcPr>
          <w:p>
            <w:r>
              <w:t>Fetch kodu tamamlandı ve deploy edildi (ülke başına 10° tile indirmeleri, ~1.5MB her biri, 461MB'lık tüm dünya dosyası değil); çağrıldıktan ~7-8 saniye içinde hâlâ Edge Function'ın bellek tavanına çarpıyor — bu süreçte gerçek bir platform bug'ı bulundu ve düzeltildi (geotiff.js'in tanımsız 'Worker' global'ine referans vermesi, bu aynı zamanda WorldPop'un zaten deploy edilmiş import fonksiyonunu da sessizce bozuyordu)</w:t>
            </w:r>
          </w:p>
        </w:tc>
      </w:tr>
      <w:tr>
        <w:tc>
          <w:tcPr>
            <w:tcW w:type="dxa" w:w="2500"/>
          </w:tcPr>
          <w:p>
            <w:r>
              <w:t>GDO SPI (GPCC)</w:t>
            </w:r>
          </w:p>
        </w:tc>
        <w:tc>
          <w:tcPr>
            <w:tcW w:type="dxa" w:w="2500"/>
          </w:tcPr>
          <w:p>
            <w:r>
              <w:t>Kuraklık şiddeti (exposure)</w:t>
            </w:r>
          </w:p>
        </w:tc>
        <w:tc>
          <w:tcPr>
            <w:tcW w:type="dxa" w:w="4360"/>
          </w:tcPr>
          <w:p>
            <w:r>
              <w:t>GDO'nun WCS 2.0.0 API'sinin (coverageID=spgTS) çalıştığı ve her istek için küçük, sunucu-tarafında ülke-kırpılı bir GeoTIFF döndürdüğü canlı doğrulandı — CHIRPS-tabanlı coverage ID'ler (spcST/spcLT) aynı API'de tanımlı ama GDO'nun kendi backend'inden HTTP 500 dönüyor, bu yüzden bunun yerine GPCC kullanılıyor (kodda ve exposure_datasets.source_metadata'da eşdeğer OLMADIĞI belgelendi: 1981-2010 baseline vs 1991-2020, 1.0° vs 0.05° çözünürlük). Migration push edildi, Edge Function 2026-07-20'de deploy edildi, ama çağırmak WORKER_RESOURCE_LIMIT hatası veriyor — GHSL ile aynı tavan. Bu fonksiyonun h3-js import'unu kaldırmak (zaten hiç kullanmıyordu; GHSL denemesinde h3-js/turf'ten şüphelenilmişti) sorunu çözmedi, nedeni geotiff.js'in kendi temel bellek ayak izine indirgeyerek — doğrulanmış bir platform-seviyesi sınırı zorlamama yönündeki mevcut talimat gereği daha fazla ilerletilmedi.</w:t>
            </w:r>
          </w:p>
        </w:tc>
      </w:tr>
    </w:tbl>
    <w:p>
      <w:pPr>
        <w:pStyle w:val="Heading1"/>
        <w:spacing w:after="200" w:before="320"/>
      </w:pPr>
      <w:r>
        <w:rPr>
          <w:rFonts w:ascii="Arial" w:cs="Arial" w:eastAsia="Arial" w:hAnsi="Arial"/>
        </w:rPr>
        <w:t>6. Sistemde Tanımlı Ama Henüz Koda Bağlanmamış Kaynaklar</w:t>
      </w:r>
    </w:p>
    <w:p>
      <w:pPr>
        <w:spacing w:after="240"/>
      </w:pPr>
      <w:r>
        <w:rPr>
          <w:rFonts w:ascii="Arial" w:cs="Arial" w:eastAsia="Arial" w:hAnsi="Arial"/>
          <w:sz w:val="22"/>
          <w:szCs w:val="22"/>
        </w:rPr>
        <w:t>PTWC ve WHO, 2026-07-20'de bu kategoriden çıktı (artık canlı — bkz. bölüm 1). Yerlerini Meta/HDX Population ve GHSL aldı, şimdi GDO SPI (GPCC) de onlara katıldı: üçünün de bir data_sources satırı VE çalışan fetch kodu var, ama hiçbiri henüz gerçekten veri üretmiyor — her biri kendine özgü, artık anlaşılmış bir nedenle (belirsiz bir “araştırma gerekiyor” değil).</w:t>
      </w:r>
    </w:p>
    <w:p>
      <w:pPr>
        <w:pStyle w:val="Heading1"/>
        <w:spacing w:after="200" w:before="320"/>
      </w:pPr>
      <w:r>
        <w:rPr>
          <w:rFonts w:ascii="Arial" w:cs="Arial" w:eastAsia="Arial" w:hAnsi="Arial"/>
        </w:rPr>
        <w:t>7. Manuel Yükleme İle Gelen Veriler (Diğer Exposure Katmanları)</w:t>
      </w:r>
    </w:p>
    <w:p>
      <w:pPr>
        <w:spacing w:after="160"/>
      </w:pPr>
      <w:r>
        <w:rPr>
          <w:rFonts w:ascii="Arial" w:cs="Arial" w:eastAsia="Arial" w:hAnsi="Arial"/>
          <w:sz w:val="22"/>
          <w:szCs w:val="22"/>
        </w:rPr>
        <w:t>Yol, nehir/havza ve kritik-tesis bina verisi artık manuel yüklemeye ihtiyaç duymuyor (bkz. 3. bölüm). Yukarıdaki otomatik kaynaklardan hiçbiri tarafından kapsanmayan başka herhangi bir özel vektör katmanı — bir hastane yatak sayısı tablosu, bir barınak kapasite listesi — hâlâ otomatik bir çekime sahip değil; ülke admin'i kendi GeoJSON dosyasını genel upload-exposure-dataset Edge Function'ı üzerinden manuel yüklüyor, sistem doğrulayıp her otomatik kaynağın kullandığı aynı exposure_datasets/exposure_features tablolarına yazıyor.</w:t>
      </w:r>
    </w:p>
    <w:p>
      <w:pPr>
        <w:pStyle w:val="ListParagraph"/>
        <w:numPr>
          <w:ilvl w:val="0"/>
          <w:numId w:val="2"/>
        </w:numPr>
        <w:spacing w:after="100"/>
      </w:pPr>
      <w:r>
        <w:rPr>
          <w:rFonts w:ascii="Arial" w:cs="Arial" w:eastAsia="Arial" w:hAnsi="Arial"/>
          <w:sz w:val="22"/>
          <w:szCs w:val="22"/>
        </w:rPr>
        <w:t>8. Değerlendirilip Henüz Entegre Edilmeyen Kaynaklar</w:t>
      </w:r>
    </w:p>
    <w:p>
      <w:pPr>
        <w:pStyle w:val="ListParagraph"/>
        <w:numPr>
          <w:ilvl w:val="0"/>
          <w:numId w:val="2"/>
        </w:numPr>
        <w:spacing w:after="100"/>
      </w:pPr>
      <w:r>
        <w:rPr>
          <w:rFonts w:ascii="Arial" w:cs="Arial" w:eastAsia="Arial" w:hAnsi="Arial"/>
          <w:sz w:val="22"/>
          <w:szCs w:val="22"/>
        </w:rPr>
        <w:t>Hâlâ canlı veri akmayan kaynaklar, nedenleri “sadece bir insanın verebileceği bir karar gerekiyor” (INFORM Index) ile “bu oturumda bitirilemeyen gerçek bir iş gerekiyor” (CHIRPS/SPI, EU/Global Drought Observatory) arasında değişiyor. OpenBuildingMap bu güncellemede listeden çıkarıldı — bkz. bölüm 3 — artık canlı. Meta/HDX Population ve GHSL, 6. bölüme taşındı (“tanımlı ama bağlanmamış”) — ikisi de bu oturumda gerçekten denendi, sadece kağıt üzerinde değerlendirilmedi, ve her biri bilinmeyen değil somut, anlaşılmış bir engele çarptı.</w:t>
      </w:r>
    </w:p>
    <w:p>
      <w:pPr>
        <w:pStyle w:val="ListParagraph"/>
        <w:numPr>
          <w:ilvl w:val="0"/>
          <w:numId w:val="2"/>
        </w:numPr>
        <w:spacing w:after="100"/>
      </w:pPr>
      <w:r>
        <w:rPr>
          <w:rFonts w:ascii="Arial" w:cs="Arial" w:eastAsia="Arial" w:hAnsi="Arial"/>
          <w:sz w:val="22"/>
          <w:szCs w:val="22"/>
        </w:rPr>
        <w:t>SPI / CHIRPS — CHIRPS'in ham günlük yağış rasterleri ücretsiz erişilebilir (data.chc.ucsb.edu, key gerekmiyor), ama bu madde SPI (Standardized Precipitation Index) istiyor — 30+ yıllık piksel bazlı yağış geçmişinin gamma dağılımına fit edilmesini gerektiren gerçek bir istatistiksel ürün, tek bir indirilen rasterden türetilemez. Hiçbir sağlayıcı hazır bir CHIRPS-tabanlı SPI rasteri yayınlamıyor. Global Drought Observatory hazır bir SPI (CHIRPS değil, GPCC-tabanlı) yayınlıyor, çalışan bir API üzerinden — bu 2026-07-20'de gerçekten uygulandı ve 6. bölüme taşındı (artık eksik-kaynak sorunu değil, bir platform bellek sınırı tarafından bloke edilmiş durumda).</w:t>
      </w:r>
    </w:p>
    <w:p>
      <w:pPr>
        <w:pStyle w:val="ListParagraph"/>
        <w:numPr>
          <w:ilvl w:val="0"/>
          <w:numId w:val="2"/>
        </w:numPr>
        <w:spacing w:after="100"/>
      </w:pPr>
      <w:r>
        <w:rPr>
          <w:rFonts w:ascii="Arial" w:cs="Arial" w:eastAsia="Arial" w:hAnsi="Arial"/>
          <w:sz w:val="22"/>
          <w:szCs w:val="22"/>
        </w:rPr>
        <w:t>INFORM Index — statik, UNDP tarafından ülkeye özel güncellenen, API'si yok.</w:t>
      </w:r>
    </w:p>
    <w:p>
      <w:pPr>
        <w:pStyle w:val="ListParagraph"/>
        <w:numPr>
          <w:ilvl w:val="0"/>
          <w:numId w:val="2"/>
        </w:numPr>
        <w:spacing w:after="100"/>
      </w:pPr>
      <w:r>
        <w:rPr>
          <w:rFonts w:ascii="Arial" w:cs="Arial" w:eastAsia="Arial" w:hAnsi="Arial"/>
          <w:sz w:val="22"/>
          <w:szCs w:val="22"/>
        </w:rPr>
        <w:t>Global Drought Observatory (JRC/Copernicus) — Toprak Nemi Anomalisi ve FAPAR burada kalmaya devam ediyor (SPI ürünü 6. bölüme taşındı, artık uygulandı). Kalan iki gösterge de sadece NetCDF4/HDF5 toplu arşivler olarak (canlı doğrulandı: HDF5 magic byte'ları, ~260MB/yıl) ya da WMS “quicklook” render edilmiş görüntüler olarak (özellikle fAPAR anomalisi) mevcut — hiçbiri bu projenin sadece-GeoTIFF pipeline'ının (geotiff.js/rasterToHexagon.ts) okuyabileceği ham, analiz edilebilir veri değil. NetCDF/GDAL desteği kurmak ayrı bir Python servisi gerektirir (bu repo zaten sürekli çalışan, serverless-olmayan bir Docker konteyneri işletiyor — bkz. docker-compose.yml — yani bu yeni bir deploy altyapısı değil, eklenen bir servis olur) — bu oturumda denenmedi.</w:t>
      </w:r>
    </w:p>
    <w:p>
      <w:pPr>
        <w:pStyle w:val="ListParagraph"/>
        <w:numPr>
          <w:ilvl w:val="0"/>
          <w:numId w:val="2"/>
        </w:numPr>
        <w:spacing w:after="100"/>
      </w:pPr>
      <w:r>
        <w:rPr>
          <w:rFonts w:ascii="Arial" w:cs="Arial" w:eastAsia="Arial" w:hAnsi="Arial"/>
          <w:sz w:val="22"/>
          <w:szCs w:val="22"/>
        </w:rPr>
        <w:t>JRC GFM — GloFAS ile örtüşüyor, kayıt gerektiriyor.</w:t>
      </w:r>
    </w:p>
    <w:p>
      <w:pPr>
        <w:pageBreakBefore/>
      </w:pPr>
    </w:p>
    <w:p>
      <w:pPr>
        <w:pStyle w:val="Heading1"/>
        <w:spacing w:after="200" w:before="320"/>
      </w:pPr>
      <w:r>
        <w:rPr>
          <w:rFonts w:ascii="Arial" w:cs="Arial" w:eastAsia="Arial" w:hAnsi="Arial"/>
        </w:rPr>
        <w:t>Özet Tablo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Kategori</w:t>
            </w:r>
          </w:p>
        </w:tc>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Kaynak Sayısı</w:t>
            </w:r>
          </w:p>
        </w:tc>
        <w:tc>
          <w:tcPr>
            <w:tcW w:type="dxa" w:w="39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Durum</w:t>
            </w:r>
          </w:p>
        </w:tc>
      </w:tr>
      <w:tr>
        <w:tc>
          <w:tcPr>
            <w:tcW w:type="dxa" w:w="3200"/>
          </w:tcPr>
          <w:p>
            <w:r>
              <w:t>Canlı/otomatik hazard API’leri</w:t>
            </w:r>
          </w:p>
        </w:tc>
        <w:tc>
          <w:tcPr>
            <w:tcW w:type="dxa" w:w="2200"/>
          </w:tcPr>
          <w:p>
            <w:r>
              <w:t>14 kaynak</w:t>
            </w:r>
          </w:p>
        </w:tc>
        <w:tc>
          <w:tcPr>
            <w:tcW w:type="dxa" w:w="3960"/>
          </w:tcPr>
          <w:p>
            <w:r>
              <w:t>Aktif, cron ile çalışıyor (2026-07-20'de eklendi: PTWC, WHO)</w:t>
            </w:r>
          </w:p>
        </w:tc>
      </w:tr>
      <w:tr>
        <w:tc>
          <w:tcPr>
            <w:tcW w:type="dxa" w:w="3200"/>
          </w:tcPr>
          <w:p>
            <w:r>
              <w:t>Nüfus exposure (Kontur + WorldPop)</w:t>
            </w:r>
          </w:p>
        </w:tc>
        <w:tc>
          <w:tcPr>
            <w:tcW w:type="dxa" w:w="2200"/>
          </w:tcPr>
          <w:p>
            <w:r>
              <w:t>2 kaynak</w:t>
            </w:r>
          </w:p>
        </w:tc>
        <w:tc>
          <w:tcPr>
            <w:tcW w:type="dxa" w:w="3960"/>
          </w:tcPr>
          <w:p>
            <w:r>
              <w:t>Canlı — Kontur: TR/MG/MY; WorldPop: TR/MG</w:t>
            </w:r>
          </w:p>
        </w:tc>
      </w:tr>
      <w:tr>
        <w:tc>
          <w:tcPr>
            <w:tcW w:type="dxa" w:w="3200"/>
          </w:tcPr>
          <w:p>
            <w:r>
              <w:t>Yollar / nehirler / havzalar / kritik-tesis binaları (otomatik import)</w:t>
            </w:r>
          </w:p>
        </w:tc>
        <w:tc>
          <w:tcPr>
            <w:tcW w:type="dxa" w:w="2200"/>
          </w:tcPr>
          <w:p>
            <w:r>
              <w:t>4 kaynak</w:t>
            </w:r>
          </w:p>
        </w:tc>
        <w:tc>
          <w:tcPr>
            <w:tcW w:type="dxa" w:w="3960"/>
          </w:tcPr>
          <w:p>
            <w:r>
              <w:t>Canlı — Türkiye + Madagaskar (binaların ilk verisi Pazar cron'unu bekliyor)</w:t>
            </w:r>
          </w:p>
        </w:tc>
      </w:tr>
      <w:tr>
        <w:tc>
          <w:tcPr>
            <w:tcW w:type="dxa" w:w="3200"/>
          </w:tcPr>
          <w:p>
            <w:r>
              <w:t>Sınır verisi (statik)</w:t>
            </w:r>
          </w:p>
        </w:tc>
        <w:tc>
          <w:tcPr>
            <w:tcW w:type="dxa" w:w="2200"/>
          </w:tcPr>
          <w:p>
            <w:r>
              <w:t>1 kaynak (geoBoundaries)</w:t>
            </w:r>
          </w:p>
        </w:tc>
        <w:tc>
          <w:tcPr>
            <w:tcW w:type="dxa" w:w="3960"/>
          </w:tcPr>
          <w:p>
            <w:r>
              <w:t>TR + MY + MG için hazır</w:t>
            </w:r>
          </w:p>
        </w:tc>
      </w:tr>
      <w:tr>
        <w:tc>
          <w:tcPr>
            <w:tcW w:type="dxa" w:w="3200"/>
          </w:tcPr>
          <w:p>
            <w:r>
              <w:t>Harita katman görselleştirme</w:t>
            </w:r>
          </w:p>
        </w:tc>
        <w:tc>
          <w:tcPr>
            <w:tcW w:type="dxa" w:w="2200"/>
          </w:tcPr>
          <w:p>
            <w:r>
              <w:t>—</w:t>
            </w:r>
          </w:p>
        </w:tc>
        <w:tc>
          <w:tcPr>
            <w:tcW w:type="dxa" w:w="3960"/>
          </w:tcPr>
          <w:p>
            <w:r>
              <w:t>Canlı, generic, tüm exposure kaynakları için çalışıyor</w:t>
            </w:r>
          </w:p>
        </w:tc>
      </w:tr>
      <w:tr>
        <w:tc>
          <w:tcPr>
            <w:tcW w:type="dxa" w:w="3200"/>
          </w:tcPr>
          <w:p>
            <w:r>
              <w:t>Tanımlı ama bağlanmamış</w:t>
            </w:r>
          </w:p>
        </w:tc>
        <w:tc>
          <w:tcPr>
            <w:tcW w:type="dxa" w:w="2200"/>
          </w:tcPr>
          <w:p>
            <w:r>
              <w:t>3 kaynak (Meta/HDX Population, GHSL, GDO SPI)</w:t>
            </w:r>
          </w:p>
        </w:tc>
        <w:tc>
          <w:tcPr>
            <w:tcW w:type="dxa" w:w="3960"/>
          </w:tcPr>
          <w:p>
            <w:r>
              <w:t>Üçü de aynı Edge Function WORKER_RESOURCE_LIMIT platform tavanına takıldı — bkz. bölüm 6</w:t>
            </w:r>
          </w:p>
        </w:tc>
      </w:tr>
      <w:tr>
        <w:tc>
          <w:tcPr>
            <w:tcW w:type="dxa" w:w="3200"/>
          </w:tcPr>
          <w:p>
            <w:r>
              <w:t>Manuel yükleme (binalar vb.)</w:t>
            </w:r>
          </w:p>
        </w:tc>
        <w:tc>
          <w:tcPr>
            <w:tcW w:type="dxa" w:w="2200"/>
          </w:tcPr>
          <w:p>
            <w:r>
              <w:t>Sınırsız (jenerik)</w:t>
            </w:r>
          </w:p>
        </w:tc>
        <w:tc>
          <w:tcPr>
            <w:tcW w:type="dxa" w:w="3960"/>
          </w:tcPr>
          <w:p>
            <w:r>
              <w:t>Otomatik API yok, admin GeoJSON yükler</w:t>
            </w:r>
          </w:p>
        </w:tc>
      </w:tr>
      <w:tr>
        <w:tc>
          <w:tcPr>
            <w:tcW w:type="dxa" w:w="3200"/>
          </w:tcPr>
          <w:p>
            <w:r>
              <w:t>Değerlendirme aşamasında</w:t>
            </w:r>
          </w:p>
        </w:tc>
        <w:tc>
          <w:tcPr>
            <w:tcW w:type="dxa" w:w="2200"/>
          </w:tcPr>
          <w:p>
            <w:r>
              <w:t>3 kaynak</w:t>
            </w:r>
          </w:p>
        </w:tc>
        <w:tc>
          <w:tcPr>
            <w:tcW w:type="dxa" w:w="3960"/>
          </w:tcPr>
          <w:p>
            <w:r>
              <w:t>INFORM Index (API’si yok, manuel/yıllık bir süreç gerekiyor, kod değil); Global Drought Observatory Toprak Nemi Anomalisi + FAPAR (gerçek veri bulundu, NetCDF/GDAL desteği gerekiyor — SPI kendisi 6. bölüme taşındı); JRC GFM (GloFAS ile örtüşüyor, kasıtlı olarak atlandı)</w:t>
            </w:r>
          </w:p>
        </w:tc>
      </w:tr>
    </w:tbl>
    <w:p>
      <w:r>
        <w:br w:type="page"/>
      </w:r>
    </w:p>
    <w:p>
      <w:pPr>
        <w:pStyle w:val="Heading1"/>
      </w:pPr>
      <w:r>
        <w:t>9. Kapsamlı Durum Tablosu — Tüm Kaynaklar (Durum · Kaynak · Bilgi · Sebep · Çözüm)</w:t>
      </w:r>
    </w:p>
    <w:p>
      <w:r>
        <w:rPr>
          <w:i/>
          <w:sz w:val="18"/>
        </w:rPr>
        <w:t>Bu tablo, önceki bölümlerdeki (1-8) tüm kaynakları TEK bir yerde, aynı beş sütunla özetler: canlı çalışanlar için Sebep/Çözüm sütunları boş bırakılmıştır (zaten çalışıyorlar); bloke ya da değerlendirme aşamasındaki kaynaklar için nedeni ve olası çözümü gösterir. 2026-07-20 sonu itibarıyla günceldir.</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872"/>
        <w:gridCol w:w="1872"/>
        <w:gridCol w:w="1872"/>
        <w:gridCol w:w="1872"/>
        <w:gridCol w:w="1872"/>
      </w:tblGrid>
      <w:tr>
        <w:tc>
          <w:tcPr>
            <w:tcW w:type="dxa" w:w="1152"/>
            <w:shd w:val="clear" w:color="auto" w:fill="2F5496"/>
          </w:tcPr>
          <w:p>
            <w:r>
              <w:rPr>
                <w:color w:val="FFFFFF"/>
              </w:rPr>
            </w:r>
            <w:r>
              <w:rPr>
                <w:b/>
                <w:sz w:val="19"/>
              </w:rPr>
              <w:t>Durum</w:t>
            </w:r>
          </w:p>
        </w:tc>
        <w:tc>
          <w:tcPr>
            <w:tcW w:type="dxa" w:w="2160"/>
            <w:shd w:val="clear" w:color="auto" w:fill="2F5496"/>
          </w:tcPr>
          <w:p>
            <w:r>
              <w:rPr>
                <w:color w:val="FFFFFF"/>
              </w:rPr>
            </w:r>
            <w:r>
              <w:rPr>
                <w:b/>
                <w:sz w:val="19"/>
              </w:rPr>
              <w:t>Kaynak</w:t>
            </w:r>
          </w:p>
        </w:tc>
        <w:tc>
          <w:tcPr>
            <w:tcW w:type="dxa" w:w="2736"/>
            <w:shd w:val="clear" w:color="auto" w:fill="2F5496"/>
          </w:tcPr>
          <w:p>
            <w:r>
              <w:rPr>
                <w:color w:val="FFFFFF"/>
              </w:rPr>
            </w:r>
            <w:r>
              <w:rPr>
                <w:b/>
                <w:sz w:val="19"/>
              </w:rPr>
              <w:t>Bilgi</w:t>
            </w:r>
          </w:p>
        </w:tc>
        <w:tc>
          <w:tcPr>
            <w:tcW w:type="dxa" w:w="2736"/>
            <w:shd w:val="clear" w:color="auto" w:fill="2F5496"/>
          </w:tcPr>
          <w:p>
            <w:r>
              <w:rPr>
                <w:color w:val="FFFFFF"/>
              </w:rPr>
            </w:r>
            <w:r>
              <w:rPr>
                <w:b/>
                <w:sz w:val="19"/>
              </w:rPr>
              <w:t>Sebep</w:t>
            </w:r>
          </w:p>
        </w:tc>
        <w:tc>
          <w:tcPr>
            <w:tcW w:type="dxa" w:w="2736"/>
            <w:shd w:val="clear" w:color="auto" w:fill="2F5496"/>
          </w:tcPr>
          <w:p>
            <w:r>
              <w:rPr>
                <w:color w:val="FFFFFF"/>
              </w:rPr>
            </w:r>
            <w:r>
              <w:rPr>
                <w:b/>
                <w:sz w:val="19"/>
              </w:rPr>
              <w:t>Çözüm</w:t>
            </w:r>
          </w:p>
        </w:tc>
      </w:tr>
      <w:tr>
        <w:tc>
          <w:tcPr>
            <w:tcW w:type="dxa" w:w="1152"/>
            <w:shd w:val="clear" w:color="auto" w:fill="D9EAD3"/>
          </w:tcPr>
          <w:p>
            <w:r/>
            <w:r>
              <w:rPr>
                <w:b/>
                <w:sz w:val="18"/>
              </w:rPr>
              <w:t>Canlı</w:t>
            </w:r>
          </w:p>
        </w:tc>
        <w:tc>
          <w:tcPr>
            <w:tcW w:type="dxa" w:w="2160"/>
          </w:tcPr>
          <w:p>
            <w:r/>
            <w:r>
              <w:rPr>
                <w:b/>
                <w:sz w:val="18"/>
              </w:rPr>
              <w:t>USGS</w:t>
            </w:r>
          </w:p>
        </w:tc>
        <w:tc>
          <w:tcPr>
            <w:tcW w:type="dxa" w:w="2736"/>
          </w:tcPr>
          <w:p>
            <w:r/>
            <w:r>
              <w:rPr>
                <w:b w:val="0"/>
                <w:sz w:val="18"/>
              </w:rPr>
              <w:t>Deprem — GeoJSON API, global, 1 dk aralıkla</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EMSC (seismicportal.eu)</w:t>
            </w:r>
          </w:p>
        </w:tc>
        <w:tc>
          <w:tcPr>
            <w:tcW w:type="dxa" w:w="2736"/>
          </w:tcPr>
          <w:p>
            <w:r/>
            <w:r>
              <w:rPr>
                <w:b w:val="0"/>
                <w:sz w:val="18"/>
              </w:rPr>
              <w:t>Deprem — WebSocket push, global, anlık</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GEOFON</w:t>
            </w:r>
          </w:p>
        </w:tc>
        <w:tc>
          <w:tcPr>
            <w:tcW w:type="dxa" w:w="2736"/>
          </w:tcPr>
          <w:p>
            <w:r/>
            <w:r>
              <w:rPr>
                <w:b w:val="0"/>
                <w:sz w:val="18"/>
              </w:rPr>
              <w:t>Deprem — FDSN Event API, 2 dk aralık</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AFAD</w:t>
            </w:r>
          </w:p>
        </w:tc>
        <w:tc>
          <w:tcPr>
            <w:tcW w:type="dxa" w:w="2736"/>
          </w:tcPr>
          <w:p>
            <w:r/>
            <w:r>
              <w:rPr>
                <w:b w:val="0"/>
                <w:sz w:val="18"/>
              </w:rPr>
              <w:t>Deprem — JSON API, sadece Türkiye</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Kandilli (proxy)</w:t>
            </w:r>
          </w:p>
        </w:tc>
        <w:tc>
          <w:tcPr>
            <w:tcW w:type="dxa" w:w="2736"/>
          </w:tcPr>
          <w:p>
            <w:r/>
            <w:r>
              <w:rPr>
                <w:b w:val="0"/>
                <w:sz w:val="18"/>
              </w:rPr>
              <w:t>Deprem — JSON API, sadece Türkiye</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GloFAS / Copernicus</w:t>
            </w:r>
          </w:p>
        </w:tc>
        <w:tc>
          <w:tcPr>
            <w:tcW w:type="dxa" w:w="2736"/>
          </w:tcPr>
          <w:p>
            <w:r/>
            <w:r>
              <w:rPr>
                <w:b w:val="0"/>
                <w:sz w:val="18"/>
              </w:rPr>
              <w:t>Sel — JSON API, global</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ReliefWeb</w:t>
            </w:r>
          </w:p>
        </w:tc>
        <w:tc>
          <w:tcPr>
            <w:tcW w:type="dxa" w:w="2736"/>
          </w:tcPr>
          <w:p>
            <w:r/>
            <w:r>
              <w:rPr>
                <w:b w:val="0"/>
                <w:sz w:val="18"/>
              </w:rPr>
              <w:t>Sel + Gıda Güvenliği — JSON API (filtreli), global</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NASA FIRMS (VIIRS)</w:t>
            </w:r>
          </w:p>
        </w:tc>
        <w:tc>
          <w:tcPr>
            <w:tcW w:type="dxa" w:w="2736"/>
          </w:tcPr>
          <w:p>
            <w:r/>
            <w:r>
              <w:rPr>
                <w:b w:val="0"/>
                <w:sz w:val="18"/>
              </w:rPr>
              <w:t>Orman Yangını — JSON/CSV API, 15 dk aralık</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FEWS NET</w:t>
            </w:r>
          </w:p>
        </w:tc>
        <w:tc>
          <w:tcPr>
            <w:tcW w:type="dxa" w:w="2736"/>
          </w:tcPr>
          <w:p>
            <w:r/>
            <w:r>
              <w:rPr>
                <w:b w:val="0"/>
                <w:sz w:val="18"/>
              </w:rPr>
              <w:t>Kuraklık — JSON API, global (FEWS ülkeleri)</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WFP VAM</w:t>
            </w:r>
          </w:p>
        </w:tc>
        <w:tc>
          <w:tcPr>
            <w:tcW w:type="dxa" w:w="2736"/>
          </w:tcPr>
          <w:p>
            <w:r/>
            <w:r>
              <w:rPr>
                <w:b w:val="0"/>
                <w:sz w:val="18"/>
              </w:rPr>
              <w:t>Kuraklık — GeoJSON endpoint, global</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WFP HungerMap</w:t>
            </w:r>
          </w:p>
        </w:tc>
        <w:tc>
          <w:tcPr>
            <w:tcW w:type="dxa" w:w="2736"/>
          </w:tcPr>
          <w:p>
            <w:r/>
            <w:r>
              <w:rPr>
                <w:b w:val="0"/>
                <w:sz w:val="18"/>
              </w:rPr>
              <w:t>Gıda Güvenliği — JSON API, global</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GDACS (REST + RSS)</w:t>
            </w:r>
          </w:p>
        </w:tc>
        <w:tc>
          <w:tcPr>
            <w:tcW w:type="dxa" w:w="2736"/>
          </w:tcPr>
          <w:p>
            <w:r/>
            <w:r>
              <w:rPr>
                <w:b w:val="0"/>
                <w:sz w:val="18"/>
              </w:rPr>
              <w:t>Çoklu hazard (deprem/sel/kuraklık/yangın) — tek endpoint'ten 4 tipe bölünüyor</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PTWC</w:t>
            </w:r>
          </w:p>
        </w:tc>
        <w:tc>
          <w:tcPr>
            <w:tcW w:type="dxa" w:w="2736"/>
          </w:tcPr>
          <w:p>
            <w:r/>
            <w:r>
              <w:rPr>
                <w:b w:val="0"/>
                <w:sz w:val="18"/>
              </w:rPr>
              <w:t>Tsunami — REST bülten akışı, 3 dk'da bir cron</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WHO</w:t>
            </w:r>
          </w:p>
        </w:tc>
        <w:tc>
          <w:tcPr>
            <w:tcW w:type="dxa" w:w="2736"/>
          </w:tcPr>
          <w:p>
            <w:r/>
            <w:r>
              <w:rPr>
                <w:b w:val="0"/>
                <w:sz w:val="18"/>
              </w:rPr>
              <w:t>Salgın — hastalık salgını API'si, 30 dk'da bir cron</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Kontur Population</w:t>
            </w:r>
          </w:p>
        </w:tc>
        <w:tc>
          <w:tcPr>
            <w:tcW w:type="dxa" w:w="2736"/>
          </w:tcPr>
          <w:p>
            <w:r/>
            <w:r>
              <w:rPr>
                <w:b w:val="0"/>
                <w:sz w:val="18"/>
              </w:rPr>
              <w:t>Nüfus — HDX GeoPackage, H3 altıgen, haftalık cron</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WorldPop</w:t>
            </w:r>
          </w:p>
        </w:tc>
        <w:tc>
          <w:tcPr>
            <w:tcW w:type="dxa" w:w="2736"/>
          </w:tcPr>
          <w:p>
            <w:r/>
            <w:r>
              <w:rPr>
                <w:b w:val="0"/>
                <w:sz w:val="18"/>
              </w:rPr>
              <w:t>Nüfus — ülke bazlı GeoTIFF REST API, raster→altıgen pipeline</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OSM/Overpass Roads</w:t>
            </w:r>
          </w:p>
        </w:tc>
        <w:tc>
          <w:tcPr>
            <w:tcW w:type="dxa" w:w="2736"/>
          </w:tcPr>
          <w:p>
            <w:r/>
            <w:r>
              <w:rPr>
                <w:b w:val="0"/>
                <w:sz w:val="18"/>
              </w:rPr>
              <w:t>Yol ağı — motorway/trunk/primary, periyodik import</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HydroRIVERS</w:t>
            </w:r>
          </w:p>
        </w:tc>
        <w:tc>
          <w:tcPr>
            <w:tcW w:type="dxa" w:w="2736"/>
          </w:tcPr>
          <w:p>
            <w:r/>
            <w:r>
              <w:rPr>
                <w:b w:val="0"/>
                <w:sz w:val="18"/>
              </w:rPr>
              <w:t>Nehir ağı — HydroSHEDS ailesi, ülke sınırına kırpılı</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HydroBASINS</w:t>
            </w:r>
          </w:p>
        </w:tc>
        <w:tc>
          <w:tcPr>
            <w:tcW w:type="dxa" w:w="2736"/>
          </w:tcPr>
          <w:p>
            <w:r/>
            <w:r>
              <w:rPr>
                <w:b w:val="0"/>
                <w:sz w:val="18"/>
              </w:rPr>
              <w:t>Havza sınırları (seviye 6) — HydroSHEDS ailesi</w:t>
            </w:r>
          </w:p>
        </w:tc>
        <w:tc>
          <w:tcPr>
            <w:tcW w:type="dxa" w:w="2736"/>
          </w:tcPr>
          <w:p>
            <w:r/>
            <w:r>
              <w:rPr>
                <w:b w:val="0"/>
                <w:sz w:val="18"/>
              </w:rPr>
              <w:t>—</w:t>
            </w:r>
          </w:p>
        </w:tc>
        <w:tc>
          <w:tcPr>
            <w:tcW w:type="dxa" w:w="2736"/>
          </w:tcPr>
          <w:p>
            <w:r/>
            <w:r>
              <w:rPr>
                <w:b w:val="0"/>
                <w:sz w:val="18"/>
              </w:rPr>
              <w:t>—</w:t>
            </w:r>
          </w:p>
        </w:tc>
      </w:tr>
      <w:tr>
        <w:tc>
          <w:tcPr>
            <w:tcW w:type="dxa" w:w="1152"/>
            <w:shd w:val="clear" w:color="auto" w:fill="D9EAD3"/>
          </w:tcPr>
          <w:p>
            <w:r/>
            <w:r>
              <w:rPr>
                <w:b/>
                <w:sz w:val="18"/>
              </w:rPr>
              <w:t>Canlı</w:t>
            </w:r>
          </w:p>
        </w:tc>
        <w:tc>
          <w:tcPr>
            <w:tcW w:type="dxa" w:w="2160"/>
          </w:tcPr>
          <w:p>
            <w:r/>
            <w:r>
              <w:rPr>
                <w:b/>
                <w:sz w:val="18"/>
              </w:rPr>
              <w:t>OSM/Overpass Buildings</w:t>
            </w:r>
          </w:p>
        </w:tc>
        <w:tc>
          <w:tcPr>
            <w:tcW w:type="dxa" w:w="2736"/>
          </w:tcPr>
          <w:p>
            <w:r/>
            <w:r>
              <w:rPr>
                <w:b w:val="0"/>
                <w:sz w:val="18"/>
              </w:rPr>
              <w:t>Kritik tesisler (hastane/okul/itfaiye vb.) — haftalık cron</w:t>
            </w:r>
          </w:p>
        </w:tc>
        <w:tc>
          <w:tcPr>
            <w:tcW w:type="dxa" w:w="2736"/>
          </w:tcPr>
          <w:p>
            <w:r/>
            <w:r>
              <w:rPr>
                <w:b w:val="0"/>
                <w:sz w:val="18"/>
              </w:rPr>
              <w:t>—</w:t>
            </w:r>
          </w:p>
        </w:tc>
        <w:tc>
          <w:tcPr>
            <w:tcW w:type="dxa" w:w="2736"/>
          </w:tcPr>
          <w:p>
            <w:r/>
            <w:r>
              <w:rPr>
                <w:b w:val="0"/>
                <w:sz w:val="18"/>
              </w:rPr>
              <w:t>—</w:t>
            </w:r>
          </w:p>
        </w:tc>
      </w:tr>
      <w:tr>
        <w:tc>
          <w:tcPr>
            <w:tcW w:type="dxa" w:w="1152"/>
            <w:shd w:val="clear" w:color="auto" w:fill="FFF2CC"/>
          </w:tcPr>
          <w:p>
            <w:r/>
            <w:r>
              <w:rPr>
                <w:b/>
                <w:sz w:val="18"/>
              </w:rPr>
              <w:t>Bloke</w:t>
            </w:r>
          </w:p>
        </w:tc>
        <w:tc>
          <w:tcPr>
            <w:tcW w:type="dxa" w:w="2160"/>
          </w:tcPr>
          <w:p>
            <w:r/>
            <w:r>
              <w:rPr>
                <w:b/>
                <w:sz w:val="18"/>
              </w:rPr>
              <w:t>Meta/HDX Population</w:t>
            </w:r>
          </w:p>
        </w:tc>
        <w:tc>
          <w:tcPr>
            <w:tcW w:type="dxa" w:w="2736"/>
          </w:tcPr>
          <w:p>
            <w:r/>
            <w:r>
              <w:rPr>
                <w:b w:val="0"/>
                <w:sz w:val="18"/>
              </w:rPr>
              <w:t>Nüfus — yüksek çözünürlüklü ham raster</w:t>
            </w:r>
          </w:p>
        </w:tc>
        <w:tc>
          <w:tcPr>
            <w:tcW w:type="dxa" w:w="2736"/>
          </w:tcPr>
          <w:p>
            <w:r/>
            <w:r>
              <w:rPr>
                <w:b w:val="0"/>
                <w:sz w:val="18"/>
              </w:rPr>
              <w:t>Ülke başına ~10-11GB — Edge Function belleğine ve makine diskine sığmıyor</w:t>
            </w:r>
          </w:p>
        </w:tc>
        <w:tc>
          <w:tcPr>
            <w:tcW w:type="dxa" w:w="2736"/>
          </w:tcPr>
          <w:p>
            <w:r/>
            <w:r>
              <w:rPr>
                <w:b w:val="0"/>
                <w:sz w:val="18"/>
              </w:rPr>
              <w:t>Python servisi (disk-streaming okuma) — VM'de yeterli disk olması şartıyla</w:t>
            </w:r>
          </w:p>
        </w:tc>
      </w:tr>
      <w:tr>
        <w:tc>
          <w:tcPr>
            <w:tcW w:type="dxa" w:w="1152"/>
            <w:shd w:val="clear" w:color="auto" w:fill="FFF2CC"/>
          </w:tcPr>
          <w:p>
            <w:r/>
            <w:r>
              <w:rPr>
                <w:b/>
                <w:sz w:val="18"/>
              </w:rPr>
              <w:t>Bloke</w:t>
            </w:r>
          </w:p>
        </w:tc>
        <w:tc>
          <w:tcPr>
            <w:tcW w:type="dxa" w:w="2160"/>
          </w:tcPr>
          <w:p>
            <w:r/>
            <w:r>
              <w:rPr>
                <w:b/>
                <w:sz w:val="18"/>
              </w:rPr>
              <w:t>GHSL</w:t>
            </w:r>
          </w:p>
        </w:tc>
        <w:tc>
          <w:tcPr>
            <w:tcW w:type="dxa" w:w="2736"/>
          </w:tcPr>
          <w:p>
            <w:r/>
            <w:r>
              <w:rPr>
                <w:b w:val="0"/>
                <w:sz w:val="18"/>
              </w:rPr>
              <w:t>Nüfus — 30 arcsecond (~1km) global raster</w:t>
            </w:r>
          </w:p>
        </w:tc>
        <w:tc>
          <w:tcPr>
            <w:tcW w:type="dxa" w:w="2736"/>
          </w:tcPr>
          <w:p>
            <w:r/>
            <w:r>
              <w:rPr>
                <w:b w:val="0"/>
                <w:sz w:val="18"/>
              </w:rPr>
              <w:t>WORKER_RESOURCE_LIMIT + dosya LZW sıkıştırmalı/tiled (basit parser yetmiyor)</w:t>
            </w:r>
          </w:p>
        </w:tc>
        <w:tc>
          <w:tcPr>
            <w:tcW w:type="dxa" w:w="2736"/>
          </w:tcPr>
          <w:p>
            <w:r/>
            <w:r>
              <w:rPr>
                <w:b w:val="0"/>
                <w:sz w:val="18"/>
              </w:rPr>
              <w:t>Python/GDAL servisi, ya da Edge Function kaynak tier'ını büyütmek</w:t>
            </w:r>
          </w:p>
        </w:tc>
      </w:tr>
      <w:tr>
        <w:tc>
          <w:tcPr>
            <w:tcW w:type="dxa" w:w="1152"/>
            <w:shd w:val="clear" w:color="auto" w:fill="FFF2CC"/>
          </w:tcPr>
          <w:p>
            <w:r/>
            <w:r>
              <w:rPr>
                <w:b/>
                <w:sz w:val="18"/>
              </w:rPr>
              <w:t>Bloke</w:t>
            </w:r>
          </w:p>
        </w:tc>
        <w:tc>
          <w:tcPr>
            <w:tcW w:type="dxa" w:w="2160"/>
          </w:tcPr>
          <w:p>
            <w:r/>
            <w:r>
              <w:rPr>
                <w:b/>
                <w:sz w:val="18"/>
              </w:rPr>
              <w:t>GDO SPI (GPCC)</w:t>
            </w:r>
          </w:p>
        </w:tc>
        <w:tc>
          <w:tcPr>
            <w:tcW w:type="dxa" w:w="2736"/>
          </w:tcPr>
          <w:p>
            <w:r/>
            <w:r>
              <w:rPr>
                <w:b w:val="0"/>
                <w:sz w:val="18"/>
              </w:rPr>
              <w:t>Kuraklık şiddeti — WCS API üzerinden</w:t>
            </w:r>
          </w:p>
        </w:tc>
        <w:tc>
          <w:tcPr>
            <w:tcW w:type="dxa" w:w="2736"/>
          </w:tcPr>
          <w:p>
            <w:r/>
            <w:r>
              <w:rPr>
                <w:b w:val="0"/>
                <w:sz w:val="18"/>
              </w:rPr>
              <w:t>WORKER_RESOURCE_LIMIT + API gerçek ondalıklı SPI değil, 0-4 arası sınıflandırma kodu döndürüyor</w:t>
            </w:r>
          </w:p>
        </w:tc>
        <w:tc>
          <w:tcPr>
            <w:tcW w:type="dxa" w:w="2736"/>
          </w:tcPr>
          <w:p>
            <w:r/>
            <w:r>
              <w:rPr>
                <w:b w:val="0"/>
                <w:sz w:val="18"/>
              </w:rPr>
              <w:t>Python servisiyle GDO'nun NetCDF arşivinden gerçek float veriyi çekmek</w:t>
            </w:r>
          </w:p>
        </w:tc>
      </w:tr>
      <w:tr>
        <w:tc>
          <w:tcPr>
            <w:tcW w:type="dxa" w:w="1152"/>
            <w:shd w:val="clear" w:color="auto" w:fill="F4CCCC"/>
          </w:tcPr>
          <w:p>
            <w:r/>
            <w:r>
              <w:rPr>
                <w:b/>
                <w:sz w:val="18"/>
              </w:rPr>
              <w:t>Değerlendirildi</w:t>
            </w:r>
          </w:p>
        </w:tc>
        <w:tc>
          <w:tcPr>
            <w:tcW w:type="dxa" w:w="2160"/>
          </w:tcPr>
          <w:p>
            <w:r/>
            <w:r>
              <w:rPr>
                <w:b/>
                <w:sz w:val="18"/>
              </w:rPr>
              <w:t>GDO Soil Moisture Anomaly + FAPAR</w:t>
            </w:r>
          </w:p>
        </w:tc>
        <w:tc>
          <w:tcPr>
            <w:tcW w:type="dxa" w:w="2736"/>
          </w:tcPr>
          <w:p>
            <w:r/>
            <w:r>
              <w:rPr>
                <w:b w:val="0"/>
                <w:sz w:val="18"/>
              </w:rPr>
              <w:t>Toprak nemi / bitki örtüsü kuraklık göstergeleri</w:t>
            </w:r>
          </w:p>
        </w:tc>
        <w:tc>
          <w:tcPr>
            <w:tcW w:type="dxa" w:w="2736"/>
          </w:tcPr>
          <w:p>
            <w:r/>
            <w:r>
              <w:rPr>
                <w:b w:val="0"/>
                <w:sz w:val="18"/>
              </w:rPr>
              <w:t>Sadece NetCDF4/HDF5 formatında (~260MB/yıl) — pipeline sadece GeoTIFF okuyor</w:t>
            </w:r>
          </w:p>
        </w:tc>
        <w:tc>
          <w:tcPr>
            <w:tcW w:type="dxa" w:w="2736"/>
          </w:tcPr>
          <w:p>
            <w:r/>
            <w:r>
              <w:rPr>
                <w:b w:val="0"/>
                <w:sz w:val="18"/>
              </w:rPr>
              <w:t>Python/GDAL servisi (spec 047, hazırlandı, bekletiliyor)</w:t>
            </w:r>
          </w:p>
        </w:tc>
      </w:tr>
      <w:tr>
        <w:tc>
          <w:tcPr>
            <w:tcW w:type="dxa" w:w="1152"/>
            <w:shd w:val="clear" w:color="auto" w:fill="F4CCCC"/>
          </w:tcPr>
          <w:p>
            <w:r/>
            <w:r>
              <w:rPr>
                <w:b/>
                <w:sz w:val="18"/>
              </w:rPr>
              <w:t>Değerlendirildi</w:t>
            </w:r>
          </w:p>
        </w:tc>
        <w:tc>
          <w:tcPr>
            <w:tcW w:type="dxa" w:w="2160"/>
          </w:tcPr>
          <w:p>
            <w:r/>
            <w:r>
              <w:rPr>
                <w:b/>
                <w:sz w:val="18"/>
              </w:rPr>
              <w:t>INFORM Index</w:t>
            </w:r>
          </w:p>
        </w:tc>
        <w:tc>
          <w:tcPr>
            <w:tcW w:type="dxa" w:w="2736"/>
          </w:tcPr>
          <w:p>
            <w:r/>
            <w:r>
              <w:rPr>
                <w:b w:val="0"/>
                <w:sz w:val="18"/>
              </w:rPr>
              <w:t>Ülke risk endeksi</w:t>
            </w:r>
          </w:p>
        </w:tc>
        <w:tc>
          <w:tcPr>
            <w:tcW w:type="dxa" w:w="2736"/>
          </w:tcPr>
          <w:p>
            <w:r/>
            <w:r>
              <w:rPr>
                <w:b w:val="0"/>
                <w:sz w:val="18"/>
              </w:rPr>
              <w:t>API yok, UNDP tarafından statik/yıllık güncelleniyor</w:t>
            </w:r>
          </w:p>
        </w:tc>
        <w:tc>
          <w:tcPr>
            <w:tcW w:type="dxa" w:w="2736"/>
          </w:tcPr>
          <w:p>
            <w:r/>
            <w:r>
              <w:rPr>
                <w:b w:val="0"/>
                <w:sz w:val="18"/>
              </w:rPr>
              <w:t>Otomatikleştirilemez — admin panelinden elle, yıllık güncelleme süreci (Python çözmez)</w:t>
            </w:r>
          </w:p>
        </w:tc>
      </w:tr>
      <w:tr>
        <w:tc>
          <w:tcPr>
            <w:tcW w:type="dxa" w:w="1152"/>
            <w:shd w:val="clear" w:color="auto" w:fill="F4CCCC"/>
          </w:tcPr>
          <w:p>
            <w:r/>
            <w:r>
              <w:rPr>
                <w:b/>
                <w:sz w:val="18"/>
              </w:rPr>
              <w:t>Değerlendirildi</w:t>
            </w:r>
          </w:p>
        </w:tc>
        <w:tc>
          <w:tcPr>
            <w:tcW w:type="dxa" w:w="2160"/>
          </w:tcPr>
          <w:p>
            <w:r/>
            <w:r>
              <w:rPr>
                <w:b/>
                <w:sz w:val="18"/>
              </w:rPr>
              <w:t>JRC GFM</w:t>
            </w:r>
          </w:p>
        </w:tc>
        <w:tc>
          <w:tcPr>
            <w:tcW w:type="dxa" w:w="2736"/>
          </w:tcPr>
          <w:p>
            <w:r/>
            <w:r>
              <w:rPr>
                <w:b w:val="0"/>
                <w:sz w:val="18"/>
              </w:rPr>
              <w:t>Sel tahmini</w:t>
            </w:r>
          </w:p>
        </w:tc>
        <w:tc>
          <w:tcPr>
            <w:tcW w:type="dxa" w:w="2736"/>
          </w:tcPr>
          <w:p>
            <w:r/>
            <w:r>
              <w:rPr>
                <w:b w:val="0"/>
                <w:sz w:val="18"/>
              </w:rPr>
              <w:t>GloFAS ile aynı işi yapıyor, kayıt/onay gerektiriyor</w:t>
            </w:r>
          </w:p>
        </w:tc>
        <w:tc>
          <w:tcPr>
            <w:tcW w:type="dxa" w:w="2736"/>
          </w:tcPr>
          <w:p>
            <w:r/>
            <w:r>
              <w:rPr>
                <w:b w:val="0"/>
                <w:sz w:val="18"/>
              </w:rPr>
              <w:t>Gerek yok — kasıtlı olarak atlandı (Python çözmez)</w:t>
            </w:r>
          </w:p>
        </w:tc>
      </w:tr>
    </w:tbl>
    <w:p>
      <w:r>
        <w:rPr>
          <w:i/>
          <w:color w:val="808080"/>
          <w:sz w:val="17"/>
        </w:rPr>
        <w:br/>
        <w:t>Not: PostGIS raster (GDAL sürücüleri) denemesi bu tabloya dahil edilmedi — bir veri kaynağı değil, GHSL/GDO SPI için denenen bir altyapı yaklaşımıydı. Supabase'in yönetilen veritabanında superuser izni gerektirdiği için (permission denied) kapandı; Python servisi kurulunca zaten ihtiyaç kalmıyor.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B5C"/>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2026-07-19T13:40:01.358Z</dcterms:created>
  <dcterms:modified xsi:type="dcterms:W3CDTF">2026-07-19T13:40:01.359Z</dcterms:modified>
</cp:coreProperties>
</file>

<file path=docProps/custom.xml><?xml version="1.0" encoding="utf-8"?>
<Properties xmlns="http://schemas.openxmlformats.org/officeDocument/2006/custom-properties" xmlns:vt="http://schemas.openxmlformats.org/officeDocument/2006/docPropsVTypes"/>
</file>