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6E01" w14:textId="77777777" w:rsidR="00B878E8" w:rsidRPr="003D198F" w:rsidRDefault="00B878E8" w:rsidP="00B878E8">
      <w:pPr>
        <w:jc w:val="center"/>
        <w:rPr>
          <w:b/>
          <w:bCs/>
          <w:sz w:val="36"/>
          <w:szCs w:val="36"/>
        </w:rPr>
      </w:pPr>
      <w:r w:rsidRPr="00546F26">
        <w:rPr>
          <w:b/>
          <w:bCs/>
        </w:rPr>
        <w:t>[Subject Code: SLE7</w:t>
      </w:r>
      <w:r>
        <w:rPr>
          <w:b/>
          <w:bCs/>
        </w:rPr>
        <w:t>13</w:t>
      </w:r>
      <w:r w:rsidRPr="00546F26">
        <w:rPr>
          <w:b/>
          <w:bCs/>
        </w:rPr>
        <w:t>]</w:t>
      </w:r>
    </w:p>
    <w:p w14:paraId="5F28E2CB" w14:textId="77777777" w:rsidR="00B878E8" w:rsidRPr="00546F26" w:rsidRDefault="00B878E8" w:rsidP="00B878E8">
      <w:pPr>
        <w:jc w:val="center"/>
        <w:rPr>
          <w:b/>
          <w:bCs/>
          <w:sz w:val="28"/>
          <w:szCs w:val="28"/>
        </w:rPr>
      </w:pPr>
    </w:p>
    <w:p w14:paraId="3E917C0F" w14:textId="77777777" w:rsidR="00B878E8" w:rsidRDefault="00B878E8" w:rsidP="00B878E8">
      <w:pPr>
        <w:jc w:val="center"/>
      </w:pPr>
      <w:r>
        <w:rPr>
          <w:noProof/>
        </w:rPr>
        <w:drawing>
          <wp:inline distT="0" distB="0" distL="0" distR="0" wp14:anchorId="0B75B108" wp14:editId="3D153EEC">
            <wp:extent cx="1869896" cy="1869896"/>
            <wp:effectExtent l="0" t="0" r="0" b="0"/>
            <wp:docPr id="190682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0916" name="Picture 19068209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1244" cy="1921244"/>
                    </a:xfrm>
                    <a:prstGeom prst="rect">
                      <a:avLst/>
                    </a:prstGeom>
                  </pic:spPr>
                </pic:pic>
              </a:graphicData>
            </a:graphic>
          </wp:inline>
        </w:drawing>
      </w:r>
    </w:p>
    <w:p w14:paraId="6E511E05" w14:textId="77777777" w:rsidR="00B878E8" w:rsidRDefault="00B878E8" w:rsidP="00B878E8">
      <w:pPr>
        <w:jc w:val="center"/>
      </w:pPr>
    </w:p>
    <w:p w14:paraId="38F9861A" w14:textId="77777777" w:rsidR="00B878E8" w:rsidRDefault="00B878E8" w:rsidP="00B878E8">
      <w:pPr>
        <w:jc w:val="center"/>
      </w:pPr>
    </w:p>
    <w:p w14:paraId="579A56A8" w14:textId="77777777" w:rsidR="00B878E8" w:rsidRDefault="00B878E8" w:rsidP="00B878E8">
      <w:pPr>
        <w:jc w:val="center"/>
        <w:rPr>
          <w:b/>
          <w:bCs/>
        </w:rPr>
      </w:pPr>
      <w:r w:rsidRPr="00546F26">
        <w:rPr>
          <w:b/>
          <w:bCs/>
        </w:rPr>
        <w:t>Submitted by</w:t>
      </w:r>
    </w:p>
    <w:p w14:paraId="56FB423F" w14:textId="77777777" w:rsidR="00B878E8" w:rsidRDefault="00B878E8" w:rsidP="00B878E8">
      <w:pPr>
        <w:jc w:val="center"/>
        <w:rPr>
          <w:b/>
          <w:bCs/>
        </w:rPr>
      </w:pPr>
      <w:r w:rsidRPr="00546F26">
        <w:rPr>
          <w:b/>
          <w:bCs/>
        </w:rPr>
        <w:t xml:space="preserve">Simon Lama </w:t>
      </w:r>
    </w:p>
    <w:p w14:paraId="00295537" w14:textId="77777777" w:rsidR="00B878E8" w:rsidRDefault="00B878E8" w:rsidP="00B878E8">
      <w:pPr>
        <w:jc w:val="center"/>
        <w:rPr>
          <w:b/>
          <w:bCs/>
        </w:rPr>
      </w:pPr>
      <w:r>
        <w:rPr>
          <w:b/>
          <w:bCs/>
        </w:rPr>
        <w:t>224794329</w:t>
      </w:r>
    </w:p>
    <w:p w14:paraId="4CB6C8CA" w14:textId="77777777" w:rsidR="00B878E8" w:rsidRPr="001140E7" w:rsidRDefault="00B878E8" w:rsidP="00B878E8">
      <w:pPr>
        <w:jc w:val="center"/>
        <w:rPr>
          <w:b/>
          <w:bCs/>
        </w:rPr>
      </w:pPr>
    </w:p>
    <w:p w14:paraId="1B41D4DD" w14:textId="77777777" w:rsidR="00B878E8" w:rsidRDefault="00B878E8" w:rsidP="00B878E8">
      <w:pPr>
        <w:jc w:val="center"/>
      </w:pPr>
    </w:p>
    <w:p w14:paraId="478FDE3A" w14:textId="77777777" w:rsidR="00B878E8" w:rsidRPr="00546F26" w:rsidRDefault="00B878E8" w:rsidP="00B878E8">
      <w:pPr>
        <w:jc w:val="center"/>
        <w:rPr>
          <w:sz w:val="28"/>
          <w:szCs w:val="28"/>
        </w:rPr>
      </w:pPr>
      <w:r w:rsidRPr="00546F26">
        <w:rPr>
          <w:sz w:val="28"/>
          <w:szCs w:val="28"/>
        </w:rPr>
        <w:t xml:space="preserve">Submitted in Partial Fulfillment of the Requirements for the </w:t>
      </w:r>
      <w:r w:rsidRPr="00546F26">
        <w:rPr>
          <w:b/>
          <w:bCs/>
          <w:sz w:val="28"/>
          <w:szCs w:val="28"/>
        </w:rPr>
        <w:t>Master of Biotechnology (Professional)</w:t>
      </w:r>
      <w:r w:rsidRPr="00546F26">
        <w:rPr>
          <w:sz w:val="28"/>
          <w:szCs w:val="28"/>
        </w:rPr>
        <w:t xml:space="preserve"> in </w:t>
      </w:r>
      <w:r w:rsidRPr="00546F26">
        <w:rPr>
          <w:b/>
          <w:bCs/>
          <w:sz w:val="28"/>
          <w:szCs w:val="28"/>
        </w:rPr>
        <w:t>Deakin University</w:t>
      </w:r>
      <w:r w:rsidRPr="00546F26">
        <w:rPr>
          <w:sz w:val="28"/>
          <w:szCs w:val="28"/>
        </w:rPr>
        <w:t>, Australia</w:t>
      </w:r>
    </w:p>
    <w:p w14:paraId="754D3CE5" w14:textId="77777777" w:rsidR="00B878E8" w:rsidRDefault="00B878E8" w:rsidP="00B878E8">
      <w:pPr>
        <w:jc w:val="center"/>
      </w:pPr>
    </w:p>
    <w:p w14:paraId="2F2617A0" w14:textId="77777777" w:rsidR="00B878E8" w:rsidRPr="00546F26" w:rsidRDefault="00B878E8" w:rsidP="00B878E8">
      <w:pPr>
        <w:jc w:val="center"/>
        <w:rPr>
          <w:b/>
          <w:bCs/>
        </w:rPr>
      </w:pPr>
    </w:p>
    <w:p w14:paraId="63652778" w14:textId="77777777" w:rsidR="00B878E8" w:rsidRPr="00546F26" w:rsidRDefault="00B878E8" w:rsidP="00B878E8">
      <w:pPr>
        <w:jc w:val="center"/>
        <w:rPr>
          <w:b/>
          <w:bCs/>
        </w:rPr>
      </w:pPr>
    </w:p>
    <w:p w14:paraId="3AA81856" w14:textId="77777777" w:rsidR="00B878E8" w:rsidRDefault="00B878E8" w:rsidP="00B878E8">
      <w:pPr>
        <w:jc w:val="center"/>
        <w:rPr>
          <w:b/>
          <w:bCs/>
        </w:rPr>
      </w:pPr>
    </w:p>
    <w:p w14:paraId="5DBA6ABD" w14:textId="77777777" w:rsidR="00B878E8" w:rsidRPr="00546F26" w:rsidRDefault="00B878E8" w:rsidP="00B878E8">
      <w:pPr>
        <w:pStyle w:val="Heading2"/>
        <w:numPr>
          <w:ilvl w:val="0"/>
          <w:numId w:val="0"/>
        </w:numPr>
        <w:jc w:val="center"/>
        <w:rPr>
          <w:sz w:val="32"/>
          <w:szCs w:val="32"/>
        </w:rPr>
      </w:pPr>
      <w:bookmarkStart w:id="0" w:name="_Toc176598357"/>
      <w:r w:rsidRPr="00546F26">
        <w:rPr>
          <w:sz w:val="32"/>
          <w:szCs w:val="32"/>
        </w:rPr>
        <w:t>DEAKIN UNIVERSITY</w:t>
      </w:r>
      <w:bookmarkEnd w:id="0"/>
    </w:p>
    <w:p w14:paraId="539DCA26" w14:textId="77777777" w:rsidR="00B878E8" w:rsidRDefault="00B878E8" w:rsidP="00B878E8">
      <w:pPr>
        <w:jc w:val="center"/>
        <w:rPr>
          <w:b/>
          <w:bCs/>
          <w:sz w:val="28"/>
          <w:szCs w:val="28"/>
        </w:rPr>
      </w:pPr>
      <w:r w:rsidRPr="00546F26">
        <w:rPr>
          <w:b/>
          <w:bCs/>
          <w:sz w:val="28"/>
          <w:szCs w:val="28"/>
        </w:rPr>
        <w:t>GEELONG, MELBOURNE</w:t>
      </w:r>
    </w:p>
    <w:p w14:paraId="6760E673" w14:textId="77777777" w:rsidR="00B878E8" w:rsidRDefault="00B878E8" w:rsidP="00B878E8">
      <w:pPr>
        <w:jc w:val="center"/>
        <w:rPr>
          <w:b/>
          <w:bCs/>
        </w:rPr>
      </w:pPr>
      <w:r w:rsidRPr="00546F26">
        <w:rPr>
          <w:b/>
          <w:bCs/>
        </w:rPr>
        <w:t>September, 2024</w:t>
      </w:r>
    </w:p>
    <w:p w14:paraId="1B1FCB71" w14:textId="20A20A06" w:rsidR="00570BA8" w:rsidRDefault="00570BA8"/>
    <w:p w14:paraId="036757FB" w14:textId="2EA6FCD2" w:rsidR="00B878E8" w:rsidRDefault="00B878E8"/>
    <w:p w14:paraId="5147CB15" w14:textId="77777777" w:rsidR="00B878E8" w:rsidRDefault="00B878E8" w:rsidP="00B878E8"/>
    <w:p w14:paraId="7C4EF5E7" w14:textId="4A46CC2E" w:rsidR="00B878E8" w:rsidRPr="006F55C4" w:rsidRDefault="00B878E8" w:rsidP="006F55C4">
      <w:pPr>
        <w:spacing w:line="360" w:lineRule="auto"/>
        <w:rPr>
          <w:rFonts w:cs="Times New Roman"/>
          <w:szCs w:val="24"/>
        </w:rPr>
      </w:pPr>
      <w:r w:rsidRPr="006F55C4">
        <w:rPr>
          <w:rFonts w:cs="Times New Roman"/>
          <w:b/>
          <w:bCs/>
          <w:szCs w:val="24"/>
        </w:rPr>
        <w:lastRenderedPageBreak/>
        <w:t>Practical 10:</w:t>
      </w:r>
      <w:r w:rsidRPr="006F55C4">
        <w:rPr>
          <w:rFonts w:cs="Times New Roman"/>
          <w:szCs w:val="24"/>
        </w:rPr>
        <w:t xml:space="preserve"> Enzyme-Linked immunosorbent Assay</w:t>
      </w:r>
    </w:p>
    <w:p w14:paraId="1913DB9A" w14:textId="29DC6316" w:rsidR="00B878E8" w:rsidRPr="006F55C4" w:rsidRDefault="00B878E8" w:rsidP="006F55C4">
      <w:pPr>
        <w:spacing w:line="360" w:lineRule="auto"/>
        <w:rPr>
          <w:rFonts w:cs="Times New Roman"/>
          <w:szCs w:val="24"/>
        </w:rPr>
      </w:pPr>
    </w:p>
    <w:p w14:paraId="06D2090E" w14:textId="1C9FE2BA" w:rsidR="00B878E8" w:rsidRPr="006F55C4" w:rsidRDefault="00B878E8" w:rsidP="006F55C4">
      <w:pPr>
        <w:spacing w:line="360" w:lineRule="auto"/>
        <w:rPr>
          <w:rFonts w:cs="Times New Roman"/>
          <w:b/>
          <w:bCs/>
          <w:szCs w:val="24"/>
        </w:rPr>
      </w:pPr>
      <w:r w:rsidRPr="006F55C4">
        <w:rPr>
          <w:rFonts w:cs="Times New Roman"/>
          <w:b/>
          <w:bCs/>
          <w:szCs w:val="24"/>
        </w:rPr>
        <w:t>Introduction:</w:t>
      </w:r>
    </w:p>
    <w:p w14:paraId="3E2CA8F0" w14:textId="63050B9C" w:rsidR="00B878E8" w:rsidRPr="006F55C4" w:rsidRDefault="009C6535" w:rsidP="006F55C4">
      <w:pPr>
        <w:spacing w:line="360" w:lineRule="auto"/>
        <w:rPr>
          <w:rFonts w:cs="Times New Roman"/>
          <w:szCs w:val="24"/>
        </w:rPr>
      </w:pPr>
      <w:r w:rsidRPr="006F55C4">
        <w:rPr>
          <w:rFonts w:cs="Times New Roman"/>
          <w:szCs w:val="24"/>
        </w:rPr>
        <w:t>Enzyme-linked immunosorbent assay (ELISA) is an immunological technique which relies on the specific interaction between a target antigen (the protein of interest) and a primary antibody that attaches to it. The presence of the antigen is confirmed through the enzymatic reaction of an enzyme-linked antibody with a substrate, producing a detectable product. This product can be assessed qualitatively through visual inspection or quantitatively using a luminometer or spectrophotometer.</w:t>
      </w:r>
      <w:r w:rsidR="00FF2442" w:rsidRPr="006F55C4">
        <w:rPr>
          <w:rFonts w:cs="Times New Roman"/>
          <w:szCs w:val="24"/>
        </w:rPr>
        <w:t xml:space="preserve"> </w:t>
      </w:r>
      <w:r w:rsidR="00FF2442" w:rsidRPr="006F55C4">
        <w:rPr>
          <w:rFonts w:cs="Times New Roman"/>
          <w:szCs w:val="24"/>
        </w:rPr>
        <w:t>The principle of ELISA, involves adsorbing antibodies specific to the target antigen onto a solid support, typically a polystyrene microtiter plate. After coating and washing, the antigen is added and binds to the adsorbed antibodies. Next, a conjugate—an antibody covalently bound to an enzyme—is introduced to bind to the antigen, enabling detection</w:t>
      </w:r>
      <w:r w:rsidR="00BF51F4" w:rsidRPr="006F55C4">
        <w:rPr>
          <w:rFonts w:cs="Times New Roman"/>
          <w:szCs w:val="24"/>
        </w:rPr>
        <w:t xml:space="preserve"> </w:t>
      </w:r>
      <w:r w:rsidR="002107FF" w:rsidRPr="006F55C4">
        <w:rPr>
          <w:rFonts w:cs="Times New Roman"/>
          <w:szCs w:val="24"/>
        </w:rPr>
        <w:fldChar w:fldCharType="begin"/>
      </w:r>
      <w:r w:rsidR="002107FF" w:rsidRPr="006F55C4">
        <w:rPr>
          <w:rFonts w:cs="Times New Roman"/>
          <w:szCs w:val="24"/>
        </w:rPr>
        <w:instrText xml:space="preserve"> ADDIN EN.CITE &lt;EndNote&gt;&lt;Cite&gt;&lt;Author&gt;Gaastra&lt;/Author&gt;&lt;Year&gt;1984&lt;/Year&gt;&lt;RecNum&gt;140&lt;/RecNum&gt;&lt;DisplayText&gt;(Gaastra, 1984)&lt;/DisplayText&gt;&lt;record&gt;&lt;rec-number&gt;140&lt;/rec-number&gt;&lt;foreign-keys&gt;&lt;key app="EN" db-id="wetrfa00qae5s1erv2jpvssbpv29szexwx0z" timestamp="1727442066"&gt;140&lt;/key&gt;&lt;/foreign-keys&gt;&lt;ref-type name="Book Section"&gt;5&lt;/ref-type&gt;&lt;contributors&gt;&lt;authors&gt;&lt;author&gt;Gaastra, Wim&lt;/author&gt;&lt;/authors&gt;&lt;secondary-authors&gt;&lt;author&gt;Walker, John M.&lt;/author&gt;&lt;/secondary-authors&gt;&lt;/contributors&gt;&lt;titles&gt;&lt;title&gt;Enzyme-Linked Immunosorbant Assay (ELISA)&lt;/title&gt;&lt;secondary-title&gt;Proteins&lt;/secondary-title&gt;&lt;/titles&gt;&lt;pages&gt;349-355&lt;/pages&gt;&lt;dates&gt;&lt;year&gt;1984&lt;/year&gt;&lt;/dates&gt;&lt;pub-location&gt;Totowa, NJ&lt;/pub-location&gt;&lt;publisher&gt;Humana Press&lt;/publisher&gt;&lt;isbn&gt;978-1-59259-488-7&lt;/isbn&gt;&lt;label&gt;Gaastra1984&lt;/label&gt;&lt;urls&gt;&lt;related-urls&gt;&lt;url&gt;https://doi.org/10.1385/0-89603-062-8:349&lt;/url&gt;&lt;/related-urls&gt;&lt;/urls&gt;&lt;electronic-resource-num&gt;10.1385/0-89603-062-8:349&lt;/electronic-resource-num&gt;&lt;/record&gt;&lt;/Cite&gt;&lt;/EndNote&gt;</w:instrText>
      </w:r>
      <w:r w:rsidR="002107FF" w:rsidRPr="006F55C4">
        <w:rPr>
          <w:rFonts w:cs="Times New Roman"/>
          <w:szCs w:val="24"/>
        </w:rPr>
        <w:fldChar w:fldCharType="separate"/>
      </w:r>
      <w:r w:rsidR="002107FF" w:rsidRPr="006F55C4">
        <w:rPr>
          <w:rFonts w:cs="Times New Roman"/>
          <w:noProof/>
          <w:szCs w:val="24"/>
        </w:rPr>
        <w:t>(Gaastra, 1984)</w:t>
      </w:r>
      <w:r w:rsidR="002107FF" w:rsidRPr="006F55C4">
        <w:rPr>
          <w:rFonts w:cs="Times New Roman"/>
          <w:szCs w:val="24"/>
        </w:rPr>
        <w:fldChar w:fldCharType="end"/>
      </w:r>
      <w:r w:rsidR="00FF2442" w:rsidRPr="006F55C4">
        <w:rPr>
          <w:rFonts w:cs="Times New Roman"/>
          <w:szCs w:val="24"/>
        </w:rPr>
        <w:t>.</w:t>
      </w:r>
      <w:r w:rsidRPr="006F55C4">
        <w:rPr>
          <w:rFonts w:cs="Times New Roman"/>
          <w:szCs w:val="24"/>
        </w:rPr>
        <w:t xml:space="preserve"> Depending on antigens, antibodies, substrates, and experimental conditions used, ELISA techniques are typically categorized into four main types: direct, indirect, sandwich, and competitive ELISA </w:t>
      </w:r>
      <w:r w:rsidRPr="006F55C4">
        <w:rPr>
          <w:rFonts w:cs="Times New Roman"/>
          <w:szCs w:val="24"/>
        </w:rPr>
        <w:fldChar w:fldCharType="begin"/>
      </w:r>
      <w:r w:rsidRPr="006F55C4">
        <w:rPr>
          <w:rFonts w:cs="Times New Roman"/>
          <w:szCs w:val="24"/>
        </w:rPr>
        <w:instrText xml:space="preserve"> ADDIN EN.CITE &lt;EndNote&gt;&lt;Cite&gt;&lt;Author&gt;Hayrapetyan&lt;/Author&gt;&lt;Year&gt;2023&lt;/Year&gt;&lt;RecNum&gt;132&lt;/RecNum&gt;&lt;DisplayText&gt;(Hayrapetyan et al., 2023)&lt;/DisplayText&gt;&lt;record&gt;&lt;rec-number&gt;132&lt;/rec-number&gt;&lt;foreign-keys&gt;&lt;key app="EN" db-id="wetrfa00qae5s1erv2jpvssbpv29szexwx0z" timestamp="1727406118"&gt;132&lt;/key&gt;&lt;/foreign-keys&gt;&lt;ref-type name="Book Section"&gt;5&lt;/ref-type&gt;&lt;contributors&gt;&lt;authors&gt;&lt;author&gt;Hayrapetyan, Hovhannes&lt;/author&gt;&lt;author&gt;Tran, Thao&lt;/author&gt;&lt;author&gt;Tellez-Corrales, Eglis&lt;/author&gt;&lt;author&gt;Madiraju, Charitha&lt;/author&gt;&lt;/authors&gt;&lt;secondary-authors&gt;&lt;author&gt;Matson, Robert S.&lt;/author&gt;&lt;/secondary-authors&gt;&lt;/contributors&gt;&lt;titles&gt;&lt;title&gt;Enzyme-Linked Immunosorbent Assay: Types and Applications&lt;/title&gt;&lt;secondary-title&gt;ELISA: Methods and Protocols&lt;/secondary-title&gt;&lt;/titles&gt;&lt;pages&gt;1-17&lt;/pages&gt;&lt;dates&gt;&lt;year&gt;2023&lt;/year&gt;&lt;/dates&gt;&lt;pub-location&gt;New York, NY&lt;/pub-location&gt;&lt;publisher&gt;Springer US&lt;/publisher&gt;&lt;isbn&gt;978-1-0716-2903-1&lt;/isbn&gt;&lt;label&gt;Hayrapetyan2023&lt;/label&gt;&lt;urls&gt;&lt;related-urls&gt;&lt;url&gt;https://doi.org/10.1007/978-1-0716-2903-1_1&lt;/url&gt;&lt;/related-urls&gt;&lt;/urls&gt;&lt;electronic-resource-num&gt;10.1007/978-1-0716-2903-1_1&lt;/electronic-resource-num&gt;&lt;/record&gt;&lt;/Cite&gt;&lt;/EndNote&gt;</w:instrText>
      </w:r>
      <w:r w:rsidRPr="006F55C4">
        <w:rPr>
          <w:rFonts w:cs="Times New Roman"/>
          <w:szCs w:val="24"/>
        </w:rPr>
        <w:fldChar w:fldCharType="separate"/>
      </w:r>
      <w:r w:rsidRPr="006F55C4">
        <w:rPr>
          <w:rFonts w:cs="Times New Roman"/>
          <w:noProof/>
          <w:szCs w:val="24"/>
        </w:rPr>
        <w:t>(Hayrapetyan et al., 2023)</w:t>
      </w:r>
      <w:r w:rsidRPr="006F55C4">
        <w:rPr>
          <w:rFonts w:cs="Times New Roman"/>
          <w:szCs w:val="24"/>
        </w:rPr>
        <w:fldChar w:fldCharType="end"/>
      </w:r>
      <w:r w:rsidRPr="006F55C4">
        <w:rPr>
          <w:rFonts w:cs="Times New Roman"/>
          <w:szCs w:val="24"/>
        </w:rPr>
        <w:t>. In our experiment we performed Competitive ELISA</w:t>
      </w:r>
      <w:r w:rsidR="007E5C95" w:rsidRPr="006F55C4">
        <w:rPr>
          <w:rFonts w:cs="Times New Roman"/>
          <w:szCs w:val="24"/>
        </w:rPr>
        <w:t xml:space="preserve"> (</w:t>
      </w:r>
      <w:proofErr w:type="spellStart"/>
      <w:r w:rsidR="007E5C95" w:rsidRPr="006F55C4">
        <w:rPr>
          <w:rFonts w:cs="Times New Roman"/>
          <w:szCs w:val="24"/>
        </w:rPr>
        <w:t>cELISA</w:t>
      </w:r>
      <w:proofErr w:type="spellEnd"/>
      <w:r w:rsidR="007E5C95" w:rsidRPr="006F55C4">
        <w:rPr>
          <w:rFonts w:cs="Times New Roman"/>
          <w:szCs w:val="24"/>
        </w:rPr>
        <w:t xml:space="preserve">) </w:t>
      </w:r>
      <w:r w:rsidRPr="006F55C4">
        <w:rPr>
          <w:rFonts w:cs="Times New Roman"/>
          <w:szCs w:val="24"/>
        </w:rPr>
        <w:t>t</w:t>
      </w:r>
      <w:r w:rsidR="00A2244C" w:rsidRPr="006F55C4">
        <w:rPr>
          <w:rFonts w:cs="Times New Roman"/>
          <w:szCs w:val="24"/>
        </w:rPr>
        <w:t xml:space="preserve">o measure </w:t>
      </w:r>
      <w:r w:rsidR="00A2244C" w:rsidRPr="006F55C4">
        <w:rPr>
          <w:rFonts w:cs="Times New Roman"/>
          <w:i/>
          <w:iCs/>
          <w:szCs w:val="24"/>
        </w:rPr>
        <w:t>Treponema pallidum</w:t>
      </w:r>
      <w:r w:rsidR="00A2244C" w:rsidRPr="006F55C4">
        <w:rPr>
          <w:rFonts w:cs="Times New Roman"/>
          <w:szCs w:val="24"/>
        </w:rPr>
        <w:t xml:space="preserve"> antibody levels in the serum of patients with clinical si</w:t>
      </w:r>
      <w:r w:rsidR="00113DD5" w:rsidRPr="006F55C4">
        <w:rPr>
          <w:rFonts w:cs="Times New Roman"/>
          <w:szCs w:val="24"/>
        </w:rPr>
        <w:t>gns</w:t>
      </w:r>
      <w:r w:rsidR="00A2244C" w:rsidRPr="006F55C4">
        <w:rPr>
          <w:rFonts w:cs="Times New Roman"/>
          <w:szCs w:val="24"/>
        </w:rPr>
        <w:t xml:space="preserve"> of Syphilis</w:t>
      </w:r>
      <w:r w:rsidR="000D338D" w:rsidRPr="006F55C4">
        <w:rPr>
          <w:rFonts w:cs="Times New Roman"/>
          <w:szCs w:val="24"/>
        </w:rPr>
        <w:t xml:space="preserve">. </w:t>
      </w:r>
      <w:r w:rsidR="000D338D" w:rsidRPr="006F55C4">
        <w:rPr>
          <w:rFonts w:cs="Times New Roman"/>
          <w:szCs w:val="24"/>
        </w:rPr>
        <w:t>The competitive ELISA (</w:t>
      </w:r>
      <w:proofErr w:type="spellStart"/>
      <w:r w:rsidR="000D338D" w:rsidRPr="006F55C4">
        <w:rPr>
          <w:rFonts w:cs="Times New Roman"/>
          <w:szCs w:val="24"/>
        </w:rPr>
        <w:t>cELISA</w:t>
      </w:r>
      <w:proofErr w:type="spellEnd"/>
      <w:r w:rsidR="000D338D" w:rsidRPr="006F55C4">
        <w:rPr>
          <w:rFonts w:cs="Times New Roman"/>
          <w:szCs w:val="24"/>
        </w:rPr>
        <w:t xml:space="preserve">) employs a labeled monoclonal or polyclonal antibody that specifically binds to a designated antigen. This antibody competes with serum antibodies for access to the antigen, allowing for the detection and quantification of pathogen-specific antibodies. Additionally, because </w:t>
      </w:r>
      <w:proofErr w:type="spellStart"/>
      <w:r w:rsidR="000D338D" w:rsidRPr="006F55C4">
        <w:rPr>
          <w:rFonts w:cs="Times New Roman"/>
          <w:szCs w:val="24"/>
        </w:rPr>
        <w:t>cELISA</w:t>
      </w:r>
      <w:proofErr w:type="spellEnd"/>
      <w:r w:rsidR="000D338D" w:rsidRPr="006F55C4">
        <w:rPr>
          <w:rFonts w:cs="Times New Roman"/>
          <w:szCs w:val="24"/>
        </w:rPr>
        <w:t xml:space="preserve"> does not need a species-specific secondary antibody, it offers a notable advantage over traditional ELISA by effectively detecting serum antibodies from various animal species.</w:t>
      </w:r>
      <w:r w:rsidR="007E5C95" w:rsidRPr="006F55C4">
        <w:rPr>
          <w:rFonts w:cs="Times New Roman"/>
          <w:szCs w:val="24"/>
        </w:rPr>
        <w:t xml:space="preserve"> </w:t>
      </w:r>
      <w:r w:rsidR="007E5C95" w:rsidRPr="006F55C4">
        <w:rPr>
          <w:rFonts w:cs="Times New Roman"/>
          <w:szCs w:val="24"/>
        </w:rPr>
        <w:fldChar w:fldCharType="begin"/>
      </w:r>
      <w:r w:rsidR="007E5C95" w:rsidRPr="006F55C4">
        <w:rPr>
          <w:rFonts w:cs="Times New Roman"/>
          <w:szCs w:val="24"/>
        </w:rPr>
        <w:instrText xml:space="preserve"> ADDIN EN.CITE &lt;EndNote&gt;&lt;Cite&gt;&lt;Author&gt;Chen&lt;/Author&gt;&lt;Year&gt;2024&lt;/Year&gt;&lt;RecNum&gt;135&lt;/RecNum&gt;&lt;DisplayText&gt;(Chen et al., 2024)&lt;/DisplayText&gt;&lt;record&gt;&lt;rec-number&gt;135&lt;/rec-number&gt;&lt;foreign-keys&gt;&lt;key app="EN" db-id="wetrfa00qae5s1erv2jpvssbpv29szexwx0z" timestamp="1727408187"&gt;135&lt;/key&gt;&lt;/foreign-keys&gt;&lt;ref-type name="Journal Article"&gt;17&lt;/ref-type&gt;&lt;contributors&gt;&lt;authors&gt;&lt;author&gt;Chen, Guohua&lt;/author&gt;&lt;author&gt;He, Xiaobing&lt;/author&gt;&lt;author&gt;Gao, Zhenzhen&lt;/author&gt;&lt;author&gt;Fang, Yongxiang&lt;/author&gt;&lt;author&gt;Hurisa, Takele Tesgera&lt;/author&gt;&lt;author&gt;Jia, Huaijie&lt;/author&gt;&lt;author&gt;Tan, Jinlong&lt;/author&gt;&lt;author&gt;Zhou, Guangqin&lt;/author&gt;&lt;author&gt;Fu, Baoquan&lt;/author&gt;&lt;author&gt;Li, Weike&lt;/author&gt;&lt;author&gt;Jing, Zhizhong&lt;/author&gt;&lt;/authors&gt;&lt;/contributors&gt;&lt;titles&gt;&lt;title&gt;Development of a competitive ELISA based on the LSDV A33 antigen&lt;/title&gt;&lt;secondary-title&gt;Virology Journal&lt;/secondary-title&gt;&lt;/titles&gt;&lt;periodical&gt;&lt;full-title&gt;Virology Journal&lt;/full-title&gt;&lt;/periodical&gt;&lt;pages&gt;1-8&lt;/pages&gt;&lt;volume&gt;21&lt;/volume&gt;&lt;number&gt;1&lt;/number&gt;&lt;keywords&gt;&lt;keyword&gt;LUMPY skin disease&lt;/keyword&gt;&lt;keyword&gt;ENZYME-linked immunosorbent assay&lt;/keyword&gt;&lt;keyword&gt;VIRUS diseases&lt;/keyword&gt;&lt;keyword&gt;ENDEMIC diseases&lt;/keyword&gt;&lt;keyword&gt;CONFIDENCE intervals&lt;/keyword&gt;&lt;/keywords&gt;&lt;dates&gt;&lt;year&gt;2024&lt;/year&gt;&lt;/dates&gt;&lt;publisher&gt;BioMed Central&lt;/publisher&gt;&lt;isbn&gt;1743-422X&lt;/isbn&gt;&lt;urls&gt;&lt;related-urls&gt;&lt;url&gt;https://research.ebsco.com/linkprocessor/plink?id=30c0f7c5-e84a-320e-93d9-5686c09568cb&lt;/url&gt;&lt;/related-urls&gt;&lt;/urls&gt;&lt;electronic-resource-num&gt;10.1186/s12985-024-02448-1&lt;/electronic-resource-num&gt;&lt;remote-database-name&gt;Academic Search Complete&lt;/remote-database-name&gt;&lt;remote-database-provider&gt;EBSCOhost&lt;/remote-database-provider&gt;&lt;language&gt;eng&lt;/language&gt;&lt;/record&gt;&lt;/Cite&gt;&lt;/EndNote&gt;</w:instrText>
      </w:r>
      <w:r w:rsidR="007E5C95" w:rsidRPr="006F55C4">
        <w:rPr>
          <w:rFonts w:cs="Times New Roman"/>
          <w:szCs w:val="24"/>
        </w:rPr>
        <w:fldChar w:fldCharType="separate"/>
      </w:r>
      <w:r w:rsidR="007E5C95" w:rsidRPr="006F55C4">
        <w:rPr>
          <w:rFonts w:cs="Times New Roman"/>
          <w:noProof/>
          <w:szCs w:val="24"/>
        </w:rPr>
        <w:t>(Chen et al., 2024)</w:t>
      </w:r>
      <w:r w:rsidR="007E5C95" w:rsidRPr="006F55C4">
        <w:rPr>
          <w:rFonts w:cs="Times New Roman"/>
          <w:szCs w:val="24"/>
        </w:rPr>
        <w:fldChar w:fldCharType="end"/>
      </w:r>
      <w:r w:rsidR="007E5C95" w:rsidRPr="006F55C4">
        <w:rPr>
          <w:rFonts w:cs="Times New Roman"/>
          <w:szCs w:val="24"/>
        </w:rPr>
        <w:t>.</w:t>
      </w:r>
      <w:r w:rsidRPr="006F55C4">
        <w:rPr>
          <w:rFonts w:cs="Times New Roman"/>
          <w:szCs w:val="24"/>
        </w:rPr>
        <w:t xml:space="preserve"> </w:t>
      </w:r>
      <w:r w:rsidR="00EC5283" w:rsidRPr="006F55C4">
        <w:rPr>
          <w:rFonts w:cs="Times New Roman"/>
          <w:szCs w:val="24"/>
        </w:rPr>
        <w:t xml:space="preserve">Syphilis is a sexually transmitted infection that presents with a range of clinical symptoms, which can be diverse and frequently subtle. It begins with systemic effects, primarily manifesting as vasculitis. Acquired syphilis is categorized into four stages: primary, secondary, latent, and tertiary. It is caused by infection of gram negative bacterium </w:t>
      </w:r>
      <w:r w:rsidR="00EC5283" w:rsidRPr="006F55C4">
        <w:rPr>
          <w:rFonts w:cs="Times New Roman"/>
          <w:i/>
          <w:iCs/>
          <w:szCs w:val="24"/>
        </w:rPr>
        <w:t xml:space="preserve">Treponema pallidum </w:t>
      </w:r>
      <w:r w:rsidR="00EC5283" w:rsidRPr="006F55C4">
        <w:rPr>
          <w:rFonts w:cs="Times New Roman"/>
          <w:szCs w:val="24"/>
        </w:rPr>
        <w:fldChar w:fldCharType="begin"/>
      </w:r>
      <w:r w:rsidR="00EC5283" w:rsidRPr="006F55C4">
        <w:rPr>
          <w:rFonts w:cs="Times New Roman"/>
          <w:szCs w:val="24"/>
        </w:rPr>
        <w:instrText xml:space="preserve"> ADDIN EN.CITE &lt;EndNote&gt;&lt;Cite&gt;&lt;Author&gt;Brown&lt;/Author&gt;&lt;Year&gt;2003&lt;/Year&gt;&lt;RecNum&gt;133&lt;/RecNum&gt;&lt;DisplayText&gt;(Brown and Frank, 2003)&lt;/DisplayText&gt;&lt;record&gt;&lt;rec-number&gt;133&lt;/rec-number&gt;&lt;foreign-keys&gt;&lt;key app="EN" db-id="wetrfa00qae5s1erv2jpvssbpv29szexwx0z" timestamp="1727407384"&gt;133&lt;/key&gt;&lt;/foreign-keys&gt;&lt;ref-type name="Journal Article"&gt;17&lt;/ref-type&gt;&lt;contributors&gt;&lt;authors&gt;&lt;author&gt;Brown, David L&lt;/author&gt;&lt;author&gt;Frank, Jennifer E&lt;/author&gt;&lt;/authors&gt;&lt;/contributors&gt;&lt;titles&gt;&lt;title&gt;Diagnosis and management of syphilis&lt;/title&gt;&lt;secondary-title&gt;American family physician&lt;/secondary-title&gt;&lt;/titles&gt;&lt;periodical&gt;&lt;full-title&gt;American family physician&lt;/full-title&gt;&lt;/periodical&gt;&lt;pages&gt;283-290&lt;/pages&gt;&lt;volume&gt;68&lt;/volume&gt;&lt;number&gt;2&lt;/number&gt;&lt;dates&gt;&lt;year&gt;2003&lt;/year&gt;&lt;/dates&gt;&lt;urls&gt;&lt;/urls&gt;&lt;/record&gt;&lt;/Cite&gt;&lt;/EndNote&gt;</w:instrText>
      </w:r>
      <w:r w:rsidR="00EC5283" w:rsidRPr="006F55C4">
        <w:rPr>
          <w:rFonts w:cs="Times New Roman"/>
          <w:szCs w:val="24"/>
        </w:rPr>
        <w:fldChar w:fldCharType="separate"/>
      </w:r>
      <w:r w:rsidR="00EC5283" w:rsidRPr="006F55C4">
        <w:rPr>
          <w:rFonts w:cs="Times New Roman"/>
          <w:noProof/>
          <w:szCs w:val="24"/>
        </w:rPr>
        <w:t>(Brown and Frank, 2003)</w:t>
      </w:r>
      <w:r w:rsidR="00EC5283" w:rsidRPr="006F55C4">
        <w:rPr>
          <w:rFonts w:cs="Times New Roman"/>
          <w:szCs w:val="24"/>
        </w:rPr>
        <w:fldChar w:fldCharType="end"/>
      </w:r>
      <w:r w:rsidR="00EC5283" w:rsidRPr="006F55C4">
        <w:rPr>
          <w:rFonts w:cs="Times New Roman"/>
          <w:i/>
          <w:iCs/>
          <w:szCs w:val="24"/>
        </w:rPr>
        <w:t xml:space="preserve">. </w:t>
      </w:r>
      <w:r w:rsidR="00EC5283" w:rsidRPr="006F55C4">
        <w:rPr>
          <w:rFonts w:cs="Times New Roman"/>
          <w:szCs w:val="24"/>
        </w:rPr>
        <w:t xml:space="preserve">In Australia, the status of prevalence of Syphilis has remained for past 90 years </w:t>
      </w:r>
      <w:r w:rsidR="00EC5283" w:rsidRPr="006F55C4">
        <w:rPr>
          <w:rFonts w:cs="Times New Roman"/>
          <w:szCs w:val="24"/>
        </w:rPr>
        <w:fldChar w:fldCharType="begin"/>
      </w:r>
      <w:r w:rsidR="00EC5283" w:rsidRPr="006F55C4">
        <w:rPr>
          <w:rFonts w:cs="Times New Roman"/>
          <w:szCs w:val="24"/>
        </w:rPr>
        <w:instrText xml:space="preserve"> ADDIN EN.CITE &lt;EndNote&gt;&lt;Cite&gt;&lt;Author&gt;Berger&lt;/Author&gt;&lt;Year&gt;2024&lt;/Year&gt;&lt;RecNum&gt;134&lt;/RecNum&gt;&lt;DisplayText&gt;(Berger and Gideon science team, 2024)&lt;/DisplayText&gt;&lt;record&gt;&lt;rec-number&gt;134&lt;/rec-number&gt;&lt;foreign-keys&gt;&lt;key app="EN" db-id="wetrfa00qae5s1erv2jpvssbpv29szexwx0z" timestamp="1727407588"&gt;134&lt;/key&gt;&lt;/foreign-keys&gt;&lt;ref-type name="Book"&gt;6&lt;/ref-type&gt;&lt;contributors&gt;&lt;authors&gt;&lt;author&gt;Berger, Stephen&lt;/author&gt;&lt;author&gt;Gideon science team, Gideon science&lt;/author&gt;&lt;/authors&gt;&lt;/contributors&gt;&lt;titles&gt;&lt;title&gt;Syphilis: Global Status&lt;/title&gt;&lt;/titles&gt;&lt;dates&gt;&lt;year&gt;2024&lt;/year&gt;&lt;/dates&gt;&lt;pub-location&gt;Los Angeles, UNITED STATES&lt;/pub-location&gt;&lt;publisher&gt;Gideon Informatics, Incorporated&lt;/publisher&gt;&lt;isbn&gt;9781498846424&lt;/isbn&gt;&lt;urls&gt;&lt;related-urls&gt;&lt;url&gt;http://ebookcentral.proquest.com/lib/deakin/detail.action?docID=31459959&lt;/url&gt;&lt;/related-urls&gt;&lt;/urls&gt;&lt;/record&gt;&lt;/Cite&gt;&lt;/EndNote&gt;</w:instrText>
      </w:r>
      <w:r w:rsidR="00EC5283" w:rsidRPr="006F55C4">
        <w:rPr>
          <w:rFonts w:cs="Times New Roman"/>
          <w:szCs w:val="24"/>
        </w:rPr>
        <w:fldChar w:fldCharType="separate"/>
      </w:r>
      <w:r w:rsidR="00EC5283" w:rsidRPr="006F55C4">
        <w:rPr>
          <w:rFonts w:cs="Times New Roman"/>
          <w:noProof/>
          <w:szCs w:val="24"/>
        </w:rPr>
        <w:t>(Berger and Gideon science team, 2024)</w:t>
      </w:r>
      <w:r w:rsidR="00EC5283" w:rsidRPr="006F55C4">
        <w:rPr>
          <w:rFonts w:cs="Times New Roman"/>
          <w:szCs w:val="24"/>
        </w:rPr>
        <w:fldChar w:fldCharType="end"/>
      </w:r>
      <w:r w:rsidR="00EC5283" w:rsidRPr="006F55C4">
        <w:rPr>
          <w:rFonts w:cs="Times New Roman"/>
          <w:szCs w:val="24"/>
        </w:rPr>
        <w:t xml:space="preserve">. </w:t>
      </w:r>
    </w:p>
    <w:p w14:paraId="454C45C1" w14:textId="1A1CE292" w:rsidR="007E5C95" w:rsidRPr="006F55C4" w:rsidRDefault="007E5C95" w:rsidP="006F55C4">
      <w:pPr>
        <w:spacing w:line="360" w:lineRule="auto"/>
        <w:rPr>
          <w:rFonts w:cs="Times New Roman"/>
          <w:szCs w:val="24"/>
        </w:rPr>
      </w:pPr>
    </w:p>
    <w:p w14:paraId="5BDC33BB" w14:textId="3158338F" w:rsidR="00B878E8" w:rsidRPr="006F55C4" w:rsidRDefault="007E5C95" w:rsidP="006F55C4">
      <w:pPr>
        <w:spacing w:line="360" w:lineRule="auto"/>
        <w:rPr>
          <w:rFonts w:cs="Times New Roman"/>
          <w:szCs w:val="24"/>
        </w:rPr>
      </w:pPr>
      <w:r w:rsidRPr="006F55C4">
        <w:rPr>
          <w:rFonts w:cs="Times New Roman"/>
          <w:b/>
          <w:bCs/>
          <w:szCs w:val="24"/>
        </w:rPr>
        <w:t>Aims</w:t>
      </w:r>
      <w:r w:rsidRPr="006F55C4">
        <w:rPr>
          <w:rFonts w:cs="Times New Roman"/>
          <w:szCs w:val="24"/>
        </w:rPr>
        <w:t xml:space="preserve">: In this experiment we aimed to measure </w:t>
      </w:r>
      <w:r w:rsidRPr="006F55C4">
        <w:rPr>
          <w:rFonts w:cs="Times New Roman"/>
          <w:i/>
          <w:iCs/>
          <w:szCs w:val="24"/>
        </w:rPr>
        <w:t>Treponema pallidum</w:t>
      </w:r>
      <w:r w:rsidRPr="006F55C4">
        <w:rPr>
          <w:rFonts w:cs="Times New Roman"/>
          <w:szCs w:val="24"/>
        </w:rPr>
        <w:t xml:space="preserve"> antibody levels in the serum of patients with clinical sings of Syphilis using competitive ELISA technique.</w:t>
      </w:r>
    </w:p>
    <w:p w14:paraId="4B0FAFED" w14:textId="2D24ECF0" w:rsidR="00B878E8" w:rsidRPr="006F55C4" w:rsidRDefault="007E5C95" w:rsidP="006F55C4">
      <w:pPr>
        <w:spacing w:line="360" w:lineRule="auto"/>
        <w:rPr>
          <w:rFonts w:cs="Times New Roman"/>
          <w:b/>
          <w:bCs/>
          <w:szCs w:val="24"/>
        </w:rPr>
      </w:pPr>
      <w:r w:rsidRPr="006F55C4">
        <w:rPr>
          <w:rFonts w:cs="Times New Roman"/>
          <w:b/>
          <w:bCs/>
          <w:szCs w:val="24"/>
        </w:rPr>
        <w:t>Experimental:</w:t>
      </w:r>
    </w:p>
    <w:p w14:paraId="638CA074" w14:textId="48FE8018" w:rsidR="00F20C0E" w:rsidRPr="006F55C4" w:rsidRDefault="008B7A77" w:rsidP="006F55C4">
      <w:pPr>
        <w:spacing w:line="360" w:lineRule="auto"/>
        <w:rPr>
          <w:rFonts w:cs="Times New Roman"/>
          <w:szCs w:val="24"/>
        </w:rPr>
      </w:pPr>
      <w:r w:rsidRPr="006F55C4">
        <w:rPr>
          <w:rFonts w:cs="Times New Roman"/>
          <w:szCs w:val="24"/>
        </w:rPr>
        <w:t xml:space="preserve">To perform the competitive ELISA, the wells were first decanted and washed three times with a washing solution. Next, 50 </w:t>
      </w:r>
      <w:proofErr w:type="spellStart"/>
      <w:r w:rsidRPr="006F55C4">
        <w:rPr>
          <w:rFonts w:cs="Times New Roman"/>
          <w:szCs w:val="24"/>
        </w:rPr>
        <w:t>μl</w:t>
      </w:r>
      <w:proofErr w:type="spellEnd"/>
      <w:r w:rsidRPr="006F55C4">
        <w:rPr>
          <w:rFonts w:cs="Times New Roman"/>
          <w:szCs w:val="24"/>
        </w:rPr>
        <w:t xml:space="preserve"> of each Treponema pallidum (</w:t>
      </w:r>
      <w:proofErr w:type="spellStart"/>
      <w:r w:rsidRPr="006F55C4">
        <w:rPr>
          <w:rFonts w:cs="Times New Roman"/>
          <w:szCs w:val="24"/>
        </w:rPr>
        <w:t>Tp</w:t>
      </w:r>
      <w:proofErr w:type="spellEnd"/>
      <w:r w:rsidRPr="006F55C4">
        <w:rPr>
          <w:rFonts w:cs="Times New Roman"/>
          <w:szCs w:val="24"/>
        </w:rPr>
        <w:t xml:space="preserve">) antibody standard was dispensed into four replicate wells, along with 50 </w:t>
      </w:r>
      <w:proofErr w:type="spellStart"/>
      <w:r w:rsidRPr="006F55C4">
        <w:rPr>
          <w:rFonts w:cs="Times New Roman"/>
          <w:szCs w:val="24"/>
        </w:rPr>
        <w:t>μl</w:t>
      </w:r>
      <w:proofErr w:type="spellEnd"/>
      <w:r w:rsidRPr="006F55C4">
        <w:rPr>
          <w:rFonts w:cs="Times New Roman"/>
          <w:szCs w:val="24"/>
        </w:rPr>
        <w:t xml:space="preserve"> of negative control, positive control, and patient samples. The first column was filled with 50 </w:t>
      </w:r>
      <w:proofErr w:type="spellStart"/>
      <w:r w:rsidRPr="006F55C4">
        <w:rPr>
          <w:rFonts w:cs="Times New Roman"/>
          <w:szCs w:val="24"/>
        </w:rPr>
        <w:t>μl</w:t>
      </w:r>
      <w:proofErr w:type="spellEnd"/>
      <w:r w:rsidRPr="006F55C4">
        <w:rPr>
          <w:rFonts w:cs="Times New Roman"/>
          <w:szCs w:val="24"/>
        </w:rPr>
        <w:t xml:space="preserve"> of PBS to serve as a blank. Following this, 50 </w:t>
      </w:r>
      <w:proofErr w:type="spellStart"/>
      <w:r w:rsidRPr="006F55C4">
        <w:rPr>
          <w:rFonts w:cs="Times New Roman"/>
          <w:szCs w:val="24"/>
        </w:rPr>
        <w:t>μl</w:t>
      </w:r>
      <w:proofErr w:type="spellEnd"/>
      <w:r w:rsidRPr="006F55C4">
        <w:rPr>
          <w:rFonts w:cs="Times New Roman"/>
          <w:szCs w:val="24"/>
        </w:rPr>
        <w:t xml:space="preserve"> of HRP-labeled </w:t>
      </w:r>
      <w:proofErr w:type="spellStart"/>
      <w:r w:rsidRPr="006F55C4">
        <w:rPr>
          <w:rFonts w:cs="Times New Roman"/>
          <w:szCs w:val="24"/>
        </w:rPr>
        <w:t>Tp</w:t>
      </w:r>
      <w:proofErr w:type="spellEnd"/>
      <w:r w:rsidRPr="006F55C4">
        <w:rPr>
          <w:rFonts w:cs="Times New Roman"/>
          <w:szCs w:val="24"/>
        </w:rPr>
        <w:t xml:space="preserve"> antibody was added to all wells except the blank. The plate was incubated at room temperature for 30 minutes and then underwent three additional wash cycles. After washing, 100 </w:t>
      </w:r>
      <w:proofErr w:type="spellStart"/>
      <w:r w:rsidRPr="006F55C4">
        <w:rPr>
          <w:rFonts w:cs="Times New Roman"/>
          <w:szCs w:val="24"/>
        </w:rPr>
        <w:t>μl</w:t>
      </w:r>
      <w:proofErr w:type="spellEnd"/>
      <w:r w:rsidRPr="006F55C4">
        <w:rPr>
          <w:rFonts w:cs="Times New Roman"/>
          <w:szCs w:val="24"/>
        </w:rPr>
        <w:t xml:space="preserve"> of TMB enzyme substrate was added to all wells, including the negative control, and the reaction was allowed to proceed in the dark for 15 minutes. To terminate the reaction, 50 </w:t>
      </w:r>
      <w:proofErr w:type="spellStart"/>
      <w:r w:rsidRPr="006F55C4">
        <w:rPr>
          <w:rFonts w:cs="Times New Roman"/>
          <w:szCs w:val="24"/>
        </w:rPr>
        <w:t>μl</w:t>
      </w:r>
      <w:proofErr w:type="spellEnd"/>
      <w:r w:rsidRPr="006F55C4">
        <w:rPr>
          <w:rFonts w:cs="Times New Roman"/>
          <w:szCs w:val="24"/>
        </w:rPr>
        <w:t xml:space="preserve"> of 3M sulfuric acid was added to each well, and the optical density (OD) was measured at 490 nm.</w:t>
      </w:r>
    </w:p>
    <w:p w14:paraId="6C94CB58" w14:textId="50AD1FBE" w:rsidR="0057067A" w:rsidRPr="006F55C4" w:rsidRDefault="00F20C0E" w:rsidP="006F55C4">
      <w:pPr>
        <w:spacing w:line="360" w:lineRule="auto"/>
        <w:rPr>
          <w:rFonts w:cs="Times New Roman"/>
          <w:b/>
          <w:bCs/>
          <w:szCs w:val="24"/>
        </w:rPr>
      </w:pPr>
      <w:r w:rsidRPr="006F55C4">
        <w:rPr>
          <w:rFonts w:cs="Times New Roman"/>
          <w:b/>
          <w:bCs/>
          <w:szCs w:val="24"/>
        </w:rPr>
        <w:t>Result and Discussion:</w:t>
      </w:r>
    </w:p>
    <w:p w14:paraId="695DABA4" w14:textId="3BE9715D" w:rsidR="00F20C0E" w:rsidRPr="006F55C4" w:rsidRDefault="00CC7100" w:rsidP="006F55C4">
      <w:pPr>
        <w:spacing w:line="360" w:lineRule="auto"/>
        <w:rPr>
          <w:rFonts w:cs="Times New Roman"/>
          <w:szCs w:val="24"/>
        </w:rPr>
      </w:pPr>
      <w:r w:rsidRPr="006F55C4">
        <w:rPr>
          <w:rFonts w:cs="Times New Roman"/>
          <w:szCs w:val="24"/>
        </w:rPr>
        <w:t xml:space="preserve">The </w:t>
      </w:r>
      <w:r w:rsidR="008F739B" w:rsidRPr="006F55C4">
        <w:rPr>
          <w:rFonts w:cs="Times New Roman"/>
          <w:szCs w:val="24"/>
        </w:rPr>
        <w:t>absorbance at 490 nm was found to be following:</w:t>
      </w:r>
    </w:p>
    <w:p w14:paraId="05AEBDD4" w14:textId="77777777" w:rsidR="008F739B" w:rsidRPr="006F55C4" w:rsidRDefault="008F739B" w:rsidP="006F55C4">
      <w:pPr>
        <w:spacing w:line="360" w:lineRule="auto"/>
        <w:rPr>
          <w:rFonts w:cs="Times New Roman"/>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96"/>
        <w:gridCol w:w="1000"/>
        <w:gridCol w:w="1000"/>
        <w:gridCol w:w="1000"/>
        <w:gridCol w:w="1000"/>
        <w:gridCol w:w="1116"/>
        <w:gridCol w:w="1118"/>
        <w:gridCol w:w="1113"/>
      </w:tblGrid>
      <w:tr w:rsidR="00C210B8" w:rsidRPr="006F55C4" w14:paraId="3306E1E5" w14:textId="6A2AE076"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35813615" w14:textId="1324BD75"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br/>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9049AEC" w14:textId="1DAA335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00B81AAB" w14:textId="455064D6"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1E3B7D0" w14:textId="0515A22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080F680E" w14:textId="065979C6"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4</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5217969F" w14:textId="13080449"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5</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6DFA366D" w14:textId="50C0FAB3"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6</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09F20136" w14:textId="7C942398"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7</w:t>
            </w:r>
          </w:p>
        </w:tc>
      </w:tr>
      <w:tr w:rsidR="00C210B8" w:rsidRPr="006F55C4" w14:paraId="00067510"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2A14D00E" w14:textId="43B14B40"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A</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7B7E75F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-0.003</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D804625"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3.097</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7D0FC2F1"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2.935</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60B69F05"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2.735</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58FF6C3D"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2.508</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59E84FCD"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1.056</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418E263C" w14:textId="2160CA74"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0.743</w:t>
            </w:r>
          </w:p>
        </w:tc>
      </w:tr>
      <w:tr w:rsidR="00C210B8" w:rsidRPr="006F55C4" w14:paraId="6801A019"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12C5889C"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B</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F167914"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-0.003</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5C2FC26F"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3.0122</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F42FF9B"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3.050</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854AAA3"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2.957</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2322F413"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2.365</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0EFA53F9"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1.130</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74073720" w14:textId="0270BB4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0.806</w:t>
            </w:r>
          </w:p>
        </w:tc>
      </w:tr>
      <w:tr w:rsidR="00C210B8" w:rsidRPr="006F55C4" w14:paraId="30C39613"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2167C5D0"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C</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51C712A"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0.007</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4F2E1F5D"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3.137</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7761B1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3.026</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48F9EED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2.822</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374C6B6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2.283</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09C0F1DD"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1.162</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0B104482" w14:textId="7C0EF252"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0.684</w:t>
            </w:r>
          </w:p>
        </w:tc>
      </w:tr>
      <w:tr w:rsidR="00C210B8" w:rsidRPr="006F55C4" w14:paraId="19684E8E"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5A6121AE"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D</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5B55F4B0"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0.021</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0B98F409"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3.127</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05D6A68F"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2.943</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16C072A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2.863</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6FFB14B5"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2.396</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0E564BC2"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1.082</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2A63C80A" w14:textId="7E5E5F6F"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0.728</w:t>
            </w:r>
          </w:p>
        </w:tc>
      </w:tr>
      <w:tr w:rsidR="00C210B8" w:rsidRPr="006F55C4" w14:paraId="07EECB49"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519A65E4"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E</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B43C089"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0.009</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613E000A"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3.020</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2946949"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2.908</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297CD58"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2.521</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04AD68D0"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1.883</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0B9A9DC0" w14:textId="2EBF7753"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0.728</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386F1474" w14:textId="3736D46C"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0.803</w:t>
            </w:r>
          </w:p>
        </w:tc>
      </w:tr>
      <w:tr w:rsidR="00C210B8" w:rsidRPr="006F55C4" w14:paraId="65E6B583"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6EF975A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F</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7323621B"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-0.028</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F7788F1"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3.064</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17CD4505"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2.883</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38DD7E8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2.622</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244BACE1"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1.736</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0633F12F" w14:textId="23DB4BC2"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0.793</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2D7202CC" w14:textId="3AEBD093"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0.807</w:t>
            </w:r>
          </w:p>
        </w:tc>
      </w:tr>
      <w:tr w:rsidR="00C210B8" w:rsidRPr="006F55C4" w14:paraId="7B4D113B"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5ECE62A4"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G</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2EAB17AE"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-0.026</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74B8297A"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3.007</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581C2129"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2.949</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4A30F4D7"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2.674</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532DB8DE"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1.939</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1C19F18B" w14:textId="3A54D97F"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0.816</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442FC8F1" w14:textId="5CE58676"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0.792</w:t>
            </w:r>
          </w:p>
        </w:tc>
      </w:tr>
      <w:tr w:rsidR="00C210B8" w:rsidRPr="006F55C4" w14:paraId="3308CD66" w14:textId="77777777" w:rsidTr="00C210B8">
        <w:trPr>
          <w:tblCellSpacing w:w="0" w:type="dxa"/>
        </w:trPr>
        <w:tc>
          <w:tcPr>
            <w:tcW w:w="996" w:type="dxa"/>
            <w:tcBorders>
              <w:top w:val="outset" w:sz="6" w:space="0" w:color="auto"/>
              <w:left w:val="outset" w:sz="6" w:space="0" w:color="auto"/>
              <w:bottom w:val="outset" w:sz="6" w:space="0" w:color="auto"/>
              <w:right w:val="outset" w:sz="6" w:space="0" w:color="auto"/>
            </w:tcBorders>
            <w:shd w:val="clear" w:color="auto" w:fill="FFFFFF"/>
            <w:hideMark/>
          </w:tcPr>
          <w:p w14:paraId="569B06A8"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H</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145B4F8C"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0.026</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0E0772A6"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2.988</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4EC5F40A"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2.890</w:t>
            </w:r>
          </w:p>
        </w:tc>
        <w:tc>
          <w:tcPr>
            <w:tcW w:w="1000" w:type="dxa"/>
            <w:tcBorders>
              <w:top w:val="outset" w:sz="6" w:space="0" w:color="auto"/>
              <w:left w:val="outset" w:sz="6" w:space="0" w:color="auto"/>
              <w:bottom w:val="outset" w:sz="6" w:space="0" w:color="auto"/>
              <w:right w:val="outset" w:sz="6" w:space="0" w:color="auto"/>
            </w:tcBorders>
            <w:shd w:val="clear" w:color="auto" w:fill="FFFFFF"/>
            <w:hideMark/>
          </w:tcPr>
          <w:p w14:paraId="1B300425"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2.485</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14:paraId="1C1BB11F" w14:textId="77777777"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1.786</w:t>
            </w:r>
          </w:p>
        </w:tc>
        <w:tc>
          <w:tcPr>
            <w:tcW w:w="1118" w:type="dxa"/>
            <w:tcBorders>
              <w:top w:val="outset" w:sz="6" w:space="0" w:color="auto"/>
              <w:left w:val="outset" w:sz="6" w:space="0" w:color="auto"/>
              <w:bottom w:val="outset" w:sz="6" w:space="0" w:color="auto"/>
              <w:right w:val="outset" w:sz="6" w:space="0" w:color="auto"/>
            </w:tcBorders>
            <w:shd w:val="clear" w:color="auto" w:fill="FFFFFF"/>
            <w:hideMark/>
          </w:tcPr>
          <w:p w14:paraId="6D66B625" w14:textId="3A0BC8C0"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0.757</w:t>
            </w:r>
          </w:p>
        </w:tc>
        <w:tc>
          <w:tcPr>
            <w:tcW w:w="1113" w:type="dxa"/>
            <w:tcBorders>
              <w:top w:val="outset" w:sz="6" w:space="0" w:color="auto"/>
              <w:left w:val="outset" w:sz="6" w:space="0" w:color="auto"/>
              <w:bottom w:val="outset" w:sz="6" w:space="0" w:color="auto"/>
              <w:right w:val="outset" w:sz="6" w:space="0" w:color="auto"/>
            </w:tcBorders>
            <w:shd w:val="clear" w:color="auto" w:fill="FFFFFF"/>
          </w:tcPr>
          <w:p w14:paraId="46C487A2" w14:textId="1979A37D" w:rsidR="00C210B8" w:rsidRPr="006F55C4" w:rsidRDefault="00C210B8" w:rsidP="006F55C4">
            <w:pPr>
              <w:spacing w:before="100" w:beforeAutospacing="1" w:after="100" w:afterAutospacing="1" w:line="360" w:lineRule="auto"/>
              <w:jc w:val="left"/>
              <w:rPr>
                <w:rFonts w:eastAsia="Times New Roman" w:cs="Times New Roman"/>
                <w:color w:val="242424"/>
                <w:szCs w:val="24"/>
              </w:rPr>
            </w:pPr>
            <w:r w:rsidRPr="006F55C4">
              <w:rPr>
                <w:rFonts w:eastAsia="Times New Roman" w:cs="Times New Roman"/>
                <w:color w:val="242424"/>
                <w:szCs w:val="24"/>
              </w:rPr>
              <w:t>0.683</w:t>
            </w:r>
          </w:p>
        </w:tc>
      </w:tr>
    </w:tbl>
    <w:p w14:paraId="7F095B62" w14:textId="77777777" w:rsidR="00F20C0E" w:rsidRPr="006F55C4" w:rsidRDefault="00F20C0E" w:rsidP="006F55C4">
      <w:pPr>
        <w:spacing w:line="360" w:lineRule="auto"/>
        <w:rPr>
          <w:rFonts w:cs="Times New Roman"/>
          <w:szCs w:val="24"/>
        </w:rPr>
      </w:pPr>
    </w:p>
    <w:p w14:paraId="515963E3" w14:textId="6362497E" w:rsidR="00F20C0E" w:rsidRPr="006F55C4" w:rsidRDefault="00536A81" w:rsidP="006F55C4">
      <w:pPr>
        <w:spacing w:line="360" w:lineRule="auto"/>
        <w:rPr>
          <w:rFonts w:cs="Times New Roman"/>
          <w:szCs w:val="24"/>
        </w:rPr>
      </w:pPr>
      <w:r w:rsidRPr="006F55C4">
        <w:rPr>
          <w:rFonts w:cs="Times New Roman"/>
          <w:b/>
          <w:bCs/>
          <w:szCs w:val="24"/>
        </w:rPr>
        <w:t>Table 1:</w:t>
      </w:r>
      <w:r w:rsidRPr="006F55C4">
        <w:rPr>
          <w:rFonts w:cs="Times New Roman"/>
          <w:szCs w:val="24"/>
        </w:rPr>
        <w:t xml:space="preserve"> Absorbance Measurements for Each Replicate Well of Standards, </w:t>
      </w:r>
      <w:bookmarkStart w:id="1" w:name="_Hlk178338607"/>
      <w:r w:rsidRPr="006F55C4">
        <w:rPr>
          <w:rFonts w:cs="Times New Roman"/>
          <w:szCs w:val="24"/>
        </w:rPr>
        <w:t>Negative Control, Positive Control, and Patient Samples</w:t>
      </w:r>
      <w:bookmarkEnd w:id="1"/>
      <w:r w:rsidRPr="006F55C4">
        <w:rPr>
          <w:rFonts w:cs="Times New Roman"/>
          <w:szCs w:val="24"/>
        </w:rPr>
        <w:t>.</w:t>
      </w:r>
    </w:p>
    <w:p w14:paraId="289BA29F" w14:textId="79FB2E05" w:rsidR="00B14C9A" w:rsidRPr="006F55C4" w:rsidRDefault="00B14C9A" w:rsidP="006F55C4">
      <w:pPr>
        <w:spacing w:line="360" w:lineRule="auto"/>
        <w:rPr>
          <w:rFonts w:cs="Times New Roman"/>
          <w:szCs w:val="24"/>
        </w:rPr>
      </w:pPr>
    </w:p>
    <w:p w14:paraId="34216E01" w14:textId="498EE5AA" w:rsidR="00571965" w:rsidRPr="006F55C4" w:rsidRDefault="009939E8" w:rsidP="006F55C4">
      <w:pPr>
        <w:spacing w:line="360" w:lineRule="auto"/>
        <w:rPr>
          <w:rFonts w:cs="Times New Roman"/>
          <w:szCs w:val="24"/>
        </w:rPr>
      </w:pPr>
      <w:r w:rsidRPr="006F55C4">
        <w:rPr>
          <w:rFonts w:cs="Times New Roman"/>
          <w:szCs w:val="24"/>
        </w:rPr>
        <w:t xml:space="preserve">Absorbance was plotted against Concentration </w:t>
      </w:r>
    </w:p>
    <w:p w14:paraId="6AF8A7A9" w14:textId="2BDE5623" w:rsidR="00F20C0E" w:rsidRPr="006F55C4" w:rsidRDefault="00D2707B" w:rsidP="006F55C4">
      <w:pPr>
        <w:pStyle w:val="EndNoteBibliography"/>
        <w:spacing w:after="0" w:line="360" w:lineRule="auto"/>
        <w:ind w:left="720" w:hanging="720"/>
        <w:rPr>
          <w:szCs w:val="24"/>
        </w:rPr>
      </w:pPr>
      <w:r w:rsidRPr="006F55C4">
        <w:rPr>
          <w:szCs w:val="24"/>
        </w:rPr>
        <w:drawing>
          <wp:inline distT="0" distB="0" distL="0" distR="0" wp14:anchorId="076E9B1B" wp14:editId="4D614613">
            <wp:extent cx="4549775" cy="3613150"/>
            <wp:effectExtent l="0" t="0" r="3175" b="6350"/>
            <wp:docPr id="3" name="Chart 3">
              <a:extLst xmlns:a="http://schemas.openxmlformats.org/drawingml/2006/main">
                <a:ext uri="{FF2B5EF4-FFF2-40B4-BE49-F238E27FC236}">
                  <a16:creationId xmlns:a16="http://schemas.microsoft.com/office/drawing/2014/main" id="{BF1ECB7F-9C48-4658-BB9C-7A87D75D9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83CA53" w14:textId="0A0D7684" w:rsidR="00B67937" w:rsidRPr="006F55C4" w:rsidRDefault="00B67937" w:rsidP="006F55C4">
      <w:pPr>
        <w:pStyle w:val="EndNoteBibliography"/>
        <w:spacing w:after="0" w:line="360" w:lineRule="auto"/>
        <w:rPr>
          <w:szCs w:val="24"/>
        </w:rPr>
      </w:pPr>
      <w:r w:rsidRPr="006F55C4">
        <w:rPr>
          <w:b/>
          <w:bCs/>
          <w:szCs w:val="24"/>
        </w:rPr>
        <w:t>Figure 1:</w:t>
      </w:r>
      <w:r w:rsidRPr="006F55C4">
        <w:rPr>
          <w:szCs w:val="24"/>
        </w:rPr>
        <w:t xml:space="preserve"> Calibration Curve of Absorbance vs. Treponema pallidum Antibody Concentration</w:t>
      </w:r>
    </w:p>
    <w:p w14:paraId="41884B91" w14:textId="77777777" w:rsidR="009939E8" w:rsidRPr="006F55C4" w:rsidRDefault="009939E8" w:rsidP="006F55C4">
      <w:pPr>
        <w:pStyle w:val="EndNoteBibliography"/>
        <w:spacing w:after="0" w:line="360" w:lineRule="auto"/>
        <w:rPr>
          <w:szCs w:val="24"/>
        </w:rPr>
      </w:pPr>
    </w:p>
    <w:p w14:paraId="60889185" w14:textId="13699B9E" w:rsidR="006E1AE9" w:rsidRPr="006F55C4" w:rsidRDefault="00E7385C" w:rsidP="006F55C4">
      <w:pPr>
        <w:pStyle w:val="EndNoteBibliography"/>
        <w:spacing w:after="0" w:line="360" w:lineRule="auto"/>
        <w:rPr>
          <w:szCs w:val="24"/>
        </w:rPr>
      </w:pPr>
      <w:r w:rsidRPr="006F55C4">
        <w:rPr>
          <w:szCs w:val="24"/>
        </w:rPr>
        <w:t xml:space="preserve">The linear regression equation was found to be  y = -0.0039x + 2.9657 , where y  represents the </w:t>
      </w:r>
      <w:r w:rsidR="00EF65DD" w:rsidRPr="006F55C4">
        <w:rPr>
          <w:szCs w:val="24"/>
        </w:rPr>
        <w:t>absorbance</w:t>
      </w:r>
      <w:r w:rsidRPr="006F55C4">
        <w:rPr>
          <w:szCs w:val="24"/>
        </w:rPr>
        <w:t xml:space="preserve"> and  x  indicates the concentration of antibodies in ng/ml. The slope of -0.003 signifies that as antibody concentration rises, the </w:t>
      </w:r>
      <w:r w:rsidR="00EF65DD" w:rsidRPr="006F55C4">
        <w:rPr>
          <w:szCs w:val="24"/>
        </w:rPr>
        <w:t>absorbance</w:t>
      </w:r>
      <w:r w:rsidRPr="006F55C4">
        <w:rPr>
          <w:szCs w:val="24"/>
        </w:rPr>
        <w:t xml:space="preserve"> decreases, which is common for a competitive ELISA. The intercept of 2.9657 represents the maximum </w:t>
      </w:r>
      <w:r w:rsidR="00EF65DD" w:rsidRPr="006F55C4">
        <w:rPr>
          <w:szCs w:val="24"/>
        </w:rPr>
        <w:t xml:space="preserve">absorbance </w:t>
      </w:r>
      <w:r w:rsidRPr="006F55C4">
        <w:rPr>
          <w:szCs w:val="24"/>
        </w:rPr>
        <w:t>achievable in the absence of competing antibodies.</w:t>
      </w:r>
    </w:p>
    <w:p w14:paraId="6C646073" w14:textId="77777777" w:rsidR="008C3939" w:rsidRPr="006F55C4" w:rsidRDefault="008C3939" w:rsidP="006F55C4">
      <w:pPr>
        <w:pStyle w:val="EndNoteBibliography"/>
        <w:spacing w:after="0" w:line="360" w:lineRule="auto"/>
        <w:ind w:left="720" w:hanging="720"/>
        <w:rPr>
          <w:szCs w:val="24"/>
        </w:rPr>
      </w:pPr>
    </w:p>
    <w:p w14:paraId="672B473C" w14:textId="5204F0E4" w:rsidR="00176C51" w:rsidRPr="006F55C4" w:rsidRDefault="00FD05AA" w:rsidP="006F55C4">
      <w:pPr>
        <w:pStyle w:val="EndNoteBibliography"/>
        <w:spacing w:after="0" w:line="360" w:lineRule="auto"/>
        <w:ind w:left="720" w:hanging="720"/>
        <w:rPr>
          <w:szCs w:val="24"/>
        </w:rPr>
      </w:pPr>
      <w:r w:rsidRPr="006F55C4">
        <w:rPr>
          <w:szCs w:val="24"/>
        </w:rPr>
        <w:t>The coefficient of determination R² = 0.9749 reveals a strong correlation between antibody concentration and absorbance values, indicating that 97.49% of the variability in absorbance is attributable to changes in concentration. This high R² value indicates how well the calibration data matches the linear model. This high R² value indicates a strong and consistent association between absorbance and concentration</w:t>
      </w:r>
      <w:r w:rsidRPr="006F55C4">
        <w:rPr>
          <w:szCs w:val="24"/>
        </w:rPr>
        <w:t xml:space="preserve"> </w:t>
      </w:r>
      <w:r w:rsidR="003073E9" w:rsidRPr="006F55C4">
        <w:rPr>
          <w:szCs w:val="24"/>
        </w:rPr>
        <w:fldChar w:fldCharType="begin"/>
      </w:r>
      <w:r w:rsidR="003073E9" w:rsidRPr="006F55C4">
        <w:rPr>
          <w:szCs w:val="24"/>
        </w:rPr>
        <w:instrText xml:space="preserve"> ADDIN EN.CITE &lt;EndNote&gt;&lt;Cite&gt;&lt;Author&gt;Jain&lt;/Author&gt;&lt;Year&gt;2018&lt;/Year&gt;&lt;RecNum&gt;79&lt;/RecNum&gt;&lt;DisplayText&gt;(Jain, 2018)&lt;/DisplayText&gt;&lt;record&gt;&lt;rec-number&gt;79&lt;/rec-number&gt;&lt;foreign-keys&gt;&lt;key app="EN" db-id="wetrfa00qae5s1erv2jpvssbpv29szexwx0z" timestamp="1725595224"&gt;79&lt;/key&gt;&lt;/foreign-keys&gt;&lt;ref-type name="Book Section"&gt;5&lt;/ref-type&gt;&lt;contributors&gt;&lt;authors&gt;&lt;author&gt;Jain, D. and Basniwal, P. K&lt;/author&gt;&lt;/authors&gt;&lt;secondary-authors&gt;&lt;author&gt;Balkau, S.&lt;/author&gt;&lt;/secondary-authors&gt;&lt;/contributors&gt;&lt;titles&gt;&lt;title&gt;Linearity of Calibration Curves for Analytical Methods: A Review of Criteria for Assessment of Method Reliability&lt;/title&gt;&lt;secondary-title&gt;Calibration and Validation of Analytical Methods - A Sampling of Current Approaches&lt;/secondary-title&gt;&lt;/titles&gt;&lt;dates&gt;&lt;year&gt;2018&lt;/year&gt;&lt;/dates&gt;&lt;publisher&gt;IntechOpen&lt;/publisher&gt;&lt;urls&gt;&lt;related-urls&gt;&lt;url&gt;https://www.intechopen.com/chapters/58596&lt;/url&gt;&lt;/related-urls&gt;&lt;/urls&gt;&lt;electronic-resource-num&gt;10.5772/intechopen.72932&lt;/electronic-resource-num&gt;&lt;/record&gt;&lt;/Cite&gt;&lt;/EndNote&gt;</w:instrText>
      </w:r>
      <w:r w:rsidR="003073E9" w:rsidRPr="006F55C4">
        <w:rPr>
          <w:szCs w:val="24"/>
        </w:rPr>
        <w:fldChar w:fldCharType="separate"/>
      </w:r>
      <w:r w:rsidR="003073E9" w:rsidRPr="006F55C4">
        <w:rPr>
          <w:szCs w:val="24"/>
        </w:rPr>
        <w:t>(Jain, 2018)</w:t>
      </w:r>
      <w:r w:rsidR="003073E9" w:rsidRPr="006F55C4">
        <w:rPr>
          <w:szCs w:val="24"/>
        </w:rPr>
        <w:fldChar w:fldCharType="end"/>
      </w:r>
      <w:r w:rsidR="00176C51" w:rsidRPr="006F55C4">
        <w:rPr>
          <w:szCs w:val="24"/>
        </w:rPr>
        <w:t>.</w:t>
      </w:r>
    </w:p>
    <w:p w14:paraId="6C01FFD3" w14:textId="293B8102" w:rsidR="00F20C0E" w:rsidRPr="006F55C4" w:rsidRDefault="00F20C0E" w:rsidP="006F55C4">
      <w:pPr>
        <w:pStyle w:val="EndNoteBibliography"/>
        <w:spacing w:after="0" w:line="360" w:lineRule="auto"/>
        <w:ind w:left="720" w:hanging="720"/>
        <w:rPr>
          <w:szCs w:val="24"/>
        </w:rPr>
      </w:pPr>
    </w:p>
    <w:p w14:paraId="21ED5D68" w14:textId="5533BBF0" w:rsidR="00F20C0E" w:rsidRPr="006F55C4" w:rsidRDefault="00F20C0E" w:rsidP="006F55C4">
      <w:pPr>
        <w:pStyle w:val="EndNoteBibliography"/>
        <w:spacing w:after="0" w:line="360" w:lineRule="auto"/>
        <w:ind w:left="720" w:hanging="720"/>
        <w:rPr>
          <w:szCs w:val="24"/>
        </w:rPr>
      </w:pPr>
    </w:p>
    <w:p w14:paraId="3CBDBDA1" w14:textId="6368AE9A" w:rsidR="00707BD1" w:rsidRPr="006F55C4" w:rsidRDefault="00707BD1" w:rsidP="006F55C4">
      <w:pPr>
        <w:pStyle w:val="EndNoteBibliography"/>
        <w:spacing w:after="0" w:line="360" w:lineRule="auto"/>
        <w:rPr>
          <w:szCs w:val="24"/>
        </w:rPr>
      </w:pPr>
      <w:r w:rsidRPr="006F55C4">
        <w:rPr>
          <w:szCs w:val="24"/>
        </w:rPr>
        <w:t xml:space="preserve">The result intrepretation </w:t>
      </w:r>
      <w:bookmarkStart w:id="2" w:name="_Hlk178344189"/>
      <w:r w:rsidRPr="006F55C4">
        <w:rPr>
          <w:szCs w:val="24"/>
        </w:rPr>
        <w:t>of negative contol, positive control and patient sample</w:t>
      </w:r>
      <w:bookmarkEnd w:id="2"/>
      <w:r w:rsidRPr="006F55C4">
        <w:rPr>
          <w:szCs w:val="24"/>
        </w:rPr>
        <w:t xml:space="preserve"> was found as following:</w:t>
      </w:r>
    </w:p>
    <w:p w14:paraId="3D0140DF" w14:textId="77777777" w:rsidR="00707BD1" w:rsidRPr="006F55C4" w:rsidRDefault="00707BD1" w:rsidP="006F55C4">
      <w:pPr>
        <w:pStyle w:val="EndNoteBibliography"/>
        <w:spacing w:after="0" w:line="360" w:lineRule="auto"/>
        <w:ind w:left="720" w:hanging="720"/>
        <w:rPr>
          <w:szCs w:val="24"/>
        </w:rPr>
      </w:pPr>
    </w:p>
    <w:tbl>
      <w:tblPr>
        <w:tblStyle w:val="TableGrid"/>
        <w:tblW w:w="0" w:type="auto"/>
        <w:tblInd w:w="720" w:type="dxa"/>
        <w:tblLook w:val="04A0" w:firstRow="1" w:lastRow="0" w:firstColumn="1" w:lastColumn="0" w:noHBand="0" w:noVBand="1"/>
      </w:tblPr>
      <w:tblGrid>
        <w:gridCol w:w="2172"/>
        <w:gridCol w:w="2160"/>
        <w:gridCol w:w="2149"/>
        <w:gridCol w:w="2149"/>
      </w:tblGrid>
      <w:tr w:rsidR="00F33073" w:rsidRPr="006F55C4" w14:paraId="2B3B41DC" w14:textId="77777777" w:rsidTr="00443943">
        <w:tc>
          <w:tcPr>
            <w:tcW w:w="2172" w:type="dxa"/>
          </w:tcPr>
          <w:p w14:paraId="0B7F19B4" w14:textId="14846025" w:rsidR="00F33073" w:rsidRPr="006F55C4" w:rsidRDefault="00F33073" w:rsidP="006F55C4">
            <w:pPr>
              <w:pStyle w:val="EndNoteBibliography"/>
              <w:spacing w:line="360" w:lineRule="auto"/>
              <w:rPr>
                <w:szCs w:val="24"/>
              </w:rPr>
            </w:pPr>
            <w:r w:rsidRPr="006F55C4">
              <w:rPr>
                <w:szCs w:val="24"/>
              </w:rPr>
              <w:t xml:space="preserve">Sample </w:t>
            </w:r>
          </w:p>
        </w:tc>
        <w:tc>
          <w:tcPr>
            <w:tcW w:w="2160" w:type="dxa"/>
          </w:tcPr>
          <w:p w14:paraId="2609B4E8" w14:textId="734FB1CC" w:rsidR="00F33073" w:rsidRPr="006F55C4" w:rsidRDefault="00F33073" w:rsidP="006F55C4">
            <w:pPr>
              <w:pStyle w:val="EndNoteBibliography"/>
              <w:spacing w:line="360" w:lineRule="auto"/>
              <w:rPr>
                <w:szCs w:val="24"/>
              </w:rPr>
            </w:pPr>
            <w:r w:rsidRPr="006F55C4">
              <w:rPr>
                <w:szCs w:val="24"/>
              </w:rPr>
              <w:t>Negative control</w:t>
            </w:r>
          </w:p>
        </w:tc>
        <w:tc>
          <w:tcPr>
            <w:tcW w:w="2149" w:type="dxa"/>
          </w:tcPr>
          <w:p w14:paraId="5D6DE9B1" w14:textId="51CDD323" w:rsidR="00F33073" w:rsidRPr="006F55C4" w:rsidRDefault="00F33073" w:rsidP="006F55C4">
            <w:pPr>
              <w:pStyle w:val="EndNoteBibliography"/>
              <w:spacing w:line="360" w:lineRule="auto"/>
              <w:rPr>
                <w:szCs w:val="24"/>
              </w:rPr>
            </w:pPr>
            <w:r w:rsidRPr="006F55C4">
              <w:rPr>
                <w:szCs w:val="24"/>
              </w:rPr>
              <w:t>Positive control</w:t>
            </w:r>
          </w:p>
        </w:tc>
        <w:tc>
          <w:tcPr>
            <w:tcW w:w="2149" w:type="dxa"/>
          </w:tcPr>
          <w:p w14:paraId="5CAB1B18" w14:textId="15CE800E" w:rsidR="00F33073" w:rsidRPr="006F55C4" w:rsidRDefault="00F33073" w:rsidP="006F55C4">
            <w:pPr>
              <w:pStyle w:val="EndNoteBibliography"/>
              <w:spacing w:line="360" w:lineRule="auto"/>
              <w:rPr>
                <w:szCs w:val="24"/>
              </w:rPr>
            </w:pPr>
            <w:r w:rsidRPr="006F55C4">
              <w:rPr>
                <w:szCs w:val="24"/>
              </w:rPr>
              <w:t>Patient sample</w:t>
            </w:r>
          </w:p>
        </w:tc>
      </w:tr>
      <w:tr w:rsidR="00F33073" w:rsidRPr="006F55C4" w14:paraId="6727B604" w14:textId="77777777" w:rsidTr="00443943">
        <w:tc>
          <w:tcPr>
            <w:tcW w:w="2172" w:type="dxa"/>
          </w:tcPr>
          <w:p w14:paraId="1B5A5C1B" w14:textId="41A0B8BC" w:rsidR="00F33073" w:rsidRPr="006F55C4" w:rsidRDefault="006042A9" w:rsidP="006F55C4">
            <w:pPr>
              <w:pStyle w:val="EndNoteBibliography"/>
              <w:spacing w:line="360" w:lineRule="auto"/>
              <w:rPr>
                <w:szCs w:val="24"/>
              </w:rPr>
            </w:pPr>
            <w:r w:rsidRPr="006F55C4">
              <w:rPr>
                <w:szCs w:val="24"/>
              </w:rPr>
              <w:t xml:space="preserve">Tp antibody </w:t>
            </w:r>
          </w:p>
        </w:tc>
        <w:tc>
          <w:tcPr>
            <w:tcW w:w="2160" w:type="dxa"/>
          </w:tcPr>
          <w:p w14:paraId="748C40B6" w14:textId="530C1A0B" w:rsidR="00F33073" w:rsidRPr="006F55C4" w:rsidRDefault="0036670C" w:rsidP="006F55C4">
            <w:pPr>
              <w:pStyle w:val="EndNoteBibliography"/>
              <w:spacing w:line="360" w:lineRule="auto"/>
              <w:rPr>
                <w:szCs w:val="24"/>
              </w:rPr>
            </w:pPr>
            <w:r w:rsidRPr="006F55C4">
              <w:rPr>
                <w:szCs w:val="24"/>
              </w:rPr>
              <w:t>564</w:t>
            </w:r>
            <w:r w:rsidR="00C02C3E" w:rsidRPr="006F55C4">
              <w:rPr>
                <w:szCs w:val="24"/>
              </w:rPr>
              <w:t>.</w:t>
            </w:r>
            <w:r w:rsidR="00FE107A" w:rsidRPr="006F55C4">
              <w:rPr>
                <w:szCs w:val="24"/>
              </w:rPr>
              <w:t>282</w:t>
            </w:r>
          </w:p>
        </w:tc>
        <w:tc>
          <w:tcPr>
            <w:tcW w:w="2149" w:type="dxa"/>
          </w:tcPr>
          <w:p w14:paraId="439B7C34" w14:textId="1C67722B" w:rsidR="00F33073" w:rsidRPr="006F55C4" w:rsidRDefault="00FE107A" w:rsidP="006F55C4">
            <w:pPr>
              <w:pStyle w:val="EndNoteBibliography"/>
              <w:spacing w:line="360" w:lineRule="auto"/>
              <w:rPr>
                <w:szCs w:val="24"/>
              </w:rPr>
            </w:pPr>
            <w:r w:rsidRPr="006F55C4">
              <w:rPr>
                <w:szCs w:val="24"/>
              </w:rPr>
              <w:t>564.794</w:t>
            </w:r>
          </w:p>
        </w:tc>
        <w:tc>
          <w:tcPr>
            <w:tcW w:w="2149" w:type="dxa"/>
          </w:tcPr>
          <w:p w14:paraId="3EF8BAEC" w14:textId="7E531BE5" w:rsidR="00F33073" w:rsidRPr="006F55C4" w:rsidRDefault="00FE107A" w:rsidP="006F55C4">
            <w:pPr>
              <w:pStyle w:val="EndNoteBibliography"/>
              <w:spacing w:line="360" w:lineRule="auto"/>
              <w:rPr>
                <w:szCs w:val="24"/>
              </w:rPr>
            </w:pPr>
            <w:r w:rsidRPr="006F55C4">
              <w:rPr>
                <w:szCs w:val="24"/>
              </w:rPr>
              <w:t>572.743</w:t>
            </w:r>
          </w:p>
        </w:tc>
      </w:tr>
      <w:tr w:rsidR="00F33073" w:rsidRPr="006F55C4" w14:paraId="19E14F84" w14:textId="77777777" w:rsidTr="00443943">
        <w:tc>
          <w:tcPr>
            <w:tcW w:w="2172" w:type="dxa"/>
          </w:tcPr>
          <w:p w14:paraId="797E9FD3" w14:textId="171CBFC9" w:rsidR="00F33073" w:rsidRPr="006F55C4" w:rsidRDefault="006B325F" w:rsidP="006F55C4">
            <w:pPr>
              <w:pStyle w:val="EndNoteBibliography"/>
              <w:spacing w:line="360" w:lineRule="auto"/>
              <w:rPr>
                <w:szCs w:val="24"/>
              </w:rPr>
            </w:pPr>
            <w:r w:rsidRPr="006F55C4">
              <w:rPr>
                <w:szCs w:val="24"/>
              </w:rPr>
              <w:t xml:space="preserve">Diagnosis </w:t>
            </w:r>
          </w:p>
        </w:tc>
        <w:tc>
          <w:tcPr>
            <w:tcW w:w="2160" w:type="dxa"/>
          </w:tcPr>
          <w:p w14:paraId="09C662D5" w14:textId="6D14B345" w:rsidR="00F33073" w:rsidRPr="006F55C4" w:rsidRDefault="00531429" w:rsidP="006F55C4">
            <w:pPr>
              <w:pStyle w:val="EndNoteBibliography"/>
              <w:spacing w:line="360" w:lineRule="auto"/>
              <w:rPr>
                <w:szCs w:val="24"/>
              </w:rPr>
            </w:pPr>
            <w:r w:rsidRPr="006F55C4">
              <w:rPr>
                <w:szCs w:val="24"/>
              </w:rPr>
              <w:t>Positive result</w:t>
            </w:r>
          </w:p>
        </w:tc>
        <w:tc>
          <w:tcPr>
            <w:tcW w:w="2149" w:type="dxa"/>
          </w:tcPr>
          <w:p w14:paraId="1ACA3E8D" w14:textId="4E3ECA03" w:rsidR="00F33073" w:rsidRPr="006F55C4" w:rsidRDefault="00531429" w:rsidP="006F55C4">
            <w:pPr>
              <w:pStyle w:val="EndNoteBibliography"/>
              <w:spacing w:line="360" w:lineRule="auto"/>
              <w:rPr>
                <w:szCs w:val="24"/>
              </w:rPr>
            </w:pPr>
            <w:r w:rsidRPr="006F55C4">
              <w:rPr>
                <w:szCs w:val="24"/>
              </w:rPr>
              <w:t>Positive result</w:t>
            </w:r>
          </w:p>
        </w:tc>
        <w:tc>
          <w:tcPr>
            <w:tcW w:w="2149" w:type="dxa"/>
          </w:tcPr>
          <w:p w14:paraId="5BCE7166" w14:textId="59D8BF43" w:rsidR="00F33073" w:rsidRPr="006F55C4" w:rsidRDefault="00531429" w:rsidP="006F55C4">
            <w:pPr>
              <w:pStyle w:val="EndNoteBibliography"/>
              <w:spacing w:line="360" w:lineRule="auto"/>
              <w:rPr>
                <w:szCs w:val="24"/>
              </w:rPr>
            </w:pPr>
            <w:r w:rsidRPr="006F55C4">
              <w:rPr>
                <w:szCs w:val="24"/>
              </w:rPr>
              <w:t>Positive result</w:t>
            </w:r>
          </w:p>
        </w:tc>
      </w:tr>
    </w:tbl>
    <w:p w14:paraId="3157FAB6" w14:textId="36960C03" w:rsidR="008D66F6" w:rsidRPr="006F55C4" w:rsidRDefault="00443943" w:rsidP="006F55C4">
      <w:pPr>
        <w:pStyle w:val="EndNoteBibliography"/>
        <w:spacing w:after="0" w:line="360" w:lineRule="auto"/>
        <w:ind w:left="720" w:hanging="720"/>
        <w:rPr>
          <w:szCs w:val="24"/>
        </w:rPr>
      </w:pPr>
      <w:r w:rsidRPr="006F55C4">
        <w:rPr>
          <w:b/>
          <w:bCs/>
          <w:szCs w:val="24"/>
        </w:rPr>
        <w:t>Table 2:</w:t>
      </w:r>
      <w:r w:rsidRPr="006F55C4">
        <w:rPr>
          <w:szCs w:val="24"/>
        </w:rPr>
        <w:t xml:space="preserve"> Diagnostic Results of Negative Control, Positive Control, and Patient Samples</w:t>
      </w:r>
    </w:p>
    <w:p w14:paraId="35579200" w14:textId="77777777" w:rsidR="00443943" w:rsidRPr="006F55C4" w:rsidRDefault="00443943" w:rsidP="006F55C4">
      <w:pPr>
        <w:pStyle w:val="EndNoteBibliography"/>
        <w:spacing w:after="0" w:line="360" w:lineRule="auto"/>
        <w:ind w:left="720" w:hanging="720"/>
        <w:rPr>
          <w:szCs w:val="24"/>
        </w:rPr>
      </w:pPr>
    </w:p>
    <w:p w14:paraId="0F8A9F88" w14:textId="642EB47B" w:rsidR="0053222E" w:rsidRPr="006F55C4" w:rsidRDefault="0053222E" w:rsidP="006F55C4">
      <w:pPr>
        <w:pStyle w:val="EndNoteBibliography"/>
        <w:spacing w:after="0" w:line="360" w:lineRule="auto"/>
        <w:ind w:left="720" w:hanging="720"/>
        <w:rPr>
          <w:szCs w:val="24"/>
        </w:rPr>
      </w:pPr>
      <w:r w:rsidRPr="006F55C4">
        <w:rPr>
          <w:szCs w:val="24"/>
        </w:rPr>
        <w:t>The competitive ELISA faced several limitations, including potential non-linearity at</w:t>
      </w:r>
      <w:r w:rsidR="00721154" w:rsidRPr="006F55C4">
        <w:rPr>
          <w:szCs w:val="24"/>
        </w:rPr>
        <w:t xml:space="preserve"> </w:t>
      </w:r>
      <w:r w:rsidRPr="006F55C4">
        <w:rPr>
          <w:szCs w:val="24"/>
        </w:rPr>
        <w:t>antibody concentration</w:t>
      </w:r>
      <w:r w:rsidR="00721154" w:rsidRPr="006F55C4">
        <w:rPr>
          <w:szCs w:val="24"/>
        </w:rPr>
        <w:t>s</w:t>
      </w:r>
      <w:r w:rsidRPr="006F55C4">
        <w:rPr>
          <w:szCs w:val="24"/>
        </w:rPr>
        <w:t>, interference from other serum components, and fluctuations due to temperature variations. Moreover, the quality of reagents, inaccuracies in dilution, and instrument calibration issues could impact precision. Future improvements could involve validating the method over a wider concentration range, utilizing advanced technologies like multiplex assays, and enhancing quality control measures</w:t>
      </w:r>
      <w:r w:rsidR="00693348" w:rsidRPr="006F55C4">
        <w:rPr>
          <w:szCs w:val="24"/>
        </w:rPr>
        <w:t xml:space="preserve"> </w:t>
      </w:r>
      <w:r w:rsidR="00421A5D" w:rsidRPr="006F55C4">
        <w:rPr>
          <w:szCs w:val="24"/>
        </w:rPr>
        <w:fldChar w:fldCharType="begin"/>
      </w:r>
      <w:r w:rsidR="00E025B4" w:rsidRPr="006F55C4">
        <w:rPr>
          <w:szCs w:val="24"/>
        </w:rPr>
        <w:instrText xml:space="preserve"> ADDIN EN.CITE &lt;EndNote&gt;&lt;Cite&gt;&lt;Author&gt;Hosseini&lt;/Author&gt;&lt;Year&gt;2018&lt;/Year&gt;&lt;RecNum&gt;136&lt;/RecNum&gt;&lt;DisplayText&gt;(Hosseini et al., 2018b)&lt;/DisplayText&gt;&lt;record&gt;&lt;rec-number&gt;136&lt;/rec-number&gt;&lt;foreign-keys&gt;&lt;key app="EN" db-id="wetrfa00qae5s1erv2jpvssbpv29szexwx0z" timestamp="1727416379"&gt;136&lt;/key&gt;&lt;/foreign-keys&gt;&lt;ref-type name="Journal Article"&gt;17&lt;/ref-type&gt;&lt;contributors&gt;&lt;authors&gt;&lt;author&gt;Hosseini, Samira&lt;/author&gt;&lt;author&gt;Vázquez-Villegas, Patricia&lt;/author&gt;&lt;author&gt;Rito-Palomares, Marco&lt;/author&gt;&lt;author&gt;Martinez-Chapa, Sergio O&lt;/author&gt;&lt;author&gt;Hosseini, Samira&lt;/author&gt;&lt;author&gt;Vázquez-Villegas, Patricia&lt;/author&gt;&lt;author&gt;Rito-Palomares, Marco&lt;/author&gt;&lt;author&gt;Martinez-Chapa, Sergio O&lt;/author&gt;&lt;/authors&gt;&lt;/contributors&gt;&lt;titles&gt;&lt;title&gt;Advantages, disadvantages and modifications of conventional ELISA&lt;/title&gt;&lt;secondary-title&gt;Enzyme-Linked Immunosorbent Assay (ELISA) from A to Z&lt;/secondary-title&gt;&lt;/titles&gt;&lt;periodical&gt;&lt;full-title&gt;Enzyme-Linked Immunosorbent Assay (ELISA) from A to Z&lt;/full-title&gt;&lt;/periodical&gt;&lt;pages&gt;67-115&lt;/pages&gt;&lt;dates&gt;&lt;year&gt;2018&lt;/year&gt;&lt;/dates&gt;&lt;isbn&gt;9811067651&lt;/isbn&gt;&lt;urls&gt;&lt;/urls&gt;&lt;/record&gt;&lt;/Cite&gt;&lt;/EndNote&gt;</w:instrText>
      </w:r>
      <w:r w:rsidR="00421A5D" w:rsidRPr="006F55C4">
        <w:rPr>
          <w:szCs w:val="24"/>
        </w:rPr>
        <w:fldChar w:fldCharType="separate"/>
      </w:r>
      <w:r w:rsidR="00E025B4" w:rsidRPr="006F55C4">
        <w:rPr>
          <w:szCs w:val="24"/>
        </w:rPr>
        <w:t>(Hosseini et al., 2018b)</w:t>
      </w:r>
      <w:r w:rsidR="00421A5D" w:rsidRPr="006F55C4">
        <w:rPr>
          <w:szCs w:val="24"/>
        </w:rPr>
        <w:fldChar w:fldCharType="end"/>
      </w:r>
      <w:r w:rsidRPr="006F55C4">
        <w:rPr>
          <w:szCs w:val="24"/>
        </w:rPr>
        <w:t>.</w:t>
      </w:r>
    </w:p>
    <w:p w14:paraId="18C7210C" w14:textId="77777777" w:rsidR="005063BC" w:rsidRPr="006F55C4" w:rsidRDefault="005063BC" w:rsidP="006F55C4">
      <w:pPr>
        <w:pStyle w:val="EndNoteBibliography"/>
        <w:spacing w:after="0" w:line="360" w:lineRule="auto"/>
        <w:ind w:left="720" w:hanging="720"/>
        <w:rPr>
          <w:szCs w:val="24"/>
        </w:rPr>
      </w:pPr>
    </w:p>
    <w:p w14:paraId="6E4BE5DF" w14:textId="77777777" w:rsidR="005063BC" w:rsidRPr="006F55C4" w:rsidRDefault="005063BC" w:rsidP="006F55C4">
      <w:pPr>
        <w:pStyle w:val="EndNoteBibliography"/>
        <w:spacing w:after="0" w:line="360" w:lineRule="auto"/>
        <w:ind w:left="720" w:hanging="720"/>
        <w:rPr>
          <w:szCs w:val="24"/>
        </w:rPr>
      </w:pPr>
      <w:r w:rsidRPr="006F55C4">
        <w:rPr>
          <w:szCs w:val="24"/>
        </w:rPr>
        <w:t>Enzyme-Linked Immunosorbent Assay (ELISA) has diverse applications across industries:</w:t>
      </w:r>
    </w:p>
    <w:p w14:paraId="6911507F" w14:textId="77777777" w:rsidR="005063BC" w:rsidRPr="006F55C4" w:rsidRDefault="005063BC" w:rsidP="006F55C4">
      <w:pPr>
        <w:pStyle w:val="EndNoteBibliography"/>
        <w:spacing w:after="0" w:line="360" w:lineRule="auto"/>
        <w:ind w:left="720" w:hanging="720"/>
        <w:rPr>
          <w:szCs w:val="24"/>
        </w:rPr>
      </w:pPr>
    </w:p>
    <w:p w14:paraId="5B731C0A" w14:textId="17711A79" w:rsidR="005063BC" w:rsidRPr="006F55C4" w:rsidRDefault="005063BC" w:rsidP="006F55C4">
      <w:pPr>
        <w:pStyle w:val="EndNoteBibliography"/>
        <w:spacing w:after="0" w:line="360" w:lineRule="auto"/>
        <w:ind w:left="720" w:hanging="720"/>
        <w:rPr>
          <w:szCs w:val="24"/>
        </w:rPr>
      </w:pPr>
      <w:r w:rsidRPr="006F55C4">
        <w:rPr>
          <w:szCs w:val="24"/>
        </w:rPr>
        <w:t>-Pharmaceutical Sector: ELISA is crucial for drug development and quality assurance, allowing precise quantification of therapeutic proteins, hormones, and antibodies in formulations.</w:t>
      </w:r>
    </w:p>
    <w:p w14:paraId="6A079175" w14:textId="77777777" w:rsidR="005063BC" w:rsidRPr="006F55C4" w:rsidRDefault="005063BC" w:rsidP="006F55C4">
      <w:pPr>
        <w:pStyle w:val="EndNoteBibliography"/>
        <w:spacing w:after="0" w:line="360" w:lineRule="auto"/>
        <w:ind w:left="720" w:hanging="720"/>
        <w:rPr>
          <w:szCs w:val="24"/>
        </w:rPr>
      </w:pPr>
    </w:p>
    <w:p w14:paraId="23326AA1" w14:textId="57281B9A" w:rsidR="008D66F6" w:rsidRPr="006F55C4" w:rsidRDefault="005063BC" w:rsidP="006F55C4">
      <w:pPr>
        <w:pStyle w:val="EndNoteBibliography"/>
        <w:spacing w:after="0" w:line="360" w:lineRule="auto"/>
        <w:ind w:left="720" w:hanging="720"/>
        <w:rPr>
          <w:szCs w:val="24"/>
        </w:rPr>
      </w:pPr>
      <w:r w:rsidRPr="006F55C4">
        <w:rPr>
          <w:szCs w:val="24"/>
        </w:rPr>
        <w:t>-Food and Beverage Industry: It plays a vital role in food safety and regulatory compliance by detecting allergens, harmful microorganisms, and contaminants, such as gluten and peanuts, which pose risks to consumers</w:t>
      </w:r>
      <w:r w:rsidR="00E025B4" w:rsidRPr="006F55C4">
        <w:rPr>
          <w:szCs w:val="24"/>
        </w:rPr>
        <w:t xml:space="preserve"> </w:t>
      </w:r>
      <w:r w:rsidR="00E025B4" w:rsidRPr="006F55C4">
        <w:rPr>
          <w:szCs w:val="24"/>
        </w:rPr>
        <w:fldChar w:fldCharType="begin"/>
      </w:r>
      <w:r w:rsidR="00E025B4" w:rsidRPr="006F55C4">
        <w:rPr>
          <w:szCs w:val="24"/>
        </w:rPr>
        <w:instrText xml:space="preserve"> ADDIN EN.CITE &lt;EndNote&gt;&lt;Cite&gt;&lt;Author&gt;Hosseini&lt;/Author&gt;&lt;Year&gt;2018&lt;/Year&gt;&lt;RecNum&gt;139&lt;/RecNum&gt;&lt;DisplayText&gt;(Hosseini et al., 2018a)&lt;/DisplayText&gt;&lt;record&gt;&lt;rec-number&gt;139&lt;/rec-number&gt;&lt;foreign-keys&gt;&lt;key app="EN" db-id="wetrfa00qae5s1erv2jpvssbpv29szexwx0z" timestamp="1727437460"&gt;139&lt;/key&gt;&lt;/foreign-keys&gt;&lt;ref-type name="Book Section"&gt;5&lt;/ref-type&gt;&lt;contributors&gt;&lt;authors&gt;&lt;author&gt;Hosseini, Samira&lt;/author&gt;&lt;author&gt;Vázquez-Villegas, Patricia&lt;/author&gt;&lt;author&gt;Rito-Palomares, Marco&lt;/author&gt;&lt;author&gt;Martinez-Chapa, Sergio O.&lt;/author&gt;&lt;/authors&gt;&lt;/contributors&gt;&lt;titles&gt;&lt;title&gt;General Overviews on Applications of ELISA&lt;/title&gt;&lt;secondary-title&gt;Enzyme-linked Immunosorbent Assay (ELISA): From A to Z&lt;/secondary-title&gt;&lt;/titles&gt;&lt;pages&gt;19-29&lt;/pages&gt;&lt;dates&gt;&lt;year&gt;2018&lt;/year&gt;&lt;/dates&gt;&lt;pub-location&gt;Singapore&lt;/pub-location&gt;&lt;publisher&gt;Springer Singapore&lt;/publisher&gt;&lt;isbn&gt;978-981-10-6766-2&lt;/isbn&gt;&lt;label&gt;Hosseini2018&lt;/label&gt;&lt;urls&gt;&lt;related-urls&gt;&lt;url&gt;https://doi.org/10.1007/978-981-10-6766-2_2&lt;/url&gt;&lt;/related-urls&gt;&lt;/urls&gt;&lt;electronic-resource-num&gt;10.1007/978-981-10-6766-2_2&lt;/electronic-resource-num&gt;&lt;/record&gt;&lt;/Cite&gt;&lt;/EndNote&gt;</w:instrText>
      </w:r>
      <w:r w:rsidR="00E025B4" w:rsidRPr="006F55C4">
        <w:rPr>
          <w:szCs w:val="24"/>
        </w:rPr>
        <w:fldChar w:fldCharType="separate"/>
      </w:r>
      <w:r w:rsidR="00E025B4" w:rsidRPr="006F55C4">
        <w:rPr>
          <w:szCs w:val="24"/>
        </w:rPr>
        <w:t>(Hosseini et al., 2018a)</w:t>
      </w:r>
      <w:r w:rsidR="00E025B4" w:rsidRPr="006F55C4">
        <w:rPr>
          <w:szCs w:val="24"/>
        </w:rPr>
        <w:fldChar w:fldCharType="end"/>
      </w:r>
      <w:r w:rsidRPr="006F55C4">
        <w:rPr>
          <w:szCs w:val="24"/>
        </w:rPr>
        <w:t>.</w:t>
      </w:r>
    </w:p>
    <w:p w14:paraId="61FA9C89" w14:textId="086B7830" w:rsidR="008D66F6" w:rsidRPr="006F55C4" w:rsidRDefault="008D66F6" w:rsidP="006F55C4">
      <w:pPr>
        <w:pStyle w:val="EndNoteBibliography"/>
        <w:spacing w:after="0" w:line="360" w:lineRule="auto"/>
        <w:ind w:left="720" w:hanging="720"/>
        <w:rPr>
          <w:szCs w:val="24"/>
        </w:rPr>
      </w:pPr>
    </w:p>
    <w:p w14:paraId="1DEE6CA8" w14:textId="1B71D4F7" w:rsidR="00C36997" w:rsidRPr="006F55C4" w:rsidRDefault="00C36997" w:rsidP="006F55C4">
      <w:pPr>
        <w:pStyle w:val="EndNoteBibliography"/>
        <w:spacing w:after="0" w:line="360" w:lineRule="auto"/>
        <w:ind w:left="720" w:hanging="720"/>
        <w:rPr>
          <w:szCs w:val="24"/>
        </w:rPr>
      </w:pPr>
      <w:r w:rsidRPr="006F55C4">
        <w:rPr>
          <w:szCs w:val="24"/>
        </w:rPr>
        <w:t>Conclusion:</w:t>
      </w:r>
    </w:p>
    <w:p w14:paraId="448089FA" w14:textId="0FEAEAE3" w:rsidR="008D66F6" w:rsidRPr="006F55C4" w:rsidRDefault="00C36997" w:rsidP="006F55C4">
      <w:pPr>
        <w:pStyle w:val="EndNoteBibliography"/>
        <w:spacing w:after="0" w:line="360" w:lineRule="auto"/>
        <w:ind w:left="720" w:hanging="720"/>
        <w:rPr>
          <w:szCs w:val="24"/>
        </w:rPr>
      </w:pPr>
      <w:r w:rsidRPr="006F55C4">
        <w:rPr>
          <w:szCs w:val="24"/>
        </w:rPr>
        <w:t>In this experiment, t</w:t>
      </w:r>
      <w:r w:rsidRPr="006F55C4">
        <w:rPr>
          <w:szCs w:val="24"/>
        </w:rPr>
        <w:t>he Competitive Enzyme-Linked Immunosorbent Assay (cELISA)</w:t>
      </w:r>
      <w:r w:rsidRPr="006F55C4">
        <w:rPr>
          <w:szCs w:val="24"/>
        </w:rPr>
        <w:t xml:space="preserve"> used </w:t>
      </w:r>
      <w:r w:rsidRPr="006F55C4">
        <w:rPr>
          <w:szCs w:val="24"/>
        </w:rPr>
        <w:t xml:space="preserve"> </w:t>
      </w:r>
      <w:r w:rsidR="00183CFB" w:rsidRPr="006F55C4">
        <w:rPr>
          <w:szCs w:val="24"/>
        </w:rPr>
        <w:t>successfully</w:t>
      </w:r>
      <w:r w:rsidRPr="006F55C4">
        <w:rPr>
          <w:szCs w:val="24"/>
        </w:rPr>
        <w:t xml:space="preserve"> quantified </w:t>
      </w:r>
      <w:r w:rsidRPr="006F55C4">
        <w:rPr>
          <w:i/>
          <w:iCs/>
          <w:szCs w:val="24"/>
        </w:rPr>
        <w:t xml:space="preserve">Treponema pallidum </w:t>
      </w:r>
      <w:r w:rsidRPr="006F55C4">
        <w:rPr>
          <w:szCs w:val="24"/>
        </w:rPr>
        <w:t xml:space="preserve">antibody levels in serum from patients with clinical signs of syphilis, revealing a strong correlation between absorbance and antibody concentration (R² = 0.9749). This supports its diagnostic reliability, as consistent results were obtained in both controls and patient samples. However, some limitations, such as non-linearity at elevated concentrations and serum component interference, were noted, suggesting that future research should focus on validating the method over a broader range and exploring multiplex assays. </w:t>
      </w:r>
    </w:p>
    <w:p w14:paraId="5AF033F6" w14:textId="4C063C42" w:rsidR="008D66F6" w:rsidRPr="006F55C4" w:rsidRDefault="008D66F6" w:rsidP="006F55C4">
      <w:pPr>
        <w:pStyle w:val="EndNoteBibliography"/>
        <w:spacing w:after="0" w:line="360" w:lineRule="auto"/>
        <w:ind w:left="720" w:hanging="720"/>
        <w:rPr>
          <w:b/>
          <w:bCs/>
          <w:szCs w:val="24"/>
        </w:rPr>
      </w:pPr>
    </w:p>
    <w:p w14:paraId="762835F0" w14:textId="11A0E7D1" w:rsidR="008D66F6" w:rsidRPr="006F55C4" w:rsidRDefault="00421A5D" w:rsidP="006F55C4">
      <w:pPr>
        <w:pStyle w:val="EndNoteBibliography"/>
        <w:spacing w:after="0" w:line="360" w:lineRule="auto"/>
        <w:rPr>
          <w:b/>
          <w:bCs/>
          <w:szCs w:val="24"/>
        </w:rPr>
      </w:pPr>
      <w:r w:rsidRPr="006F55C4">
        <w:rPr>
          <w:b/>
          <w:bCs/>
          <w:szCs w:val="24"/>
        </w:rPr>
        <w:t>Appendices:</w:t>
      </w:r>
    </w:p>
    <w:p w14:paraId="64EA02D5" w14:textId="007B9148" w:rsidR="00421A5D" w:rsidRPr="006F55C4" w:rsidRDefault="00421A5D" w:rsidP="006F55C4">
      <w:pPr>
        <w:pStyle w:val="EndNoteBibliography"/>
        <w:spacing w:after="0" w:line="360" w:lineRule="auto"/>
        <w:ind w:left="720" w:hanging="720"/>
        <w:rPr>
          <w:szCs w:val="24"/>
        </w:rPr>
      </w:pPr>
    </w:p>
    <w:p w14:paraId="79E124B0" w14:textId="77777777" w:rsidR="00172176" w:rsidRPr="006F55C4" w:rsidRDefault="00421A5D" w:rsidP="006F55C4">
      <w:pPr>
        <w:spacing w:line="360" w:lineRule="auto"/>
        <w:rPr>
          <w:rFonts w:cs="Times New Roman"/>
          <w:szCs w:val="24"/>
        </w:rPr>
      </w:pPr>
      <w:r w:rsidRPr="006F55C4">
        <w:rPr>
          <w:rFonts w:cs="Times New Roman"/>
          <w:szCs w:val="24"/>
        </w:rPr>
        <w:t>ELISA plate format</w:t>
      </w:r>
    </w:p>
    <w:p w14:paraId="78ACC673" w14:textId="48262187" w:rsidR="00421A5D" w:rsidRPr="006F55C4" w:rsidRDefault="00421A5D" w:rsidP="006F55C4">
      <w:pPr>
        <w:spacing w:line="360" w:lineRule="auto"/>
        <w:rPr>
          <w:rFonts w:cs="Times New Roman"/>
          <w:szCs w:val="24"/>
        </w:rPr>
      </w:pPr>
      <w:r w:rsidRPr="006F55C4">
        <w:rPr>
          <w:rFonts w:cs="Times New Roman"/>
          <w:noProof/>
          <w:szCs w:val="24"/>
        </w:rPr>
        <w:drawing>
          <wp:inline distT="0" distB="0" distL="0" distR="0" wp14:anchorId="26F95EB0" wp14:editId="47B25B35">
            <wp:extent cx="4447335"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59560" cy="3005439"/>
                    </a:xfrm>
                    <a:prstGeom prst="rect">
                      <a:avLst/>
                    </a:prstGeom>
                  </pic:spPr>
                </pic:pic>
              </a:graphicData>
            </a:graphic>
          </wp:inline>
        </w:drawing>
      </w:r>
    </w:p>
    <w:p w14:paraId="17462603" w14:textId="77777777" w:rsidR="00421A5D" w:rsidRPr="006F55C4" w:rsidRDefault="00421A5D" w:rsidP="006F55C4">
      <w:pPr>
        <w:spacing w:line="360" w:lineRule="auto"/>
        <w:rPr>
          <w:rFonts w:cs="Times New Roman"/>
          <w:szCs w:val="24"/>
        </w:rPr>
      </w:pPr>
    </w:p>
    <w:p w14:paraId="792CFADB" w14:textId="77777777" w:rsidR="00421A5D" w:rsidRPr="006F55C4" w:rsidRDefault="00421A5D" w:rsidP="006F55C4">
      <w:pPr>
        <w:spacing w:line="360" w:lineRule="auto"/>
        <w:rPr>
          <w:rFonts w:cs="Times New Roman"/>
          <w:szCs w:val="24"/>
        </w:rPr>
      </w:pPr>
      <w:r w:rsidRPr="006F55C4">
        <w:rPr>
          <w:rFonts w:cs="Times New Roman"/>
          <w:b/>
          <w:bCs/>
          <w:szCs w:val="24"/>
        </w:rPr>
        <w:t>Fig 1:</w:t>
      </w:r>
      <w:r w:rsidRPr="006F55C4">
        <w:rPr>
          <w:rFonts w:cs="Times New Roman"/>
          <w:szCs w:val="24"/>
        </w:rPr>
        <w:t xml:space="preserve"> ELISA plate format.</w:t>
      </w:r>
    </w:p>
    <w:p w14:paraId="4DA0A57C" w14:textId="4D4967C7" w:rsidR="00421A5D" w:rsidRPr="006F55C4" w:rsidRDefault="00421A5D" w:rsidP="006F55C4">
      <w:pPr>
        <w:spacing w:line="360" w:lineRule="auto"/>
        <w:rPr>
          <w:rFonts w:cs="Times New Roman"/>
          <w:szCs w:val="24"/>
        </w:rPr>
      </w:pPr>
      <w:r w:rsidRPr="006F55C4">
        <w:rPr>
          <w:rFonts w:cs="Times New Roman"/>
          <w:szCs w:val="24"/>
        </w:rPr>
        <w:t>(</w:t>
      </w:r>
      <w:hyperlink r:id="rId8" w:history="1">
        <w:r w:rsidRPr="006F55C4">
          <w:rPr>
            <w:rStyle w:val="Hyperlink"/>
            <w:rFonts w:cs="Times New Roman"/>
            <w:szCs w:val="24"/>
          </w:rPr>
          <w:t>https://d2l.deakin.edu.au/d2l/le/content/1481543/viewContent/7587132/View</w:t>
        </w:r>
      </w:hyperlink>
      <w:r w:rsidRPr="006F55C4">
        <w:rPr>
          <w:rFonts w:cs="Times New Roman"/>
          <w:szCs w:val="24"/>
        </w:rPr>
        <w:t>)</w:t>
      </w:r>
    </w:p>
    <w:p w14:paraId="141F103E" w14:textId="06BED0ED" w:rsidR="00172176" w:rsidRPr="006F55C4" w:rsidRDefault="00172176" w:rsidP="006F55C4">
      <w:pPr>
        <w:spacing w:line="360" w:lineRule="auto"/>
        <w:rPr>
          <w:rFonts w:cs="Times New Roman"/>
          <w:szCs w:val="24"/>
        </w:rPr>
      </w:pPr>
    </w:p>
    <w:p w14:paraId="6161C2A0" w14:textId="11A810E5" w:rsidR="00172176" w:rsidRPr="006F55C4" w:rsidRDefault="00172176" w:rsidP="006F55C4">
      <w:pPr>
        <w:spacing w:line="360" w:lineRule="auto"/>
        <w:rPr>
          <w:rFonts w:cs="Times New Roman"/>
          <w:b/>
          <w:bCs/>
          <w:szCs w:val="24"/>
        </w:rPr>
      </w:pPr>
      <w:r w:rsidRPr="006F55C4">
        <w:rPr>
          <w:rFonts w:cs="Times New Roman"/>
          <w:b/>
          <w:bCs/>
          <w:szCs w:val="24"/>
        </w:rPr>
        <w:t>Calculations:</w:t>
      </w:r>
    </w:p>
    <w:p w14:paraId="779CE66C" w14:textId="3DFAD2AA" w:rsidR="009939E8" w:rsidRPr="006F55C4" w:rsidRDefault="009939E8" w:rsidP="006F55C4">
      <w:pPr>
        <w:spacing w:line="360" w:lineRule="auto"/>
        <w:rPr>
          <w:rFonts w:cs="Times New Roman"/>
          <w:b/>
          <w:bCs/>
          <w:szCs w:val="24"/>
        </w:rPr>
      </w:pPr>
      <w:r w:rsidRPr="006F55C4">
        <w:rPr>
          <w:rFonts w:cs="Times New Roman"/>
          <w:b/>
          <w:bCs/>
          <w:szCs w:val="24"/>
        </w:rPr>
        <w:t>#Calculations of Average</w:t>
      </w:r>
    </w:p>
    <w:p w14:paraId="63825086" w14:textId="5A70A9CF" w:rsidR="00F74B8A" w:rsidRPr="006F55C4" w:rsidRDefault="0002279E" w:rsidP="006F55C4">
      <w:pPr>
        <w:spacing w:line="360" w:lineRule="auto"/>
        <w:rPr>
          <w:rFonts w:cs="Times New Roman"/>
          <w:szCs w:val="24"/>
        </w:rPr>
      </w:pPr>
      <w:r w:rsidRPr="006F55C4">
        <w:rPr>
          <w:rFonts w:cs="Times New Roman"/>
          <w:szCs w:val="24"/>
        </w:rPr>
        <w:t>Absorbance</w:t>
      </w:r>
      <w:r w:rsidR="00AF1374" w:rsidRPr="006F55C4">
        <w:rPr>
          <w:rFonts w:cs="Times New Roman"/>
          <w:szCs w:val="24"/>
        </w:rPr>
        <w:t xml:space="preserve"> from the bla</w:t>
      </w:r>
      <w:r w:rsidR="00F74B8A" w:rsidRPr="006F55C4">
        <w:rPr>
          <w:rFonts w:cs="Times New Roman"/>
          <w:szCs w:val="24"/>
        </w:rPr>
        <w:t>nk:</w:t>
      </w:r>
    </w:p>
    <w:p w14:paraId="6C732C1B" w14:textId="2E98BB46" w:rsidR="00F74B8A" w:rsidRPr="006F55C4" w:rsidRDefault="00F74B8A" w:rsidP="006F55C4">
      <w:pPr>
        <w:spacing w:line="360" w:lineRule="auto"/>
        <w:rPr>
          <w:rFonts w:cs="Times New Roman"/>
          <w:szCs w:val="24"/>
        </w:rPr>
      </w:pPr>
      <w:r w:rsidRPr="006F55C4">
        <w:rPr>
          <w:rFonts w:cs="Times New Roman"/>
          <w:szCs w:val="24"/>
        </w:rPr>
        <w:t>-0.003, -0.003, 0.007, 0.021, 0.009, -0.028, -0.026, 0.026</w:t>
      </w:r>
    </w:p>
    <w:p w14:paraId="3671E3C9" w14:textId="3111B468" w:rsidR="00815B39" w:rsidRPr="006F55C4" w:rsidRDefault="00815B39" w:rsidP="006F55C4">
      <w:pPr>
        <w:spacing w:line="360" w:lineRule="auto"/>
        <w:rPr>
          <w:rFonts w:eastAsiaTheme="minorEastAsia" w:cs="Times New Roman"/>
          <w:szCs w:val="24"/>
        </w:rPr>
      </w:pPr>
      <w:proofErr w:type="spellStart"/>
      <w:r w:rsidRPr="006F55C4">
        <w:rPr>
          <w:rFonts w:cs="Times New Roman"/>
          <w:szCs w:val="24"/>
        </w:rPr>
        <w:t>Avearge</w:t>
      </w:r>
      <w:proofErr w:type="spellEnd"/>
      <w:r w:rsidRPr="006F55C4">
        <w:rPr>
          <w:rFonts w:cs="Times New Roman"/>
          <w:szCs w:val="24"/>
        </w:rPr>
        <w:t xml:space="preserve"> of blank= </w:t>
      </w:r>
      <m:oMath>
        <m:f>
          <m:fPr>
            <m:ctrlPr>
              <w:rPr>
                <w:rFonts w:ascii="Cambria Math" w:hAnsi="Cambria Math" w:cs="Times New Roman"/>
                <w:i/>
                <w:szCs w:val="24"/>
              </w:rPr>
            </m:ctrlPr>
          </m:fPr>
          <m:num>
            <m:r>
              <m:rPr>
                <m:sty m:val="p"/>
              </m:rPr>
              <w:rPr>
                <w:rFonts w:ascii="Cambria Math" w:hAnsi="Cambria Math" w:cs="Times New Roman"/>
                <w:szCs w:val="24"/>
              </w:rPr>
              <m:t>-0.003-0.003+0.007+0.021+0.009-0.028-0.026+0.026</m:t>
            </m:r>
          </m:num>
          <m:den>
            <m:r>
              <w:rPr>
                <w:rFonts w:ascii="Cambria Math" w:hAnsi="Cambria Math" w:cs="Times New Roman"/>
                <w:szCs w:val="24"/>
              </w:rPr>
              <m:t>8</m:t>
            </m:r>
          </m:den>
        </m:f>
      </m:oMath>
      <w:r w:rsidR="00941D35" w:rsidRPr="006F55C4">
        <w:rPr>
          <w:rFonts w:eastAsiaTheme="minorEastAsia" w:cs="Times New Roman"/>
          <w:szCs w:val="24"/>
        </w:rPr>
        <w:t xml:space="preserve"> = </w:t>
      </w:r>
      <w:r w:rsidR="006D766A" w:rsidRPr="006F55C4">
        <w:rPr>
          <w:rFonts w:eastAsiaTheme="minorEastAsia" w:cs="Times New Roman"/>
          <w:szCs w:val="24"/>
        </w:rPr>
        <w:t>0.007625</w:t>
      </w:r>
    </w:p>
    <w:p w14:paraId="0F42CB75" w14:textId="1083FA89" w:rsidR="00716236" w:rsidRPr="006F55C4" w:rsidRDefault="00716236" w:rsidP="006F55C4">
      <w:pPr>
        <w:spacing w:line="360" w:lineRule="auto"/>
        <w:rPr>
          <w:rFonts w:eastAsiaTheme="minorEastAsia" w:cs="Times New Roman"/>
          <w:szCs w:val="24"/>
        </w:rPr>
      </w:pPr>
    </w:p>
    <w:p w14:paraId="322F01A2" w14:textId="2F2F532D" w:rsidR="00716236" w:rsidRPr="006F55C4" w:rsidRDefault="00716236" w:rsidP="006F55C4">
      <w:pPr>
        <w:spacing w:line="360" w:lineRule="auto"/>
        <w:rPr>
          <w:rFonts w:eastAsiaTheme="minorEastAsia" w:cs="Times New Roman"/>
          <w:szCs w:val="24"/>
        </w:rPr>
      </w:pPr>
      <w:r w:rsidRPr="006F55C4">
        <w:rPr>
          <w:rFonts w:eastAsiaTheme="minorEastAsia" w:cs="Times New Roman"/>
          <w:szCs w:val="24"/>
        </w:rPr>
        <w:t>Absorbance of standard 1:</w:t>
      </w:r>
    </w:p>
    <w:p w14:paraId="424819C5" w14:textId="63621F26" w:rsidR="00716236" w:rsidRPr="006F55C4" w:rsidRDefault="00D517D4" w:rsidP="006F55C4">
      <w:pPr>
        <w:spacing w:line="360" w:lineRule="auto"/>
        <w:rPr>
          <w:rFonts w:eastAsiaTheme="minorEastAsia" w:cs="Times New Roman"/>
          <w:szCs w:val="24"/>
        </w:rPr>
      </w:pPr>
      <w:r w:rsidRPr="006F55C4">
        <w:rPr>
          <w:rFonts w:eastAsiaTheme="minorEastAsia" w:cs="Times New Roman"/>
          <w:szCs w:val="24"/>
        </w:rPr>
        <w:t>3.097, 3.0122, 3.137, 3.</w:t>
      </w:r>
      <w:r w:rsidR="008454C4" w:rsidRPr="006F55C4">
        <w:rPr>
          <w:rFonts w:eastAsiaTheme="minorEastAsia" w:cs="Times New Roman"/>
          <w:szCs w:val="24"/>
        </w:rPr>
        <w:t>127</w:t>
      </w:r>
    </w:p>
    <w:p w14:paraId="15011896" w14:textId="4CF763AE" w:rsidR="008454C4" w:rsidRPr="006F55C4" w:rsidRDefault="008454C4" w:rsidP="006F55C4">
      <w:pPr>
        <w:spacing w:line="360" w:lineRule="auto"/>
        <w:rPr>
          <w:rFonts w:eastAsiaTheme="minorEastAsia" w:cs="Times New Roman"/>
          <w:szCs w:val="24"/>
          <w:vertAlign w:val="subscript"/>
        </w:rPr>
      </w:pPr>
      <w:r w:rsidRPr="006F55C4">
        <w:rPr>
          <w:rFonts w:eastAsiaTheme="minorEastAsia" w:cs="Times New Roman"/>
          <w:szCs w:val="24"/>
        </w:rPr>
        <w:t xml:space="preserve">Average of standard 1=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3.097+3.0122+3.137+3.127</m:t>
            </m:r>
          </m:num>
          <m:den>
            <m:r>
              <w:rPr>
                <w:rFonts w:ascii="Cambria Math" w:eastAsiaTheme="minorEastAsia" w:hAnsi="Cambria Math" w:cs="Times New Roman"/>
                <w:szCs w:val="24"/>
              </w:rPr>
              <m:t>4</m:t>
            </m:r>
          </m:den>
        </m:f>
      </m:oMath>
      <w:r w:rsidR="00EF05D6" w:rsidRPr="006F55C4">
        <w:rPr>
          <w:rFonts w:eastAsiaTheme="minorEastAsia" w:cs="Times New Roman"/>
          <w:szCs w:val="24"/>
          <w:vertAlign w:val="subscript"/>
        </w:rPr>
        <w:t xml:space="preserve"> </w:t>
      </w:r>
      <w:r w:rsidR="00EF05D6" w:rsidRPr="006F55C4">
        <w:rPr>
          <w:rFonts w:eastAsiaTheme="minorEastAsia" w:cs="Times New Roman"/>
          <w:szCs w:val="24"/>
        </w:rPr>
        <w:t>= 3.0933</w:t>
      </w:r>
    </w:p>
    <w:p w14:paraId="49B7EB78" w14:textId="2FD12B98" w:rsidR="00EF05D6" w:rsidRPr="006F55C4" w:rsidRDefault="00EF05D6" w:rsidP="006F55C4">
      <w:pPr>
        <w:spacing w:line="360" w:lineRule="auto"/>
        <w:rPr>
          <w:rFonts w:eastAsiaTheme="minorEastAsia" w:cs="Times New Roman"/>
          <w:szCs w:val="24"/>
          <w:vertAlign w:val="subscript"/>
        </w:rPr>
      </w:pPr>
    </w:p>
    <w:p w14:paraId="027A5335" w14:textId="4596AB2E" w:rsidR="00F53A8D" w:rsidRPr="006F55C4" w:rsidRDefault="00F53A8D" w:rsidP="006F55C4">
      <w:pPr>
        <w:spacing w:line="360" w:lineRule="auto"/>
        <w:rPr>
          <w:rFonts w:eastAsiaTheme="minorEastAsia" w:cs="Times New Roman"/>
          <w:szCs w:val="24"/>
        </w:rPr>
      </w:pPr>
      <w:r w:rsidRPr="006F55C4">
        <w:rPr>
          <w:rFonts w:eastAsiaTheme="minorEastAsia" w:cs="Times New Roman"/>
          <w:szCs w:val="24"/>
        </w:rPr>
        <w:t>Absorbance of standard 2:</w:t>
      </w:r>
    </w:p>
    <w:p w14:paraId="06822743" w14:textId="1EA97B91" w:rsidR="00EF05D6" w:rsidRPr="006F55C4" w:rsidRDefault="00E30B28" w:rsidP="006F55C4">
      <w:pPr>
        <w:spacing w:line="360" w:lineRule="auto"/>
        <w:rPr>
          <w:rFonts w:eastAsiaTheme="minorEastAsia" w:cs="Times New Roman"/>
          <w:szCs w:val="24"/>
        </w:rPr>
      </w:pPr>
      <w:r w:rsidRPr="006F55C4">
        <w:rPr>
          <w:rFonts w:eastAsiaTheme="minorEastAsia" w:cs="Times New Roman"/>
          <w:szCs w:val="24"/>
        </w:rPr>
        <w:t>3.020, 3.064, 3.007, 2.988</w:t>
      </w:r>
    </w:p>
    <w:p w14:paraId="1E322BD8" w14:textId="0AA6443D" w:rsidR="00E30B28" w:rsidRPr="006F55C4" w:rsidRDefault="00E30B28" w:rsidP="006F55C4">
      <w:pPr>
        <w:spacing w:line="360" w:lineRule="auto"/>
        <w:rPr>
          <w:rFonts w:eastAsiaTheme="minorEastAsia" w:cs="Times New Roman"/>
          <w:szCs w:val="24"/>
        </w:rPr>
      </w:pPr>
      <w:r w:rsidRPr="006F55C4">
        <w:rPr>
          <w:rFonts w:eastAsiaTheme="minorEastAsia" w:cs="Times New Roman"/>
          <w:szCs w:val="24"/>
        </w:rPr>
        <w:t xml:space="preserve">Absorbance of standard 2=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3.020+3.064+3.007+2.988</m:t>
            </m:r>
          </m:num>
          <m:den>
            <m:r>
              <w:rPr>
                <w:rFonts w:ascii="Cambria Math" w:eastAsiaTheme="minorEastAsia" w:hAnsi="Cambria Math" w:cs="Times New Roman"/>
                <w:szCs w:val="24"/>
              </w:rPr>
              <m:t>4</m:t>
            </m:r>
          </m:den>
        </m:f>
      </m:oMath>
      <w:r w:rsidRPr="006F55C4">
        <w:rPr>
          <w:rFonts w:eastAsiaTheme="minorEastAsia" w:cs="Times New Roman"/>
          <w:szCs w:val="24"/>
        </w:rPr>
        <w:t xml:space="preserve"> = </w:t>
      </w:r>
      <w:r w:rsidR="000C2191" w:rsidRPr="006F55C4">
        <w:rPr>
          <w:rFonts w:eastAsiaTheme="minorEastAsia" w:cs="Times New Roman"/>
          <w:szCs w:val="24"/>
        </w:rPr>
        <w:t>3.01975</w:t>
      </w:r>
    </w:p>
    <w:p w14:paraId="4651D41D" w14:textId="4C923C5C" w:rsidR="008454C4" w:rsidRPr="006F55C4" w:rsidRDefault="008454C4" w:rsidP="006F55C4">
      <w:pPr>
        <w:spacing w:line="360" w:lineRule="auto"/>
        <w:rPr>
          <w:rFonts w:cs="Times New Roman"/>
          <w:szCs w:val="24"/>
        </w:rPr>
      </w:pPr>
    </w:p>
    <w:p w14:paraId="3EF9A732" w14:textId="4031E8A4" w:rsidR="000C2191" w:rsidRPr="006F55C4" w:rsidRDefault="000C2191" w:rsidP="006F55C4">
      <w:pPr>
        <w:spacing w:line="360" w:lineRule="auto"/>
        <w:rPr>
          <w:rFonts w:eastAsiaTheme="minorEastAsia" w:cs="Times New Roman"/>
          <w:szCs w:val="24"/>
        </w:rPr>
      </w:pPr>
      <w:r w:rsidRPr="006F55C4">
        <w:rPr>
          <w:rFonts w:eastAsiaTheme="minorEastAsia" w:cs="Times New Roman"/>
          <w:szCs w:val="24"/>
        </w:rPr>
        <w:t>Absorbance of standard 3:</w:t>
      </w:r>
    </w:p>
    <w:p w14:paraId="21226140" w14:textId="27563E9C" w:rsidR="000C2191" w:rsidRPr="006F55C4" w:rsidRDefault="00BD736A" w:rsidP="006F55C4">
      <w:pPr>
        <w:spacing w:line="360" w:lineRule="auto"/>
        <w:rPr>
          <w:rFonts w:cs="Times New Roman"/>
          <w:szCs w:val="24"/>
        </w:rPr>
      </w:pPr>
      <w:r w:rsidRPr="006F55C4">
        <w:rPr>
          <w:rFonts w:cs="Times New Roman"/>
          <w:szCs w:val="24"/>
        </w:rPr>
        <w:t>2.935, 3.050, 3.026, 2.943</w:t>
      </w:r>
    </w:p>
    <w:p w14:paraId="38F86042" w14:textId="0E35C448" w:rsidR="00BD736A" w:rsidRPr="006F55C4" w:rsidRDefault="00BD736A" w:rsidP="006F55C4">
      <w:pPr>
        <w:spacing w:line="360" w:lineRule="auto"/>
        <w:rPr>
          <w:rFonts w:eastAsiaTheme="minorEastAsia" w:cs="Times New Roman"/>
          <w:szCs w:val="24"/>
        </w:rPr>
      </w:pPr>
      <w:r w:rsidRPr="006F55C4">
        <w:rPr>
          <w:rFonts w:eastAsiaTheme="minorEastAsia" w:cs="Times New Roman"/>
          <w:szCs w:val="24"/>
        </w:rPr>
        <w:t>Absorbance of standard 3:</w:t>
      </w:r>
      <w:r w:rsidRPr="006F55C4">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2.935+3.050+3.026+2.943</m:t>
            </m:r>
          </m:num>
          <m:den>
            <m:r>
              <w:rPr>
                <w:rFonts w:ascii="Cambria Math" w:hAnsi="Cambria Math" w:cs="Times New Roman"/>
                <w:szCs w:val="24"/>
              </w:rPr>
              <m:t>4</m:t>
            </m:r>
          </m:den>
        </m:f>
      </m:oMath>
      <w:r w:rsidR="00662C44" w:rsidRPr="006F55C4">
        <w:rPr>
          <w:rFonts w:eastAsiaTheme="minorEastAsia" w:cs="Times New Roman"/>
          <w:szCs w:val="24"/>
        </w:rPr>
        <w:t xml:space="preserve"> = </w:t>
      </w:r>
      <w:r w:rsidR="00593A24" w:rsidRPr="006F55C4">
        <w:rPr>
          <w:rFonts w:eastAsiaTheme="minorEastAsia" w:cs="Times New Roman"/>
          <w:szCs w:val="24"/>
        </w:rPr>
        <w:t>2.9885</w:t>
      </w:r>
    </w:p>
    <w:p w14:paraId="4BFC5485" w14:textId="77777777" w:rsidR="00593A24" w:rsidRPr="006F55C4" w:rsidRDefault="00593A24" w:rsidP="006F55C4">
      <w:pPr>
        <w:spacing w:line="360" w:lineRule="auto"/>
        <w:rPr>
          <w:rFonts w:cs="Times New Roman"/>
          <w:szCs w:val="24"/>
        </w:rPr>
      </w:pPr>
    </w:p>
    <w:p w14:paraId="26E9A435" w14:textId="26F97369" w:rsidR="00BD736A" w:rsidRPr="006F55C4" w:rsidRDefault="00593A24" w:rsidP="006F55C4">
      <w:pPr>
        <w:spacing w:line="360" w:lineRule="auto"/>
        <w:rPr>
          <w:rFonts w:eastAsiaTheme="minorEastAsia" w:cs="Times New Roman"/>
          <w:szCs w:val="24"/>
        </w:rPr>
      </w:pPr>
      <w:r w:rsidRPr="006F55C4">
        <w:rPr>
          <w:rFonts w:eastAsiaTheme="minorEastAsia" w:cs="Times New Roman"/>
          <w:szCs w:val="24"/>
        </w:rPr>
        <w:t>Absorbance of standard 4:</w:t>
      </w:r>
    </w:p>
    <w:p w14:paraId="4ACD4D04" w14:textId="7ABFBD3F" w:rsidR="00593A24" w:rsidRPr="006F55C4" w:rsidRDefault="007A43D6" w:rsidP="006F55C4">
      <w:pPr>
        <w:spacing w:line="360" w:lineRule="auto"/>
        <w:rPr>
          <w:rFonts w:eastAsiaTheme="minorEastAsia" w:cs="Times New Roman"/>
          <w:szCs w:val="24"/>
        </w:rPr>
      </w:pPr>
      <w:r w:rsidRPr="006F55C4">
        <w:rPr>
          <w:rFonts w:eastAsiaTheme="minorEastAsia" w:cs="Times New Roman"/>
          <w:szCs w:val="24"/>
        </w:rPr>
        <w:t>2.908, 2.883, 2.949, 2.890</w:t>
      </w:r>
    </w:p>
    <w:p w14:paraId="17210F94" w14:textId="5BD8CF55" w:rsidR="00BA0254" w:rsidRPr="006F55C4" w:rsidRDefault="00BA0254" w:rsidP="006F55C4">
      <w:pPr>
        <w:spacing w:line="360" w:lineRule="auto"/>
        <w:rPr>
          <w:rFonts w:eastAsiaTheme="minorEastAsia" w:cs="Times New Roman"/>
          <w:szCs w:val="24"/>
        </w:rPr>
      </w:pPr>
      <w:r w:rsidRPr="006F55C4">
        <w:rPr>
          <w:rFonts w:eastAsiaTheme="minorEastAsia" w:cs="Times New Roman"/>
          <w:szCs w:val="24"/>
        </w:rPr>
        <w:t xml:space="preserve">Absorbance of standard 4: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2.908+2.883+2.949+2.890</m:t>
            </m:r>
          </m:num>
          <m:den>
            <m:r>
              <w:rPr>
                <w:rFonts w:ascii="Cambria Math" w:eastAsiaTheme="minorEastAsia" w:hAnsi="Cambria Math" w:cs="Times New Roman"/>
                <w:szCs w:val="24"/>
              </w:rPr>
              <m:t>4</m:t>
            </m:r>
          </m:den>
        </m:f>
      </m:oMath>
      <w:r w:rsidRPr="006F55C4">
        <w:rPr>
          <w:rFonts w:eastAsiaTheme="minorEastAsia" w:cs="Times New Roman"/>
          <w:szCs w:val="24"/>
        </w:rPr>
        <w:t xml:space="preserve"> = </w:t>
      </w:r>
      <w:r w:rsidR="00EF0B15" w:rsidRPr="006F55C4">
        <w:rPr>
          <w:rFonts w:eastAsiaTheme="minorEastAsia" w:cs="Times New Roman"/>
          <w:szCs w:val="24"/>
        </w:rPr>
        <w:t>2.9075</w:t>
      </w:r>
    </w:p>
    <w:p w14:paraId="2796D350" w14:textId="77777777" w:rsidR="004A7F59" w:rsidRPr="006F55C4" w:rsidRDefault="004A7F59" w:rsidP="006F55C4">
      <w:pPr>
        <w:spacing w:line="360" w:lineRule="auto"/>
        <w:rPr>
          <w:rFonts w:eastAsiaTheme="minorEastAsia" w:cs="Times New Roman"/>
          <w:szCs w:val="24"/>
        </w:rPr>
      </w:pPr>
    </w:p>
    <w:p w14:paraId="6C55ED26" w14:textId="77777777" w:rsidR="00942171" w:rsidRPr="006F55C4" w:rsidRDefault="00942171" w:rsidP="006F55C4">
      <w:pPr>
        <w:spacing w:line="360" w:lineRule="auto"/>
        <w:rPr>
          <w:rFonts w:eastAsiaTheme="minorEastAsia" w:cs="Times New Roman"/>
          <w:szCs w:val="24"/>
        </w:rPr>
      </w:pPr>
      <w:r w:rsidRPr="006F55C4">
        <w:rPr>
          <w:rFonts w:eastAsiaTheme="minorEastAsia" w:cs="Times New Roman"/>
          <w:szCs w:val="24"/>
        </w:rPr>
        <w:t>Absorbance of standard 5:</w:t>
      </w:r>
    </w:p>
    <w:p w14:paraId="1374A43A" w14:textId="2412E78C" w:rsidR="00EF0B15" w:rsidRPr="006F55C4" w:rsidRDefault="00942171" w:rsidP="006F55C4">
      <w:pPr>
        <w:spacing w:line="360" w:lineRule="auto"/>
        <w:rPr>
          <w:rFonts w:eastAsiaTheme="minorEastAsia" w:cs="Times New Roman"/>
          <w:szCs w:val="24"/>
        </w:rPr>
      </w:pPr>
      <w:r w:rsidRPr="006F55C4">
        <w:rPr>
          <w:rFonts w:eastAsiaTheme="minorEastAsia" w:cs="Times New Roman"/>
          <w:szCs w:val="24"/>
        </w:rPr>
        <w:t>2.735, 2.957, 2.822, 2.</w:t>
      </w:r>
      <w:r w:rsidR="004A7F59" w:rsidRPr="006F55C4">
        <w:rPr>
          <w:rFonts w:eastAsiaTheme="minorEastAsia" w:cs="Times New Roman"/>
          <w:szCs w:val="24"/>
        </w:rPr>
        <w:t>863</w:t>
      </w:r>
    </w:p>
    <w:p w14:paraId="4FC6B7EC" w14:textId="451364D3" w:rsidR="004A7F59" w:rsidRPr="006F55C4" w:rsidRDefault="004A7F59" w:rsidP="006F55C4">
      <w:pPr>
        <w:spacing w:line="360" w:lineRule="auto"/>
        <w:rPr>
          <w:rFonts w:eastAsiaTheme="minorEastAsia" w:cs="Times New Roman"/>
          <w:szCs w:val="24"/>
        </w:rPr>
      </w:pPr>
      <w:r w:rsidRPr="006F55C4">
        <w:rPr>
          <w:rFonts w:eastAsiaTheme="minorEastAsia" w:cs="Times New Roman"/>
          <w:szCs w:val="24"/>
        </w:rPr>
        <w:t xml:space="preserve">Absorbance of standard 5: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2.735+2.957+2.822+2.863</m:t>
            </m:r>
          </m:num>
          <m:den>
            <m:r>
              <w:rPr>
                <w:rFonts w:ascii="Cambria Math" w:eastAsiaTheme="minorEastAsia" w:hAnsi="Cambria Math" w:cs="Times New Roman"/>
                <w:szCs w:val="24"/>
              </w:rPr>
              <m:t>4</m:t>
            </m:r>
          </m:den>
        </m:f>
      </m:oMath>
      <w:r w:rsidRPr="006F55C4">
        <w:rPr>
          <w:rFonts w:eastAsiaTheme="minorEastAsia" w:cs="Times New Roman"/>
          <w:szCs w:val="24"/>
        </w:rPr>
        <w:t xml:space="preserve"> = 2.844</w:t>
      </w:r>
    </w:p>
    <w:p w14:paraId="140FCE71" w14:textId="28CA1778" w:rsidR="004A7F59" w:rsidRPr="006F55C4" w:rsidRDefault="004A7F59" w:rsidP="006F55C4">
      <w:pPr>
        <w:spacing w:line="360" w:lineRule="auto"/>
        <w:rPr>
          <w:rFonts w:eastAsiaTheme="minorEastAsia" w:cs="Times New Roman"/>
          <w:szCs w:val="24"/>
        </w:rPr>
      </w:pPr>
    </w:p>
    <w:p w14:paraId="6A4872FF" w14:textId="4EF71B63" w:rsidR="006D6BAA" w:rsidRPr="006F55C4" w:rsidRDefault="006D6BAA" w:rsidP="006F55C4">
      <w:pPr>
        <w:spacing w:line="360" w:lineRule="auto"/>
        <w:rPr>
          <w:rFonts w:eastAsiaTheme="minorEastAsia" w:cs="Times New Roman"/>
          <w:szCs w:val="24"/>
        </w:rPr>
      </w:pPr>
      <w:r w:rsidRPr="006F55C4">
        <w:rPr>
          <w:rFonts w:eastAsiaTheme="minorEastAsia" w:cs="Times New Roman"/>
          <w:szCs w:val="24"/>
        </w:rPr>
        <w:t>Absorbance of standard 6:</w:t>
      </w:r>
    </w:p>
    <w:p w14:paraId="6BF327BD" w14:textId="2FC70E17" w:rsidR="006D6BAA" w:rsidRPr="006F55C4" w:rsidRDefault="006D6BAA" w:rsidP="006F55C4">
      <w:pPr>
        <w:spacing w:line="360" w:lineRule="auto"/>
        <w:rPr>
          <w:rFonts w:eastAsiaTheme="minorEastAsia" w:cs="Times New Roman"/>
          <w:szCs w:val="24"/>
        </w:rPr>
      </w:pPr>
      <w:r w:rsidRPr="006F55C4">
        <w:rPr>
          <w:rFonts w:eastAsiaTheme="minorEastAsia" w:cs="Times New Roman"/>
          <w:szCs w:val="24"/>
        </w:rPr>
        <w:t>2.521, 2.622, 2.674, 2.485</w:t>
      </w:r>
    </w:p>
    <w:p w14:paraId="52DD3E2B" w14:textId="375F43B1" w:rsidR="00D35854" w:rsidRPr="006F55C4" w:rsidRDefault="00D35854" w:rsidP="006F55C4">
      <w:pPr>
        <w:spacing w:line="360" w:lineRule="auto"/>
        <w:rPr>
          <w:rFonts w:eastAsiaTheme="minorEastAsia" w:cs="Times New Roman"/>
          <w:szCs w:val="24"/>
        </w:rPr>
      </w:pPr>
      <w:r w:rsidRPr="006F55C4">
        <w:rPr>
          <w:rFonts w:eastAsiaTheme="minorEastAsia" w:cs="Times New Roman"/>
          <w:szCs w:val="24"/>
        </w:rPr>
        <w:t xml:space="preserve">Absorbance of standard 6: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2.521+2.622+2.674+2.485</m:t>
            </m:r>
          </m:num>
          <m:den>
            <m:r>
              <w:rPr>
                <w:rFonts w:ascii="Cambria Math" w:eastAsiaTheme="minorEastAsia" w:hAnsi="Cambria Math" w:cs="Times New Roman"/>
                <w:szCs w:val="24"/>
              </w:rPr>
              <m:t>4</m:t>
            </m:r>
          </m:den>
        </m:f>
      </m:oMath>
      <w:r w:rsidRPr="006F55C4">
        <w:rPr>
          <w:rFonts w:eastAsiaTheme="minorEastAsia" w:cs="Times New Roman"/>
          <w:szCs w:val="24"/>
        </w:rPr>
        <w:t xml:space="preserve"> = </w:t>
      </w:r>
      <w:r w:rsidR="002B7664" w:rsidRPr="006F55C4">
        <w:rPr>
          <w:rFonts w:eastAsiaTheme="minorEastAsia" w:cs="Times New Roman"/>
          <w:szCs w:val="24"/>
        </w:rPr>
        <w:t>2.575</w:t>
      </w:r>
    </w:p>
    <w:p w14:paraId="28A62E08" w14:textId="77777777" w:rsidR="002B7664" w:rsidRPr="006F55C4" w:rsidRDefault="002B7664" w:rsidP="006F55C4">
      <w:pPr>
        <w:spacing w:line="360" w:lineRule="auto"/>
        <w:rPr>
          <w:rFonts w:eastAsiaTheme="minorEastAsia" w:cs="Times New Roman"/>
          <w:szCs w:val="24"/>
        </w:rPr>
      </w:pPr>
    </w:p>
    <w:p w14:paraId="132A1E71" w14:textId="32255337" w:rsidR="00EF0B15" w:rsidRPr="006F55C4" w:rsidRDefault="00EF0B15" w:rsidP="006F55C4">
      <w:pPr>
        <w:spacing w:line="360" w:lineRule="auto"/>
        <w:rPr>
          <w:rFonts w:eastAsiaTheme="minorEastAsia" w:cs="Times New Roman"/>
          <w:szCs w:val="24"/>
        </w:rPr>
      </w:pPr>
      <w:r w:rsidRPr="006F55C4">
        <w:rPr>
          <w:rFonts w:eastAsiaTheme="minorEastAsia" w:cs="Times New Roman"/>
          <w:szCs w:val="24"/>
        </w:rPr>
        <w:t xml:space="preserve">Absorbance of standard </w:t>
      </w:r>
      <w:r w:rsidR="002B7664" w:rsidRPr="006F55C4">
        <w:rPr>
          <w:rFonts w:eastAsiaTheme="minorEastAsia" w:cs="Times New Roman"/>
          <w:szCs w:val="24"/>
        </w:rPr>
        <w:t>7</w:t>
      </w:r>
      <w:r w:rsidRPr="006F55C4">
        <w:rPr>
          <w:rFonts w:eastAsiaTheme="minorEastAsia" w:cs="Times New Roman"/>
          <w:szCs w:val="24"/>
        </w:rPr>
        <w:t>:</w:t>
      </w:r>
    </w:p>
    <w:p w14:paraId="40E1D2DF" w14:textId="52E05C51" w:rsidR="005E3C16" w:rsidRPr="006F55C4" w:rsidRDefault="00F91362" w:rsidP="006F55C4">
      <w:pPr>
        <w:spacing w:line="360" w:lineRule="auto"/>
        <w:rPr>
          <w:rFonts w:eastAsiaTheme="minorEastAsia" w:cs="Times New Roman"/>
          <w:szCs w:val="24"/>
        </w:rPr>
      </w:pPr>
      <w:r w:rsidRPr="006F55C4">
        <w:rPr>
          <w:rFonts w:eastAsiaTheme="minorEastAsia" w:cs="Times New Roman"/>
          <w:szCs w:val="24"/>
        </w:rPr>
        <w:t>2.508, 2.365, 2.2</w:t>
      </w:r>
      <w:r w:rsidR="00A63C9F" w:rsidRPr="006F55C4">
        <w:rPr>
          <w:rFonts w:eastAsiaTheme="minorEastAsia" w:cs="Times New Roman"/>
          <w:szCs w:val="24"/>
        </w:rPr>
        <w:t>83, 2.396</w:t>
      </w:r>
    </w:p>
    <w:p w14:paraId="6C6477C9" w14:textId="2430A6D4" w:rsidR="00A63C9F" w:rsidRPr="006F55C4" w:rsidRDefault="00A63C9F" w:rsidP="006F55C4">
      <w:pPr>
        <w:spacing w:line="360" w:lineRule="auto"/>
        <w:rPr>
          <w:rFonts w:eastAsiaTheme="minorEastAsia" w:cs="Times New Roman"/>
          <w:szCs w:val="24"/>
        </w:rPr>
      </w:pPr>
      <w:r w:rsidRPr="006F55C4">
        <w:rPr>
          <w:rFonts w:eastAsiaTheme="minorEastAsia" w:cs="Times New Roman"/>
          <w:szCs w:val="24"/>
        </w:rPr>
        <w:t xml:space="preserve">Absorbance of standard </w:t>
      </w:r>
      <w:r w:rsidR="002B7664" w:rsidRPr="006F55C4">
        <w:rPr>
          <w:rFonts w:eastAsiaTheme="minorEastAsia" w:cs="Times New Roman"/>
          <w:szCs w:val="24"/>
        </w:rPr>
        <w:t>7</w:t>
      </w:r>
      <w:r w:rsidRPr="006F55C4">
        <w:rPr>
          <w:rFonts w:eastAsiaTheme="minorEastAsia" w:cs="Times New Roman"/>
          <w:szCs w:val="24"/>
        </w:rPr>
        <w:t xml:space="preserve">: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2.508+2.365+2.283+2.396</m:t>
            </m:r>
          </m:num>
          <m:den>
            <m:r>
              <w:rPr>
                <w:rFonts w:ascii="Cambria Math" w:eastAsiaTheme="minorEastAsia" w:hAnsi="Cambria Math" w:cs="Times New Roman"/>
                <w:szCs w:val="24"/>
              </w:rPr>
              <m:t>4</m:t>
            </m:r>
          </m:den>
        </m:f>
      </m:oMath>
      <w:r w:rsidRPr="006F55C4">
        <w:rPr>
          <w:rFonts w:eastAsiaTheme="minorEastAsia" w:cs="Times New Roman"/>
          <w:szCs w:val="24"/>
        </w:rPr>
        <w:t xml:space="preserve"> = </w:t>
      </w:r>
      <w:r w:rsidR="00F6392F" w:rsidRPr="006F55C4">
        <w:rPr>
          <w:rFonts w:eastAsiaTheme="minorEastAsia" w:cs="Times New Roman"/>
          <w:szCs w:val="24"/>
        </w:rPr>
        <w:t>2.</w:t>
      </w:r>
      <w:r w:rsidR="00942171" w:rsidRPr="006F55C4">
        <w:rPr>
          <w:rFonts w:eastAsiaTheme="minorEastAsia" w:cs="Times New Roman"/>
          <w:szCs w:val="24"/>
        </w:rPr>
        <w:t>388</w:t>
      </w:r>
    </w:p>
    <w:p w14:paraId="797CD39A" w14:textId="44CEAAD0" w:rsidR="002B7664" w:rsidRPr="006F55C4" w:rsidRDefault="002B7664" w:rsidP="006F55C4">
      <w:pPr>
        <w:spacing w:line="360" w:lineRule="auto"/>
        <w:rPr>
          <w:rFonts w:eastAsiaTheme="minorEastAsia" w:cs="Times New Roman"/>
          <w:szCs w:val="24"/>
        </w:rPr>
      </w:pPr>
    </w:p>
    <w:p w14:paraId="73B73F6A" w14:textId="607C4C8E" w:rsidR="002B7664" w:rsidRPr="006F55C4" w:rsidRDefault="002B7664" w:rsidP="006F55C4">
      <w:pPr>
        <w:spacing w:line="360" w:lineRule="auto"/>
        <w:rPr>
          <w:rFonts w:eastAsiaTheme="minorEastAsia" w:cs="Times New Roman"/>
          <w:szCs w:val="24"/>
        </w:rPr>
      </w:pPr>
      <w:r w:rsidRPr="006F55C4">
        <w:rPr>
          <w:rFonts w:eastAsiaTheme="minorEastAsia" w:cs="Times New Roman"/>
          <w:szCs w:val="24"/>
        </w:rPr>
        <w:t>Absorbance of standard 8:</w:t>
      </w:r>
    </w:p>
    <w:p w14:paraId="477BCEBF" w14:textId="20AE3640" w:rsidR="002B7664" w:rsidRPr="006F55C4" w:rsidRDefault="0040567D" w:rsidP="006F55C4">
      <w:pPr>
        <w:spacing w:line="360" w:lineRule="auto"/>
        <w:rPr>
          <w:rFonts w:eastAsiaTheme="minorEastAsia" w:cs="Times New Roman"/>
          <w:szCs w:val="24"/>
        </w:rPr>
      </w:pPr>
      <w:r w:rsidRPr="006F55C4">
        <w:rPr>
          <w:rFonts w:eastAsiaTheme="minorEastAsia" w:cs="Times New Roman"/>
          <w:szCs w:val="24"/>
        </w:rPr>
        <w:t>1.883, 1.736, 1.939, 1.786</w:t>
      </w:r>
    </w:p>
    <w:p w14:paraId="3429C841" w14:textId="24021AE8" w:rsidR="0040567D" w:rsidRPr="006F55C4" w:rsidRDefault="0040567D" w:rsidP="006F55C4">
      <w:pPr>
        <w:spacing w:line="360" w:lineRule="auto"/>
        <w:rPr>
          <w:rFonts w:eastAsiaTheme="minorEastAsia" w:cs="Times New Roman"/>
          <w:szCs w:val="24"/>
        </w:rPr>
      </w:pPr>
      <w:r w:rsidRPr="006F55C4">
        <w:rPr>
          <w:rFonts w:eastAsiaTheme="minorEastAsia" w:cs="Times New Roman"/>
          <w:szCs w:val="24"/>
        </w:rPr>
        <w:t xml:space="preserve">Absorbance of standard 8: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1.883+1.736+1.939+1.786</m:t>
            </m:r>
          </m:num>
          <m:den>
            <m:r>
              <w:rPr>
                <w:rFonts w:ascii="Cambria Math" w:eastAsiaTheme="minorEastAsia" w:hAnsi="Cambria Math" w:cs="Times New Roman"/>
                <w:szCs w:val="24"/>
              </w:rPr>
              <m:t>4</m:t>
            </m:r>
          </m:den>
        </m:f>
      </m:oMath>
      <w:r w:rsidR="00357A40" w:rsidRPr="006F55C4">
        <w:rPr>
          <w:rFonts w:eastAsiaTheme="minorEastAsia" w:cs="Times New Roman"/>
          <w:szCs w:val="24"/>
        </w:rPr>
        <w:t xml:space="preserve"> = 1.836</w:t>
      </w:r>
    </w:p>
    <w:p w14:paraId="7FCEFCA3" w14:textId="42BEE88F" w:rsidR="00357A40" w:rsidRPr="006F55C4" w:rsidRDefault="00357A40" w:rsidP="006F55C4">
      <w:pPr>
        <w:spacing w:line="360" w:lineRule="auto"/>
        <w:rPr>
          <w:rFonts w:eastAsiaTheme="minorEastAsia" w:cs="Times New Roman"/>
          <w:szCs w:val="24"/>
        </w:rPr>
      </w:pPr>
    </w:p>
    <w:p w14:paraId="12B35283" w14:textId="058D60A6" w:rsidR="00357A40" w:rsidRPr="006F55C4" w:rsidRDefault="00357A40" w:rsidP="006F55C4">
      <w:pPr>
        <w:spacing w:line="360" w:lineRule="auto"/>
        <w:rPr>
          <w:rFonts w:eastAsiaTheme="minorEastAsia" w:cs="Times New Roman"/>
          <w:szCs w:val="24"/>
        </w:rPr>
      </w:pPr>
      <w:r w:rsidRPr="006F55C4">
        <w:rPr>
          <w:rFonts w:eastAsiaTheme="minorEastAsia" w:cs="Times New Roman"/>
          <w:szCs w:val="24"/>
        </w:rPr>
        <w:t>Absorbance of standard 9:</w:t>
      </w:r>
    </w:p>
    <w:p w14:paraId="30EC8CCB" w14:textId="61622093" w:rsidR="00357A40" w:rsidRPr="006F55C4" w:rsidRDefault="00357A40" w:rsidP="006F55C4">
      <w:pPr>
        <w:spacing w:line="360" w:lineRule="auto"/>
        <w:rPr>
          <w:rFonts w:eastAsiaTheme="minorEastAsia" w:cs="Times New Roman"/>
          <w:szCs w:val="24"/>
        </w:rPr>
      </w:pPr>
      <w:r w:rsidRPr="006F55C4">
        <w:rPr>
          <w:rFonts w:eastAsiaTheme="minorEastAsia" w:cs="Times New Roman"/>
          <w:szCs w:val="24"/>
        </w:rPr>
        <w:t>1.056, 1.130, 1.162, 1.082</w:t>
      </w:r>
    </w:p>
    <w:p w14:paraId="2A6B1185" w14:textId="16E1B006" w:rsidR="00357A40" w:rsidRPr="006F55C4" w:rsidRDefault="00357A40" w:rsidP="006F55C4">
      <w:pPr>
        <w:spacing w:line="360" w:lineRule="auto"/>
        <w:rPr>
          <w:rFonts w:eastAsiaTheme="minorEastAsia" w:cs="Times New Roman"/>
          <w:szCs w:val="24"/>
        </w:rPr>
      </w:pPr>
      <w:r w:rsidRPr="006F55C4">
        <w:rPr>
          <w:rFonts w:eastAsiaTheme="minorEastAsia" w:cs="Times New Roman"/>
          <w:szCs w:val="24"/>
        </w:rPr>
        <w:t xml:space="preserve">Absorbance of standard 9: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1.056+1.130+1.162+1.082</m:t>
            </m:r>
          </m:num>
          <m:den>
            <m:r>
              <w:rPr>
                <w:rFonts w:ascii="Cambria Math" w:eastAsiaTheme="minorEastAsia" w:hAnsi="Cambria Math" w:cs="Times New Roman"/>
                <w:szCs w:val="24"/>
              </w:rPr>
              <m:t>4</m:t>
            </m:r>
          </m:den>
        </m:f>
      </m:oMath>
      <w:r w:rsidRPr="006F55C4">
        <w:rPr>
          <w:rFonts w:eastAsiaTheme="minorEastAsia" w:cs="Times New Roman"/>
          <w:szCs w:val="24"/>
        </w:rPr>
        <w:t xml:space="preserve"> = 1.108</w:t>
      </w:r>
    </w:p>
    <w:p w14:paraId="6D936505" w14:textId="688BE1BF" w:rsidR="00357A40" w:rsidRPr="006F55C4" w:rsidRDefault="00357A40" w:rsidP="006F55C4">
      <w:pPr>
        <w:spacing w:line="360" w:lineRule="auto"/>
        <w:rPr>
          <w:rFonts w:eastAsiaTheme="minorEastAsia" w:cs="Times New Roman"/>
          <w:szCs w:val="24"/>
        </w:rPr>
      </w:pPr>
    </w:p>
    <w:p w14:paraId="0C888CEF" w14:textId="29270CBC" w:rsidR="00357A40" w:rsidRPr="006F55C4" w:rsidRDefault="009939E8" w:rsidP="006F55C4">
      <w:pPr>
        <w:spacing w:line="360" w:lineRule="auto"/>
        <w:rPr>
          <w:rFonts w:eastAsiaTheme="minorEastAsia" w:cs="Times New Roman"/>
          <w:b/>
          <w:bCs/>
          <w:szCs w:val="24"/>
        </w:rPr>
      </w:pPr>
      <w:r w:rsidRPr="006F55C4">
        <w:rPr>
          <w:rFonts w:eastAsiaTheme="minorEastAsia" w:cs="Times New Roman"/>
          <w:b/>
          <w:bCs/>
          <w:szCs w:val="24"/>
        </w:rPr>
        <w:t>#</w:t>
      </w:r>
      <w:r w:rsidR="000F6F1E" w:rsidRPr="006F55C4">
        <w:rPr>
          <w:rFonts w:eastAsiaTheme="minorEastAsia" w:cs="Times New Roman"/>
          <w:b/>
          <w:bCs/>
          <w:szCs w:val="24"/>
        </w:rPr>
        <w:t xml:space="preserve">Subtraction </w:t>
      </w:r>
      <w:r w:rsidR="004A282D" w:rsidRPr="006F55C4">
        <w:rPr>
          <w:rFonts w:eastAsiaTheme="minorEastAsia" w:cs="Times New Roman"/>
          <w:b/>
          <w:bCs/>
          <w:szCs w:val="24"/>
        </w:rPr>
        <w:t xml:space="preserve">of standards </w:t>
      </w:r>
      <w:r w:rsidR="000F6F1E" w:rsidRPr="006F55C4">
        <w:rPr>
          <w:rFonts w:eastAsiaTheme="minorEastAsia" w:cs="Times New Roman"/>
          <w:b/>
          <w:bCs/>
          <w:szCs w:val="24"/>
        </w:rPr>
        <w:t>with blank</w:t>
      </w:r>
    </w:p>
    <w:p w14:paraId="2C4522B9" w14:textId="7ADAFDDF" w:rsidR="000F6F1E" w:rsidRPr="006F55C4" w:rsidRDefault="000F6F1E" w:rsidP="006F55C4">
      <w:pPr>
        <w:spacing w:line="360" w:lineRule="auto"/>
        <w:rPr>
          <w:rFonts w:eastAsiaTheme="minorEastAsia" w:cs="Times New Roman"/>
          <w:szCs w:val="24"/>
        </w:rPr>
      </w:pPr>
      <w:r w:rsidRPr="006F55C4">
        <w:rPr>
          <w:rFonts w:eastAsiaTheme="minorEastAsia" w:cs="Times New Roman"/>
          <w:szCs w:val="24"/>
        </w:rPr>
        <w:t>Standard 1: 3.0933-0.00</w:t>
      </w:r>
      <w:r w:rsidR="00DF2EA1" w:rsidRPr="006F55C4">
        <w:rPr>
          <w:rFonts w:eastAsiaTheme="minorEastAsia" w:cs="Times New Roman"/>
          <w:szCs w:val="24"/>
        </w:rPr>
        <w:t xml:space="preserve">0375= </w:t>
      </w:r>
      <w:r w:rsidR="00F34A10" w:rsidRPr="006F55C4">
        <w:rPr>
          <w:rFonts w:eastAsiaTheme="minorEastAsia" w:cs="Times New Roman"/>
          <w:szCs w:val="24"/>
        </w:rPr>
        <w:t>3</w:t>
      </w:r>
      <w:r w:rsidR="007A76B9" w:rsidRPr="006F55C4">
        <w:rPr>
          <w:rFonts w:eastAsiaTheme="minorEastAsia" w:cs="Times New Roman"/>
          <w:szCs w:val="24"/>
        </w:rPr>
        <w:t>.093</w:t>
      </w:r>
    </w:p>
    <w:p w14:paraId="4530FDF8" w14:textId="1690F2A2"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2:</w:t>
      </w:r>
      <w:r w:rsidR="00172352" w:rsidRPr="006F55C4">
        <w:rPr>
          <w:rFonts w:eastAsiaTheme="minorEastAsia" w:cs="Times New Roman"/>
          <w:szCs w:val="24"/>
        </w:rPr>
        <w:t xml:space="preserve"> 3.01975-0.000375=</w:t>
      </w:r>
      <w:r w:rsidR="007A76B9" w:rsidRPr="006F55C4">
        <w:rPr>
          <w:rFonts w:eastAsiaTheme="minorEastAsia" w:cs="Times New Roman"/>
          <w:szCs w:val="24"/>
        </w:rPr>
        <w:t xml:space="preserve"> 3.022</w:t>
      </w:r>
    </w:p>
    <w:p w14:paraId="43A270AB" w14:textId="2BF3EFC1"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3:</w:t>
      </w:r>
      <w:r w:rsidR="00172352" w:rsidRPr="006F55C4">
        <w:rPr>
          <w:rFonts w:eastAsiaTheme="minorEastAsia" w:cs="Times New Roman"/>
          <w:szCs w:val="24"/>
        </w:rPr>
        <w:t xml:space="preserve"> 2.9885-0.000375=</w:t>
      </w:r>
      <w:r w:rsidR="007A76B9" w:rsidRPr="006F55C4">
        <w:rPr>
          <w:rFonts w:eastAsiaTheme="minorEastAsia" w:cs="Times New Roman"/>
          <w:szCs w:val="24"/>
        </w:rPr>
        <w:t xml:space="preserve"> 2.989</w:t>
      </w:r>
    </w:p>
    <w:p w14:paraId="67320116" w14:textId="2D27040E"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4:</w:t>
      </w:r>
      <w:r w:rsidR="00172352" w:rsidRPr="006F55C4">
        <w:rPr>
          <w:rFonts w:eastAsiaTheme="minorEastAsia" w:cs="Times New Roman"/>
          <w:szCs w:val="24"/>
        </w:rPr>
        <w:t xml:space="preserve"> 2.9075-0.000375=</w:t>
      </w:r>
      <w:r w:rsidR="007A76B9" w:rsidRPr="006F55C4">
        <w:rPr>
          <w:rFonts w:eastAsiaTheme="minorEastAsia" w:cs="Times New Roman"/>
          <w:szCs w:val="24"/>
        </w:rPr>
        <w:t>2.91</w:t>
      </w:r>
    </w:p>
    <w:p w14:paraId="10FDDE62" w14:textId="19D422AE"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5:</w:t>
      </w:r>
      <w:r w:rsidR="00172352" w:rsidRPr="006F55C4">
        <w:rPr>
          <w:rFonts w:eastAsiaTheme="minorEastAsia" w:cs="Times New Roman"/>
          <w:szCs w:val="24"/>
        </w:rPr>
        <w:t xml:space="preserve"> 2.844-0.000375=2.843</w:t>
      </w:r>
    </w:p>
    <w:p w14:paraId="5E8C08DB" w14:textId="51061222"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6:</w:t>
      </w:r>
      <w:r w:rsidR="00006B90" w:rsidRPr="006F55C4">
        <w:rPr>
          <w:rFonts w:eastAsiaTheme="minorEastAsia" w:cs="Times New Roman"/>
          <w:szCs w:val="24"/>
        </w:rPr>
        <w:t xml:space="preserve"> 2.5755-0.0</w:t>
      </w:r>
      <w:r w:rsidR="00172352" w:rsidRPr="006F55C4">
        <w:rPr>
          <w:rFonts w:eastAsiaTheme="minorEastAsia" w:cs="Times New Roman"/>
          <w:szCs w:val="24"/>
        </w:rPr>
        <w:t>0</w:t>
      </w:r>
      <w:r w:rsidR="00006B90" w:rsidRPr="006F55C4">
        <w:rPr>
          <w:rFonts w:eastAsiaTheme="minorEastAsia" w:cs="Times New Roman"/>
          <w:szCs w:val="24"/>
        </w:rPr>
        <w:t>0375=</w:t>
      </w:r>
      <w:r w:rsidR="00172352" w:rsidRPr="006F55C4">
        <w:rPr>
          <w:rFonts w:eastAsiaTheme="minorEastAsia" w:cs="Times New Roman"/>
          <w:szCs w:val="24"/>
        </w:rPr>
        <w:t>2.575125</w:t>
      </w:r>
    </w:p>
    <w:p w14:paraId="45403554" w14:textId="033D44BA"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7:</w:t>
      </w:r>
      <w:r w:rsidR="00006B90" w:rsidRPr="006F55C4">
        <w:rPr>
          <w:rFonts w:eastAsiaTheme="minorEastAsia" w:cs="Times New Roman"/>
          <w:szCs w:val="24"/>
        </w:rPr>
        <w:t xml:space="preserve"> </w:t>
      </w:r>
      <w:r w:rsidR="005238D0" w:rsidRPr="006F55C4">
        <w:rPr>
          <w:rFonts w:eastAsiaTheme="minorEastAsia" w:cs="Times New Roman"/>
          <w:szCs w:val="24"/>
        </w:rPr>
        <w:t>2.387-</w:t>
      </w:r>
      <w:r w:rsidR="00006B90" w:rsidRPr="006F55C4">
        <w:rPr>
          <w:rFonts w:eastAsiaTheme="minorEastAsia" w:cs="Times New Roman"/>
          <w:szCs w:val="24"/>
        </w:rPr>
        <w:t>0.000375= 2.387</w:t>
      </w:r>
    </w:p>
    <w:p w14:paraId="2AB36C12" w14:textId="1DAB0E7D"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8:</w:t>
      </w:r>
      <w:r w:rsidR="005238D0" w:rsidRPr="006F55C4">
        <w:rPr>
          <w:rFonts w:eastAsiaTheme="minorEastAsia" w:cs="Times New Roman"/>
          <w:szCs w:val="24"/>
        </w:rPr>
        <w:t xml:space="preserve"> 1.836-0.000375= 1.8356</w:t>
      </w:r>
    </w:p>
    <w:p w14:paraId="591557B9" w14:textId="5A20437D" w:rsidR="00DF2EA1" w:rsidRPr="006F55C4" w:rsidRDefault="00DF2EA1" w:rsidP="006F55C4">
      <w:pPr>
        <w:spacing w:line="360" w:lineRule="auto"/>
        <w:rPr>
          <w:rFonts w:eastAsiaTheme="minorEastAsia" w:cs="Times New Roman"/>
          <w:szCs w:val="24"/>
        </w:rPr>
      </w:pPr>
      <w:r w:rsidRPr="006F55C4">
        <w:rPr>
          <w:rFonts w:eastAsiaTheme="minorEastAsia" w:cs="Times New Roman"/>
          <w:szCs w:val="24"/>
        </w:rPr>
        <w:t>Standard 9: 1.108-0.00</w:t>
      </w:r>
      <w:r w:rsidR="00685EEA" w:rsidRPr="006F55C4">
        <w:rPr>
          <w:rFonts w:eastAsiaTheme="minorEastAsia" w:cs="Times New Roman"/>
          <w:szCs w:val="24"/>
        </w:rPr>
        <w:t>375= 1.10</w:t>
      </w:r>
      <w:r w:rsidR="005238D0" w:rsidRPr="006F55C4">
        <w:rPr>
          <w:rFonts w:eastAsiaTheme="minorEastAsia" w:cs="Times New Roman"/>
          <w:szCs w:val="24"/>
        </w:rPr>
        <w:t>78</w:t>
      </w:r>
    </w:p>
    <w:p w14:paraId="22C9FF48" w14:textId="2F4A5BDF" w:rsidR="004A282D" w:rsidRPr="006F55C4" w:rsidRDefault="004A282D" w:rsidP="006F55C4">
      <w:pPr>
        <w:spacing w:line="360" w:lineRule="auto"/>
        <w:rPr>
          <w:rFonts w:eastAsiaTheme="minorEastAsia" w:cs="Times New Roman"/>
          <w:b/>
          <w:bCs/>
          <w:szCs w:val="24"/>
        </w:rPr>
      </w:pPr>
      <w:r w:rsidRPr="006F55C4">
        <w:rPr>
          <w:rFonts w:eastAsiaTheme="minorEastAsia" w:cs="Times New Roman"/>
          <w:b/>
          <w:bCs/>
          <w:szCs w:val="24"/>
        </w:rPr>
        <w:t>#Subtarction of controls and sample with blank</w:t>
      </w:r>
    </w:p>
    <w:p w14:paraId="52B3417E" w14:textId="7777A400" w:rsidR="00682ADE" w:rsidRPr="006F55C4" w:rsidRDefault="00682ADE" w:rsidP="006F55C4">
      <w:pPr>
        <w:spacing w:line="360" w:lineRule="auto"/>
        <w:rPr>
          <w:rFonts w:eastAsiaTheme="minorEastAsia" w:cs="Times New Roman"/>
          <w:szCs w:val="24"/>
        </w:rPr>
      </w:pPr>
      <w:r w:rsidRPr="006F55C4">
        <w:rPr>
          <w:rFonts w:eastAsiaTheme="minorEastAsia" w:cs="Times New Roman"/>
          <w:szCs w:val="24"/>
        </w:rPr>
        <w:t xml:space="preserve">Negative control: </w:t>
      </w:r>
      <w:r w:rsidR="00EC1AFD" w:rsidRPr="006F55C4">
        <w:rPr>
          <w:rFonts w:eastAsiaTheme="minorEastAsia" w:cs="Times New Roman"/>
          <w:szCs w:val="24"/>
        </w:rPr>
        <w:t>0.7735-0.000375= 0.765</w:t>
      </w:r>
    </w:p>
    <w:p w14:paraId="0598BC8C" w14:textId="62E60B07" w:rsidR="00EC1AFD" w:rsidRPr="006F55C4" w:rsidRDefault="00EC1AFD" w:rsidP="006F55C4">
      <w:pPr>
        <w:spacing w:line="360" w:lineRule="auto"/>
        <w:rPr>
          <w:rFonts w:eastAsiaTheme="minorEastAsia" w:cs="Times New Roman"/>
          <w:szCs w:val="24"/>
        </w:rPr>
      </w:pPr>
      <w:r w:rsidRPr="006F55C4">
        <w:rPr>
          <w:rFonts w:eastAsiaTheme="minorEastAsia" w:cs="Times New Roman"/>
          <w:szCs w:val="24"/>
        </w:rPr>
        <w:t xml:space="preserve">Positive </w:t>
      </w:r>
      <w:r w:rsidRPr="006F55C4">
        <w:rPr>
          <w:rFonts w:eastAsiaTheme="minorEastAsia" w:cs="Times New Roman"/>
          <w:szCs w:val="24"/>
        </w:rPr>
        <w:t>control: 0.7</w:t>
      </w:r>
      <w:r w:rsidR="0090106D" w:rsidRPr="006F55C4">
        <w:rPr>
          <w:rFonts w:eastAsiaTheme="minorEastAsia" w:cs="Times New Roman"/>
          <w:szCs w:val="24"/>
        </w:rPr>
        <w:t>4025</w:t>
      </w:r>
      <w:r w:rsidRPr="006F55C4">
        <w:rPr>
          <w:rFonts w:eastAsiaTheme="minorEastAsia" w:cs="Times New Roman"/>
          <w:szCs w:val="24"/>
        </w:rPr>
        <w:t>-0.000375= 0.7</w:t>
      </w:r>
      <w:r w:rsidR="0090106D" w:rsidRPr="006F55C4">
        <w:rPr>
          <w:rFonts w:eastAsiaTheme="minorEastAsia" w:cs="Times New Roman"/>
          <w:szCs w:val="24"/>
        </w:rPr>
        <w:t>326</w:t>
      </w:r>
    </w:p>
    <w:p w14:paraId="4F85EF9F" w14:textId="5947E0C3" w:rsidR="00EC1AFD" w:rsidRPr="006F55C4" w:rsidRDefault="0090106D" w:rsidP="006F55C4">
      <w:pPr>
        <w:spacing w:line="360" w:lineRule="auto"/>
        <w:rPr>
          <w:rFonts w:eastAsiaTheme="minorEastAsia" w:cs="Times New Roman"/>
          <w:szCs w:val="24"/>
        </w:rPr>
      </w:pPr>
      <w:r w:rsidRPr="006F55C4">
        <w:rPr>
          <w:rFonts w:eastAsiaTheme="minorEastAsia" w:cs="Times New Roman"/>
          <w:szCs w:val="24"/>
        </w:rPr>
        <w:t>Patient sample</w:t>
      </w:r>
      <w:r w:rsidR="00EC1AFD" w:rsidRPr="006F55C4">
        <w:rPr>
          <w:rFonts w:eastAsiaTheme="minorEastAsia" w:cs="Times New Roman"/>
          <w:szCs w:val="24"/>
        </w:rPr>
        <w:t>: 0.77</w:t>
      </w:r>
      <w:r w:rsidR="005715E9" w:rsidRPr="006F55C4">
        <w:rPr>
          <w:rFonts w:eastAsiaTheme="minorEastAsia" w:cs="Times New Roman"/>
          <w:szCs w:val="24"/>
        </w:rPr>
        <w:t>125</w:t>
      </w:r>
      <w:r w:rsidR="00EC1AFD" w:rsidRPr="006F55C4">
        <w:rPr>
          <w:rFonts w:eastAsiaTheme="minorEastAsia" w:cs="Times New Roman"/>
          <w:szCs w:val="24"/>
        </w:rPr>
        <w:t>-0.000375= 0.76</w:t>
      </w:r>
      <w:r w:rsidR="005715E9" w:rsidRPr="006F55C4">
        <w:rPr>
          <w:rFonts w:eastAsiaTheme="minorEastAsia" w:cs="Times New Roman"/>
          <w:szCs w:val="24"/>
        </w:rPr>
        <w:t>36</w:t>
      </w:r>
    </w:p>
    <w:p w14:paraId="43DB8CC9" w14:textId="392ABF95" w:rsidR="00EC1AFD" w:rsidRPr="006F55C4" w:rsidRDefault="006831E7" w:rsidP="006F55C4">
      <w:pPr>
        <w:spacing w:line="360" w:lineRule="auto"/>
        <w:rPr>
          <w:rFonts w:cs="Times New Roman"/>
          <w:b/>
          <w:bCs/>
          <w:szCs w:val="24"/>
        </w:rPr>
      </w:pPr>
      <w:r w:rsidRPr="006F55C4">
        <w:rPr>
          <w:rFonts w:cs="Times New Roman"/>
          <w:b/>
          <w:bCs/>
          <w:szCs w:val="24"/>
        </w:rPr>
        <w:t>#</w:t>
      </w:r>
      <w:r w:rsidRPr="006F55C4">
        <w:rPr>
          <w:rFonts w:cs="Times New Roman"/>
          <w:b/>
          <w:bCs/>
          <w:szCs w:val="24"/>
        </w:rPr>
        <w:t>Interpretation of ELISA Absorbance Readings</w:t>
      </w:r>
    </w:p>
    <w:p w14:paraId="0EF2C588" w14:textId="77777777" w:rsidR="0013633C" w:rsidRPr="006F55C4" w:rsidRDefault="0013633C" w:rsidP="006F55C4">
      <w:pPr>
        <w:spacing w:after="0" w:line="360" w:lineRule="auto"/>
        <w:rPr>
          <w:rFonts w:eastAsia="Times New Roman" w:cs="Times New Roman"/>
          <w:szCs w:val="24"/>
        </w:rPr>
      </w:pPr>
      <w:r w:rsidRPr="006F55C4">
        <w:rPr>
          <w:rFonts w:eastAsia="Times New Roman" w:cs="Times New Roman"/>
          <w:szCs w:val="24"/>
        </w:rPr>
        <w:t xml:space="preserve">y= Average absorbance </w:t>
      </w:r>
    </w:p>
    <w:p w14:paraId="1290A702" w14:textId="035CB1FE" w:rsidR="0013633C" w:rsidRPr="006F55C4" w:rsidRDefault="0013633C" w:rsidP="006F55C4">
      <w:pPr>
        <w:spacing w:after="0" w:line="360" w:lineRule="auto"/>
        <w:rPr>
          <w:rFonts w:eastAsia="Times New Roman" w:cs="Times New Roman"/>
          <w:szCs w:val="24"/>
        </w:rPr>
      </w:pPr>
      <w:r w:rsidRPr="006F55C4">
        <w:rPr>
          <w:rFonts w:eastAsia="Times New Roman" w:cs="Times New Roman"/>
          <w:szCs w:val="24"/>
        </w:rPr>
        <w:t xml:space="preserve">x= </w:t>
      </w:r>
      <w:r w:rsidR="007558FF" w:rsidRPr="006F55C4">
        <w:rPr>
          <w:rFonts w:eastAsia="Times New Roman" w:cs="Times New Roman"/>
          <w:szCs w:val="24"/>
        </w:rPr>
        <w:t>C</w:t>
      </w:r>
      <w:r w:rsidRPr="006F55C4">
        <w:rPr>
          <w:rFonts w:eastAsia="Times New Roman" w:cs="Times New Roman"/>
          <w:szCs w:val="24"/>
        </w:rPr>
        <w:t xml:space="preserve">oncentration </w:t>
      </w:r>
      <w:r w:rsidR="007558FF" w:rsidRPr="006F55C4">
        <w:rPr>
          <w:rFonts w:eastAsia="Times New Roman" w:cs="Times New Roman"/>
          <w:szCs w:val="24"/>
        </w:rPr>
        <w:t xml:space="preserve">of </w:t>
      </w:r>
      <w:proofErr w:type="spellStart"/>
      <w:r w:rsidR="007558FF" w:rsidRPr="006F55C4">
        <w:rPr>
          <w:rFonts w:eastAsia="Times New Roman" w:cs="Times New Roman"/>
          <w:szCs w:val="24"/>
        </w:rPr>
        <w:t>Tp</w:t>
      </w:r>
      <w:proofErr w:type="spellEnd"/>
      <w:r w:rsidRPr="006F55C4">
        <w:rPr>
          <w:rFonts w:eastAsia="Times New Roman" w:cs="Times New Roman"/>
          <w:szCs w:val="24"/>
        </w:rPr>
        <w:t xml:space="preserve"> sample </w:t>
      </w:r>
    </w:p>
    <w:p w14:paraId="5263BED5" w14:textId="77777777" w:rsidR="0013633C" w:rsidRPr="006F55C4" w:rsidRDefault="0013633C" w:rsidP="006F55C4">
      <w:pPr>
        <w:spacing w:after="0" w:line="360" w:lineRule="auto"/>
        <w:rPr>
          <w:rFonts w:eastAsia="Times New Roman" w:cs="Times New Roman"/>
          <w:szCs w:val="24"/>
        </w:rPr>
      </w:pPr>
      <w:r w:rsidRPr="006F55C4">
        <w:rPr>
          <w:rFonts w:eastAsia="Times New Roman" w:cs="Times New Roman"/>
          <w:szCs w:val="24"/>
        </w:rPr>
        <w:t>c= y-intercept</w:t>
      </w:r>
    </w:p>
    <w:p w14:paraId="579CD9AE" w14:textId="77777777" w:rsidR="0013633C" w:rsidRPr="006F55C4" w:rsidRDefault="0013633C" w:rsidP="006F55C4">
      <w:pPr>
        <w:spacing w:after="0" w:line="360" w:lineRule="auto"/>
        <w:rPr>
          <w:rFonts w:eastAsia="Times New Roman" w:cs="Times New Roman"/>
          <w:szCs w:val="24"/>
        </w:rPr>
      </w:pPr>
    </w:p>
    <w:p w14:paraId="3757BC0E" w14:textId="77777777" w:rsidR="0013633C" w:rsidRPr="006F55C4" w:rsidRDefault="0013633C" w:rsidP="006F55C4">
      <w:pPr>
        <w:spacing w:after="0" w:line="360" w:lineRule="auto"/>
        <w:rPr>
          <w:rFonts w:eastAsia="Times New Roman" w:cs="Times New Roman"/>
          <w:szCs w:val="24"/>
        </w:rPr>
      </w:pPr>
      <w:r w:rsidRPr="006F55C4">
        <w:rPr>
          <w:rFonts w:eastAsia="Times New Roman" w:cs="Times New Roman"/>
          <w:szCs w:val="24"/>
        </w:rPr>
        <w:t xml:space="preserve">The linear equation is, </w:t>
      </w:r>
      <m:oMath>
        <m:r>
          <w:rPr>
            <w:rFonts w:ascii="Cambria Math" w:eastAsia="Times New Roman" w:hAnsi="Cambria Math" w:cs="Times New Roman"/>
            <w:szCs w:val="24"/>
          </w:rPr>
          <m:t>y=mx+c</m:t>
        </m:r>
      </m:oMath>
    </w:p>
    <w:p w14:paraId="3BD648BE" w14:textId="0171FBEA" w:rsidR="0013633C" w:rsidRPr="006F55C4" w:rsidRDefault="0013633C" w:rsidP="006F55C4">
      <w:pPr>
        <w:spacing w:after="0" w:line="360" w:lineRule="auto"/>
        <w:rPr>
          <w:rFonts w:eastAsia="Times New Roman" w:cs="Times New Roman"/>
          <w:szCs w:val="24"/>
        </w:rPr>
      </w:pPr>
      <m:oMathPara>
        <m:oMath>
          <m:r>
            <w:rPr>
              <w:rFonts w:ascii="Cambria Math" w:eastAsia="Times New Roman" w:hAnsi="Cambria Math" w:cs="Times New Roman"/>
              <w:szCs w:val="24"/>
            </w:rPr>
            <m:t>y=</m:t>
          </m:r>
          <m:r>
            <w:rPr>
              <w:rFonts w:ascii="Cambria Math" w:eastAsia="Times New Roman" w:hAnsi="Cambria Math" w:cs="Times New Roman"/>
              <w:szCs w:val="24"/>
            </w:rPr>
            <m:t>-0.0039</m:t>
          </m:r>
          <m:r>
            <w:rPr>
              <w:rFonts w:ascii="Cambria Math" w:eastAsia="Times New Roman" w:hAnsi="Cambria Math" w:cs="Times New Roman"/>
              <w:szCs w:val="24"/>
            </w:rPr>
            <m:t>x+</m:t>
          </m:r>
          <m:r>
            <w:rPr>
              <w:rFonts w:ascii="Cambria Math" w:eastAsia="Times New Roman" w:hAnsi="Cambria Math" w:cs="Times New Roman"/>
              <w:szCs w:val="24"/>
            </w:rPr>
            <m:t>2.9</m:t>
          </m:r>
          <m:r>
            <w:rPr>
              <w:rFonts w:ascii="Cambria Math" w:eastAsia="Times New Roman" w:hAnsi="Cambria Math" w:cs="Times New Roman"/>
              <w:szCs w:val="24"/>
            </w:rPr>
            <m:t>657</m:t>
          </m:r>
        </m:oMath>
      </m:oMathPara>
    </w:p>
    <w:p w14:paraId="26B16AD4" w14:textId="77777777" w:rsidR="0013633C" w:rsidRPr="006F55C4" w:rsidRDefault="0013633C" w:rsidP="006F55C4">
      <w:pPr>
        <w:spacing w:after="0" w:line="360" w:lineRule="auto"/>
        <w:rPr>
          <w:rFonts w:eastAsia="Times New Roman" w:cs="Times New Roman"/>
          <w:szCs w:val="24"/>
        </w:rPr>
      </w:pPr>
    </w:p>
    <w:p w14:paraId="7F5C1DA1" w14:textId="4F99C1CF" w:rsidR="0013633C" w:rsidRPr="006F55C4" w:rsidRDefault="0013633C" w:rsidP="006F55C4">
      <w:pPr>
        <w:spacing w:after="0" w:line="360" w:lineRule="auto"/>
        <w:rPr>
          <w:rFonts w:eastAsia="Times New Roman" w:cs="Times New Roman"/>
          <w:szCs w:val="24"/>
        </w:rPr>
      </w:pPr>
      <w:r w:rsidRPr="006F55C4">
        <w:rPr>
          <w:rFonts w:eastAsia="Times New Roman" w:cs="Times New Roman"/>
          <w:szCs w:val="24"/>
        </w:rPr>
        <w:t xml:space="preserve">Rearranging the equation, </w:t>
      </w:r>
      <m:oMath>
        <m:r>
          <w:rPr>
            <w:rFonts w:ascii="Cambria Math" w:eastAsia="Times New Roman" w:hAnsi="Cambria Math" w:cs="Times New Roman"/>
            <w:szCs w:val="24"/>
          </w:rPr>
          <m:t>x=</m:t>
        </m:r>
        <m:f>
          <m:fPr>
            <m:ctrlPr>
              <w:rPr>
                <w:rFonts w:ascii="Cambria Math" w:eastAsia="Times New Roman" w:hAnsi="Cambria Math" w:cs="Times New Roman"/>
                <w:i/>
                <w:szCs w:val="24"/>
              </w:rPr>
            </m:ctrlPr>
          </m:fPr>
          <m:num>
            <m:r>
              <w:rPr>
                <w:rFonts w:ascii="Cambria Math" w:eastAsia="Times New Roman" w:hAnsi="Cambria Math" w:cs="Times New Roman"/>
                <w:szCs w:val="24"/>
              </w:rPr>
              <m:t>y-c</m:t>
            </m:r>
          </m:num>
          <m:den>
            <m:r>
              <w:rPr>
                <w:rFonts w:ascii="Cambria Math" w:eastAsia="Times New Roman" w:hAnsi="Cambria Math" w:cs="Times New Roman"/>
                <w:szCs w:val="24"/>
              </w:rPr>
              <m:t>m</m:t>
            </m:r>
          </m:den>
        </m:f>
      </m:oMath>
    </w:p>
    <w:p w14:paraId="58AD0CD2" w14:textId="21413627" w:rsidR="002336FF" w:rsidRPr="006F55C4" w:rsidRDefault="002336FF" w:rsidP="006F55C4">
      <w:pPr>
        <w:spacing w:after="0" w:line="360" w:lineRule="auto"/>
        <w:rPr>
          <w:rFonts w:eastAsia="Times New Roman" w:cs="Times New Roman"/>
          <w:szCs w:val="24"/>
        </w:rPr>
      </w:pPr>
      <w:r w:rsidRPr="006F55C4">
        <w:rPr>
          <w:rFonts w:eastAsia="Times New Roman" w:cs="Times New Roman"/>
          <w:szCs w:val="24"/>
        </w:rPr>
        <w:t>For negative control,</w:t>
      </w:r>
    </w:p>
    <w:p w14:paraId="6F4F4458" w14:textId="719932E7" w:rsidR="002336FF" w:rsidRPr="006F55C4" w:rsidRDefault="002336FF" w:rsidP="006F55C4">
      <w:pPr>
        <w:spacing w:after="0" w:line="360" w:lineRule="auto"/>
        <w:rPr>
          <w:rFonts w:eastAsia="Times New Roman" w:cs="Times New Roman"/>
          <w:szCs w:val="24"/>
        </w:rPr>
      </w:pPr>
      <w:r w:rsidRPr="006F55C4">
        <w:rPr>
          <w:rFonts w:eastAsia="Times New Roman" w:cs="Times New Roman"/>
          <w:szCs w:val="24"/>
        </w:rPr>
        <w:t xml:space="preserve">X= </w:t>
      </w:r>
      <m:oMath>
        <m:f>
          <m:fPr>
            <m:ctrlPr>
              <w:rPr>
                <w:rFonts w:ascii="Cambria Math" w:eastAsia="Times New Roman" w:hAnsi="Cambria Math" w:cs="Times New Roman"/>
                <w:i/>
                <w:szCs w:val="24"/>
              </w:rPr>
            </m:ctrlPr>
          </m:fPr>
          <m:num>
            <m:r>
              <w:rPr>
                <w:rFonts w:ascii="Cambria Math" w:eastAsia="Times New Roman" w:hAnsi="Cambria Math" w:cs="Times New Roman"/>
                <w:szCs w:val="24"/>
              </w:rPr>
              <m:t>2.9657</m:t>
            </m:r>
            <m:r>
              <w:rPr>
                <w:rFonts w:ascii="Cambria Math" w:eastAsia="Times New Roman" w:hAnsi="Cambria Math" w:cs="Times New Roman"/>
                <w:szCs w:val="24"/>
              </w:rPr>
              <m:t>-</m:t>
            </m:r>
            <m:r>
              <w:rPr>
                <w:rFonts w:ascii="Cambria Math" w:eastAsia="Times New Roman" w:hAnsi="Cambria Math" w:cs="Times New Roman"/>
                <w:szCs w:val="24"/>
              </w:rPr>
              <m:t>0.765</m:t>
            </m:r>
          </m:num>
          <m:den>
            <m:r>
              <w:rPr>
                <w:rFonts w:ascii="Cambria Math" w:eastAsia="Times New Roman" w:hAnsi="Cambria Math" w:cs="Times New Roman"/>
                <w:szCs w:val="24"/>
              </w:rPr>
              <m:t>0.0039</m:t>
            </m:r>
          </m:den>
        </m:f>
      </m:oMath>
      <w:r w:rsidRPr="006F55C4">
        <w:rPr>
          <w:rFonts w:eastAsia="Times New Roman" w:cs="Times New Roman"/>
          <w:szCs w:val="24"/>
        </w:rPr>
        <w:t xml:space="preserve">= </w:t>
      </w:r>
      <w:r w:rsidR="00F13A43" w:rsidRPr="006F55C4">
        <w:rPr>
          <w:rFonts w:eastAsia="Times New Roman" w:cs="Times New Roman"/>
          <w:szCs w:val="24"/>
        </w:rPr>
        <w:t>564.282</w:t>
      </w:r>
      <w:r w:rsidRPr="006F55C4">
        <w:rPr>
          <w:rFonts w:eastAsia="Times New Roman" w:cs="Times New Roman"/>
          <w:szCs w:val="24"/>
        </w:rPr>
        <w:t xml:space="preserve"> </w:t>
      </w:r>
      <w:r w:rsidR="00F13A43" w:rsidRPr="006F55C4">
        <w:rPr>
          <w:rFonts w:eastAsia="Times New Roman" w:cs="Times New Roman"/>
          <w:szCs w:val="24"/>
        </w:rPr>
        <w:t>n</w:t>
      </w:r>
      <w:r w:rsidRPr="006F55C4">
        <w:rPr>
          <w:rFonts w:eastAsia="Times New Roman" w:cs="Times New Roman"/>
          <w:szCs w:val="24"/>
        </w:rPr>
        <w:t>g/</w:t>
      </w:r>
      <w:r w:rsidR="00F13A43" w:rsidRPr="006F55C4">
        <w:rPr>
          <w:rFonts w:eastAsia="Times New Roman" w:cs="Times New Roman"/>
          <w:szCs w:val="24"/>
        </w:rPr>
        <w:t>m</w:t>
      </w:r>
      <w:r w:rsidRPr="006F55C4">
        <w:rPr>
          <w:rFonts w:eastAsia="Times New Roman" w:cs="Times New Roman"/>
          <w:szCs w:val="24"/>
        </w:rPr>
        <w:t>l</w:t>
      </w:r>
    </w:p>
    <w:p w14:paraId="3689BCCB" w14:textId="281D04D3" w:rsidR="00F13A43" w:rsidRPr="006F55C4" w:rsidRDefault="00F13A43" w:rsidP="006F55C4">
      <w:pPr>
        <w:spacing w:after="0" w:line="360" w:lineRule="auto"/>
        <w:rPr>
          <w:rFonts w:eastAsia="Times New Roman" w:cs="Times New Roman"/>
          <w:szCs w:val="24"/>
        </w:rPr>
      </w:pPr>
      <w:r w:rsidRPr="006F55C4">
        <w:rPr>
          <w:rFonts w:eastAsia="Times New Roman" w:cs="Times New Roman"/>
          <w:szCs w:val="24"/>
        </w:rPr>
        <w:t xml:space="preserve">For </w:t>
      </w:r>
      <w:r w:rsidRPr="006F55C4">
        <w:rPr>
          <w:rFonts w:eastAsia="Times New Roman" w:cs="Times New Roman"/>
          <w:szCs w:val="24"/>
        </w:rPr>
        <w:t>positive</w:t>
      </w:r>
      <w:r w:rsidRPr="006F55C4">
        <w:rPr>
          <w:rFonts w:eastAsia="Times New Roman" w:cs="Times New Roman"/>
          <w:szCs w:val="24"/>
        </w:rPr>
        <w:t xml:space="preserve"> control,</w:t>
      </w:r>
    </w:p>
    <w:p w14:paraId="5D1C7CE7" w14:textId="43D86560" w:rsidR="00F13A43" w:rsidRPr="006F55C4" w:rsidRDefault="00F13A43" w:rsidP="006F55C4">
      <w:pPr>
        <w:spacing w:after="0" w:line="360" w:lineRule="auto"/>
        <w:rPr>
          <w:rFonts w:eastAsia="Times New Roman" w:cs="Times New Roman"/>
          <w:szCs w:val="24"/>
        </w:rPr>
      </w:pPr>
      <w:r w:rsidRPr="006F55C4">
        <w:rPr>
          <w:rFonts w:eastAsia="Times New Roman" w:cs="Times New Roman"/>
          <w:szCs w:val="24"/>
        </w:rPr>
        <w:t xml:space="preserve">X= </w:t>
      </w:r>
      <m:oMath>
        <m:f>
          <m:fPr>
            <m:ctrlPr>
              <w:rPr>
                <w:rFonts w:ascii="Cambria Math" w:eastAsia="Times New Roman" w:hAnsi="Cambria Math" w:cs="Times New Roman"/>
                <w:i/>
                <w:szCs w:val="24"/>
              </w:rPr>
            </m:ctrlPr>
          </m:fPr>
          <m:num>
            <m:r>
              <w:rPr>
                <w:rFonts w:ascii="Cambria Math" w:eastAsia="Times New Roman" w:hAnsi="Cambria Math" w:cs="Times New Roman"/>
                <w:szCs w:val="24"/>
              </w:rPr>
              <m:t>2.9657-0.7</m:t>
            </m:r>
            <m:r>
              <w:rPr>
                <w:rFonts w:ascii="Cambria Math" w:eastAsia="Times New Roman" w:hAnsi="Cambria Math" w:cs="Times New Roman"/>
                <w:szCs w:val="24"/>
              </w:rPr>
              <m:t>32</m:t>
            </m:r>
          </m:num>
          <m:den>
            <m:r>
              <w:rPr>
                <w:rFonts w:ascii="Cambria Math" w:eastAsia="Times New Roman" w:hAnsi="Cambria Math" w:cs="Times New Roman"/>
                <w:szCs w:val="24"/>
              </w:rPr>
              <m:t>0.0039</m:t>
            </m:r>
          </m:den>
        </m:f>
      </m:oMath>
      <w:r w:rsidRPr="006F55C4">
        <w:rPr>
          <w:rFonts w:eastAsia="Times New Roman" w:cs="Times New Roman"/>
          <w:szCs w:val="24"/>
        </w:rPr>
        <w:t xml:space="preserve">= </w:t>
      </w:r>
      <w:r w:rsidR="000830CD" w:rsidRPr="006F55C4">
        <w:rPr>
          <w:rFonts w:eastAsia="Times New Roman" w:cs="Times New Roman"/>
          <w:szCs w:val="24"/>
        </w:rPr>
        <w:t>572.743</w:t>
      </w:r>
      <w:r w:rsidRPr="006F55C4">
        <w:rPr>
          <w:rFonts w:eastAsia="Times New Roman" w:cs="Times New Roman"/>
          <w:szCs w:val="24"/>
        </w:rPr>
        <w:t>ng/ml</w:t>
      </w:r>
    </w:p>
    <w:p w14:paraId="63953E52" w14:textId="511A3DE9" w:rsidR="000830CD" w:rsidRPr="006F55C4" w:rsidRDefault="000830CD" w:rsidP="006F55C4">
      <w:pPr>
        <w:spacing w:after="0" w:line="360" w:lineRule="auto"/>
        <w:rPr>
          <w:rFonts w:eastAsia="Times New Roman" w:cs="Times New Roman"/>
          <w:szCs w:val="24"/>
        </w:rPr>
      </w:pPr>
      <w:r w:rsidRPr="006F55C4">
        <w:rPr>
          <w:rFonts w:eastAsia="Times New Roman" w:cs="Times New Roman"/>
          <w:szCs w:val="24"/>
        </w:rPr>
        <w:t>For</w:t>
      </w:r>
      <w:r w:rsidRPr="006F55C4">
        <w:rPr>
          <w:rFonts w:eastAsia="Times New Roman" w:cs="Times New Roman"/>
          <w:szCs w:val="24"/>
        </w:rPr>
        <w:t xml:space="preserve"> patient sample</w:t>
      </w:r>
      <w:r w:rsidRPr="006F55C4">
        <w:rPr>
          <w:rFonts w:eastAsia="Times New Roman" w:cs="Times New Roman"/>
          <w:szCs w:val="24"/>
        </w:rPr>
        <w:t>,</w:t>
      </w:r>
    </w:p>
    <w:p w14:paraId="6F84B790" w14:textId="06ED27D2" w:rsidR="000830CD" w:rsidRPr="006F55C4" w:rsidRDefault="000830CD" w:rsidP="006F55C4">
      <w:pPr>
        <w:spacing w:after="0" w:line="360" w:lineRule="auto"/>
        <w:rPr>
          <w:rFonts w:eastAsia="Times New Roman" w:cs="Times New Roman"/>
          <w:szCs w:val="24"/>
        </w:rPr>
      </w:pPr>
      <w:r w:rsidRPr="006F55C4">
        <w:rPr>
          <w:rFonts w:eastAsia="Times New Roman" w:cs="Times New Roman"/>
          <w:szCs w:val="24"/>
        </w:rPr>
        <w:t xml:space="preserve">X= </w:t>
      </w:r>
      <m:oMath>
        <m:f>
          <m:fPr>
            <m:ctrlPr>
              <w:rPr>
                <w:rFonts w:ascii="Cambria Math" w:eastAsia="Times New Roman" w:hAnsi="Cambria Math" w:cs="Times New Roman"/>
                <w:i/>
                <w:szCs w:val="24"/>
              </w:rPr>
            </m:ctrlPr>
          </m:fPr>
          <m:num>
            <m:r>
              <w:rPr>
                <w:rFonts w:ascii="Cambria Math" w:eastAsia="Times New Roman" w:hAnsi="Cambria Math" w:cs="Times New Roman"/>
                <w:szCs w:val="24"/>
              </w:rPr>
              <m:t>2.9657-0.7</m:t>
            </m:r>
            <m:r>
              <w:rPr>
                <w:rFonts w:ascii="Cambria Math" w:eastAsia="Times New Roman" w:hAnsi="Cambria Math" w:cs="Times New Roman"/>
                <w:szCs w:val="24"/>
              </w:rPr>
              <m:t>63</m:t>
            </m:r>
          </m:num>
          <m:den>
            <m:r>
              <w:rPr>
                <w:rFonts w:ascii="Cambria Math" w:eastAsia="Times New Roman" w:hAnsi="Cambria Math" w:cs="Times New Roman"/>
                <w:szCs w:val="24"/>
              </w:rPr>
              <m:t>0.0039</m:t>
            </m:r>
          </m:den>
        </m:f>
      </m:oMath>
      <w:r w:rsidRPr="006F55C4">
        <w:rPr>
          <w:rFonts w:eastAsia="Times New Roman" w:cs="Times New Roman"/>
          <w:szCs w:val="24"/>
        </w:rPr>
        <w:t>= 564.</w:t>
      </w:r>
      <w:r w:rsidR="005740C0" w:rsidRPr="006F55C4">
        <w:rPr>
          <w:rFonts w:eastAsia="Times New Roman" w:cs="Times New Roman"/>
          <w:szCs w:val="24"/>
        </w:rPr>
        <w:t>794</w:t>
      </w:r>
      <w:r w:rsidRPr="006F55C4">
        <w:rPr>
          <w:rFonts w:eastAsia="Times New Roman" w:cs="Times New Roman"/>
          <w:szCs w:val="24"/>
        </w:rPr>
        <w:t xml:space="preserve"> ng/ml</w:t>
      </w:r>
    </w:p>
    <w:p w14:paraId="5FB5FC19" w14:textId="77777777" w:rsidR="000830CD" w:rsidRPr="006F55C4" w:rsidRDefault="000830CD" w:rsidP="006F55C4">
      <w:pPr>
        <w:spacing w:after="0" w:line="360" w:lineRule="auto"/>
        <w:rPr>
          <w:rFonts w:eastAsia="Times New Roman" w:cs="Times New Roman"/>
          <w:szCs w:val="24"/>
        </w:rPr>
      </w:pPr>
    </w:p>
    <w:p w14:paraId="7C35C9C0" w14:textId="77777777" w:rsidR="00F13A43" w:rsidRPr="006F55C4" w:rsidRDefault="00F13A43" w:rsidP="006F55C4">
      <w:pPr>
        <w:spacing w:line="360" w:lineRule="auto"/>
        <w:rPr>
          <w:rFonts w:eastAsiaTheme="minorEastAsia" w:cs="Times New Roman"/>
          <w:b/>
          <w:bCs/>
          <w:szCs w:val="24"/>
        </w:rPr>
      </w:pPr>
    </w:p>
    <w:p w14:paraId="1985773F" w14:textId="55574895" w:rsidR="005A6DB7" w:rsidRPr="006F55C4" w:rsidRDefault="005A6DB7" w:rsidP="006F55C4">
      <w:pPr>
        <w:spacing w:line="360" w:lineRule="auto"/>
        <w:rPr>
          <w:rFonts w:eastAsiaTheme="minorEastAsia" w:cs="Times New Roman"/>
          <w:szCs w:val="24"/>
        </w:rPr>
      </w:pPr>
    </w:p>
    <w:p w14:paraId="69E7AD31" w14:textId="79623A67" w:rsidR="005A6DB7" w:rsidRPr="006F55C4" w:rsidRDefault="005A6DB7" w:rsidP="006F55C4">
      <w:pPr>
        <w:spacing w:line="360" w:lineRule="auto"/>
        <w:rPr>
          <w:rFonts w:eastAsiaTheme="minorEastAsia" w:cs="Times New Roman"/>
          <w:b/>
          <w:bCs/>
          <w:szCs w:val="24"/>
        </w:rPr>
      </w:pPr>
      <w:r w:rsidRPr="006F55C4">
        <w:rPr>
          <w:rFonts w:eastAsiaTheme="minorEastAsia" w:cs="Times New Roman"/>
          <w:b/>
          <w:bCs/>
          <w:szCs w:val="24"/>
        </w:rPr>
        <w:t>Abbreviations</w:t>
      </w:r>
      <w:r w:rsidR="00912051" w:rsidRPr="006F55C4">
        <w:rPr>
          <w:rFonts w:eastAsiaTheme="minorEastAsia" w:cs="Times New Roman"/>
          <w:b/>
          <w:bCs/>
          <w:szCs w:val="24"/>
        </w:rPr>
        <w:t xml:space="preserve"> used:</w:t>
      </w:r>
    </w:p>
    <w:p w14:paraId="54868FAC" w14:textId="4EBF0EE3" w:rsidR="00912051" w:rsidRPr="006F55C4" w:rsidRDefault="00912051" w:rsidP="006F55C4">
      <w:pPr>
        <w:spacing w:line="360" w:lineRule="auto"/>
        <w:rPr>
          <w:rFonts w:eastAsiaTheme="minorEastAsia" w:cs="Times New Roman"/>
          <w:szCs w:val="24"/>
        </w:rPr>
      </w:pPr>
      <w:r w:rsidRPr="006F55C4">
        <w:rPr>
          <w:rFonts w:eastAsiaTheme="minorEastAsia" w:cs="Times New Roman"/>
          <w:szCs w:val="24"/>
        </w:rPr>
        <w:t>ELISA: Enzyme-Linked Immunosorbent Assay</w:t>
      </w:r>
    </w:p>
    <w:p w14:paraId="18FE15A1" w14:textId="40B288A0" w:rsidR="00912051" w:rsidRPr="006F55C4" w:rsidRDefault="00912051" w:rsidP="006F55C4">
      <w:pPr>
        <w:spacing w:line="360" w:lineRule="auto"/>
        <w:rPr>
          <w:rFonts w:eastAsiaTheme="minorEastAsia" w:cs="Times New Roman"/>
          <w:szCs w:val="24"/>
        </w:rPr>
      </w:pPr>
      <w:r w:rsidRPr="006F55C4">
        <w:rPr>
          <w:rFonts w:eastAsiaTheme="minorEastAsia" w:cs="Times New Roman"/>
          <w:szCs w:val="24"/>
        </w:rPr>
        <w:t>R²: Coefficient of Determination</w:t>
      </w:r>
    </w:p>
    <w:p w14:paraId="66908CDD" w14:textId="02D7F4A1" w:rsidR="00912051" w:rsidRPr="006F55C4" w:rsidRDefault="00912051" w:rsidP="006F55C4">
      <w:pPr>
        <w:spacing w:line="360" w:lineRule="auto"/>
        <w:rPr>
          <w:rFonts w:eastAsiaTheme="minorEastAsia" w:cs="Times New Roman"/>
          <w:szCs w:val="24"/>
        </w:rPr>
      </w:pPr>
      <w:proofErr w:type="spellStart"/>
      <w:r w:rsidRPr="006F55C4">
        <w:rPr>
          <w:rFonts w:eastAsiaTheme="minorEastAsia" w:cs="Times New Roman"/>
          <w:szCs w:val="24"/>
        </w:rPr>
        <w:t>Tp</w:t>
      </w:r>
      <w:proofErr w:type="spellEnd"/>
      <w:r w:rsidRPr="006F55C4">
        <w:rPr>
          <w:rFonts w:eastAsiaTheme="minorEastAsia" w:cs="Times New Roman"/>
          <w:szCs w:val="24"/>
        </w:rPr>
        <w:t>: Treponema pallidum</w:t>
      </w:r>
    </w:p>
    <w:p w14:paraId="5278F026" w14:textId="24EA982B" w:rsidR="00912051" w:rsidRPr="006F55C4" w:rsidRDefault="00912051" w:rsidP="006F55C4">
      <w:pPr>
        <w:spacing w:line="360" w:lineRule="auto"/>
        <w:rPr>
          <w:rFonts w:eastAsiaTheme="minorEastAsia" w:cs="Times New Roman"/>
          <w:szCs w:val="24"/>
        </w:rPr>
      </w:pPr>
      <w:r w:rsidRPr="006F55C4">
        <w:rPr>
          <w:rFonts w:eastAsiaTheme="minorEastAsia" w:cs="Times New Roman"/>
          <w:szCs w:val="24"/>
        </w:rPr>
        <w:t>ng/ml: Nanograms per Milliliter</w:t>
      </w:r>
    </w:p>
    <w:p w14:paraId="4A0D6D1B" w14:textId="50E2E889" w:rsidR="00912051" w:rsidRPr="006F55C4" w:rsidRDefault="00912051" w:rsidP="006F55C4">
      <w:pPr>
        <w:spacing w:line="360" w:lineRule="auto"/>
        <w:rPr>
          <w:rFonts w:eastAsiaTheme="minorEastAsia" w:cs="Times New Roman"/>
          <w:szCs w:val="24"/>
        </w:rPr>
      </w:pPr>
      <w:r w:rsidRPr="006F55C4">
        <w:rPr>
          <w:rFonts w:eastAsiaTheme="minorEastAsia" w:cs="Times New Roman"/>
          <w:szCs w:val="24"/>
        </w:rPr>
        <w:t>C1V1 = C2V2: Concentration 1 × Volume 1 = Concentration 2 × Volume 2</w:t>
      </w:r>
    </w:p>
    <w:p w14:paraId="001F8C10" w14:textId="77777777" w:rsidR="00912051" w:rsidRPr="006F55C4" w:rsidRDefault="00912051" w:rsidP="006F55C4">
      <w:pPr>
        <w:spacing w:line="360" w:lineRule="auto"/>
        <w:rPr>
          <w:rFonts w:eastAsiaTheme="minorEastAsia" w:cs="Times New Roman"/>
          <w:szCs w:val="24"/>
        </w:rPr>
      </w:pPr>
    </w:p>
    <w:p w14:paraId="45171D93" w14:textId="77777777" w:rsidR="000F6F1E" w:rsidRPr="006F55C4" w:rsidRDefault="000F6F1E" w:rsidP="006F55C4">
      <w:pPr>
        <w:spacing w:line="360" w:lineRule="auto"/>
        <w:rPr>
          <w:rFonts w:eastAsiaTheme="minorEastAsia" w:cs="Times New Roman"/>
          <w:szCs w:val="24"/>
        </w:rPr>
      </w:pPr>
    </w:p>
    <w:p w14:paraId="54A4398E" w14:textId="41F428D3" w:rsidR="0040567D" w:rsidRPr="006F55C4" w:rsidRDefault="0040567D" w:rsidP="006F55C4">
      <w:pPr>
        <w:spacing w:line="360" w:lineRule="auto"/>
        <w:rPr>
          <w:rFonts w:eastAsiaTheme="minorEastAsia" w:cs="Times New Roman"/>
          <w:szCs w:val="24"/>
        </w:rPr>
      </w:pPr>
    </w:p>
    <w:p w14:paraId="5663FB15" w14:textId="77777777" w:rsidR="0040567D" w:rsidRPr="006F55C4" w:rsidRDefault="0040567D" w:rsidP="006F55C4">
      <w:pPr>
        <w:spacing w:line="360" w:lineRule="auto"/>
        <w:rPr>
          <w:rFonts w:eastAsiaTheme="minorEastAsia" w:cs="Times New Roman"/>
          <w:szCs w:val="24"/>
        </w:rPr>
      </w:pPr>
    </w:p>
    <w:p w14:paraId="0362A0A7" w14:textId="655455E0" w:rsidR="00A63C9F" w:rsidRPr="006F55C4" w:rsidRDefault="00A63C9F" w:rsidP="006F55C4">
      <w:pPr>
        <w:spacing w:line="360" w:lineRule="auto"/>
        <w:rPr>
          <w:rFonts w:eastAsiaTheme="minorEastAsia" w:cs="Times New Roman"/>
          <w:szCs w:val="24"/>
        </w:rPr>
      </w:pPr>
    </w:p>
    <w:p w14:paraId="04426D2A" w14:textId="77777777" w:rsidR="00A63C9F" w:rsidRPr="006F55C4" w:rsidRDefault="00A63C9F" w:rsidP="006F55C4">
      <w:pPr>
        <w:spacing w:line="360" w:lineRule="auto"/>
        <w:rPr>
          <w:rFonts w:eastAsiaTheme="minorEastAsia" w:cs="Times New Roman"/>
          <w:szCs w:val="24"/>
        </w:rPr>
      </w:pPr>
    </w:p>
    <w:p w14:paraId="2D6C23B8" w14:textId="77777777" w:rsidR="00EF0B15" w:rsidRPr="006F55C4" w:rsidRDefault="00EF0B15" w:rsidP="006F55C4">
      <w:pPr>
        <w:spacing w:line="360" w:lineRule="auto"/>
        <w:rPr>
          <w:rFonts w:eastAsiaTheme="minorEastAsia" w:cs="Times New Roman"/>
          <w:szCs w:val="24"/>
        </w:rPr>
      </w:pPr>
    </w:p>
    <w:p w14:paraId="6604EC38" w14:textId="78464849" w:rsidR="00F20C0E" w:rsidRPr="006F55C4" w:rsidRDefault="00F20C0E" w:rsidP="006F55C4">
      <w:pPr>
        <w:pStyle w:val="EndNoteBibliography"/>
        <w:spacing w:after="0" w:line="360" w:lineRule="auto"/>
        <w:rPr>
          <w:szCs w:val="24"/>
        </w:rPr>
      </w:pPr>
    </w:p>
    <w:p w14:paraId="3B5016B3" w14:textId="0A83A660" w:rsidR="00CB0401" w:rsidRPr="006F55C4" w:rsidRDefault="00CB0401" w:rsidP="006F55C4">
      <w:pPr>
        <w:pStyle w:val="EndNoteBibliography"/>
        <w:spacing w:after="0" w:line="360" w:lineRule="auto"/>
        <w:rPr>
          <w:szCs w:val="24"/>
        </w:rPr>
      </w:pPr>
    </w:p>
    <w:p w14:paraId="77926014" w14:textId="457CC9BD" w:rsidR="00CB0401" w:rsidRPr="006F55C4" w:rsidRDefault="00CB0401" w:rsidP="006F55C4">
      <w:pPr>
        <w:pStyle w:val="EndNoteBibliography"/>
        <w:spacing w:after="0" w:line="360" w:lineRule="auto"/>
        <w:rPr>
          <w:szCs w:val="24"/>
        </w:rPr>
      </w:pPr>
    </w:p>
    <w:p w14:paraId="62F3BEBC" w14:textId="77777777" w:rsidR="004B5735" w:rsidRPr="006F55C4" w:rsidRDefault="004B5735" w:rsidP="006F55C4">
      <w:pPr>
        <w:pStyle w:val="EndNoteBibliography"/>
        <w:spacing w:after="0" w:line="360" w:lineRule="auto"/>
        <w:rPr>
          <w:szCs w:val="24"/>
        </w:rPr>
      </w:pPr>
    </w:p>
    <w:p w14:paraId="7A773EDC" w14:textId="77777777" w:rsidR="004B5735" w:rsidRPr="006F55C4" w:rsidRDefault="004B5735" w:rsidP="006F55C4">
      <w:pPr>
        <w:pStyle w:val="EndNoteBibliography"/>
        <w:spacing w:after="0" w:line="360" w:lineRule="auto"/>
        <w:rPr>
          <w:szCs w:val="24"/>
        </w:rPr>
      </w:pPr>
    </w:p>
    <w:p w14:paraId="40FD17BC" w14:textId="77777777" w:rsidR="004B5735" w:rsidRPr="006F55C4" w:rsidRDefault="004B5735" w:rsidP="006F55C4">
      <w:pPr>
        <w:pStyle w:val="EndNoteBibliography"/>
        <w:spacing w:after="0" w:line="360" w:lineRule="auto"/>
        <w:rPr>
          <w:szCs w:val="24"/>
        </w:rPr>
      </w:pPr>
    </w:p>
    <w:p w14:paraId="16B24E5E" w14:textId="77777777" w:rsidR="004B5735" w:rsidRPr="006F55C4" w:rsidRDefault="004B5735" w:rsidP="006F55C4">
      <w:pPr>
        <w:pStyle w:val="EndNoteBibliography"/>
        <w:spacing w:after="0" w:line="360" w:lineRule="auto"/>
        <w:rPr>
          <w:szCs w:val="24"/>
        </w:rPr>
      </w:pPr>
    </w:p>
    <w:p w14:paraId="177B9595" w14:textId="77777777" w:rsidR="004B5735" w:rsidRPr="006F55C4" w:rsidRDefault="004B5735" w:rsidP="006F55C4">
      <w:pPr>
        <w:pStyle w:val="EndNoteBibliography"/>
        <w:spacing w:after="0" w:line="360" w:lineRule="auto"/>
        <w:rPr>
          <w:szCs w:val="24"/>
        </w:rPr>
      </w:pPr>
    </w:p>
    <w:p w14:paraId="022CF145" w14:textId="77777777" w:rsidR="004B5735" w:rsidRPr="006F55C4" w:rsidRDefault="004B5735" w:rsidP="006F55C4">
      <w:pPr>
        <w:pStyle w:val="EndNoteBibliography"/>
        <w:spacing w:after="0" w:line="360" w:lineRule="auto"/>
        <w:rPr>
          <w:szCs w:val="24"/>
        </w:rPr>
      </w:pPr>
    </w:p>
    <w:p w14:paraId="0EAB92C3" w14:textId="77777777" w:rsidR="004B5735" w:rsidRPr="006F55C4" w:rsidRDefault="004B5735" w:rsidP="006F55C4">
      <w:pPr>
        <w:pStyle w:val="EndNoteBibliography"/>
        <w:spacing w:after="0" w:line="360" w:lineRule="auto"/>
        <w:rPr>
          <w:szCs w:val="24"/>
        </w:rPr>
      </w:pPr>
    </w:p>
    <w:p w14:paraId="50FDA609" w14:textId="77777777" w:rsidR="004B5735" w:rsidRPr="006F55C4" w:rsidRDefault="004B5735" w:rsidP="006F55C4">
      <w:pPr>
        <w:pStyle w:val="EndNoteBibliography"/>
        <w:spacing w:after="0" w:line="360" w:lineRule="auto"/>
        <w:rPr>
          <w:szCs w:val="24"/>
        </w:rPr>
      </w:pPr>
    </w:p>
    <w:p w14:paraId="404CF7A9" w14:textId="77777777" w:rsidR="004B5735" w:rsidRPr="006F55C4" w:rsidRDefault="004B5735" w:rsidP="006F55C4">
      <w:pPr>
        <w:pStyle w:val="EndNoteBibliography"/>
        <w:spacing w:after="0" w:line="360" w:lineRule="auto"/>
        <w:rPr>
          <w:szCs w:val="24"/>
        </w:rPr>
      </w:pPr>
    </w:p>
    <w:p w14:paraId="3C7EDF8B" w14:textId="77777777" w:rsidR="004B5735" w:rsidRPr="006F55C4" w:rsidRDefault="004B5735" w:rsidP="006F55C4">
      <w:pPr>
        <w:pStyle w:val="EndNoteBibliography"/>
        <w:spacing w:after="0" w:line="360" w:lineRule="auto"/>
        <w:rPr>
          <w:szCs w:val="24"/>
        </w:rPr>
      </w:pPr>
    </w:p>
    <w:p w14:paraId="02139A4A" w14:textId="77777777" w:rsidR="004B5735" w:rsidRPr="006F55C4" w:rsidRDefault="004B5735" w:rsidP="006F55C4">
      <w:pPr>
        <w:pStyle w:val="EndNoteBibliography"/>
        <w:spacing w:after="0" w:line="360" w:lineRule="auto"/>
        <w:rPr>
          <w:szCs w:val="24"/>
        </w:rPr>
      </w:pPr>
    </w:p>
    <w:p w14:paraId="37D9B610" w14:textId="77777777" w:rsidR="004B5735" w:rsidRPr="006F55C4" w:rsidRDefault="004B5735" w:rsidP="006F55C4">
      <w:pPr>
        <w:pStyle w:val="EndNoteBibliography"/>
        <w:spacing w:after="0" w:line="360" w:lineRule="auto"/>
        <w:rPr>
          <w:szCs w:val="24"/>
        </w:rPr>
      </w:pPr>
    </w:p>
    <w:p w14:paraId="34C06F21" w14:textId="77777777" w:rsidR="00307E37" w:rsidRPr="006F55C4" w:rsidRDefault="00307E37" w:rsidP="006F55C4">
      <w:pPr>
        <w:pStyle w:val="EndNoteBibliography"/>
        <w:spacing w:after="0" w:line="360" w:lineRule="auto"/>
        <w:rPr>
          <w:b/>
          <w:bCs/>
          <w:szCs w:val="24"/>
        </w:rPr>
      </w:pPr>
    </w:p>
    <w:p w14:paraId="61BB891A" w14:textId="77777777" w:rsidR="00307E37" w:rsidRPr="006F55C4" w:rsidRDefault="00307E37" w:rsidP="006F55C4">
      <w:pPr>
        <w:pStyle w:val="EndNoteBibliography"/>
        <w:spacing w:after="0" w:line="360" w:lineRule="auto"/>
        <w:rPr>
          <w:b/>
          <w:bCs/>
          <w:szCs w:val="24"/>
        </w:rPr>
      </w:pPr>
    </w:p>
    <w:p w14:paraId="55A56246" w14:textId="77777777" w:rsidR="00307E37" w:rsidRPr="006F55C4" w:rsidRDefault="00307E37" w:rsidP="006F55C4">
      <w:pPr>
        <w:pStyle w:val="EndNoteBibliography"/>
        <w:spacing w:after="0" w:line="360" w:lineRule="auto"/>
        <w:rPr>
          <w:b/>
          <w:bCs/>
          <w:szCs w:val="24"/>
        </w:rPr>
      </w:pPr>
    </w:p>
    <w:p w14:paraId="11A937C4" w14:textId="77777777" w:rsidR="00307E37" w:rsidRPr="006F55C4" w:rsidRDefault="00307E37" w:rsidP="006F55C4">
      <w:pPr>
        <w:pStyle w:val="EndNoteBibliography"/>
        <w:spacing w:after="0" w:line="360" w:lineRule="auto"/>
        <w:rPr>
          <w:b/>
          <w:bCs/>
          <w:szCs w:val="24"/>
        </w:rPr>
      </w:pPr>
    </w:p>
    <w:p w14:paraId="5F5435D8" w14:textId="480562B9" w:rsidR="00CB0401" w:rsidRPr="006F55C4" w:rsidRDefault="00CB0401" w:rsidP="006F55C4">
      <w:pPr>
        <w:pStyle w:val="EndNoteBibliography"/>
        <w:spacing w:after="0" w:line="360" w:lineRule="auto"/>
        <w:rPr>
          <w:b/>
          <w:bCs/>
          <w:szCs w:val="24"/>
        </w:rPr>
      </w:pPr>
      <w:r w:rsidRPr="006F55C4">
        <w:rPr>
          <w:b/>
          <w:bCs/>
          <w:szCs w:val="24"/>
        </w:rPr>
        <w:t>Ref</w:t>
      </w:r>
      <w:r w:rsidR="004B5735" w:rsidRPr="006F55C4">
        <w:rPr>
          <w:b/>
          <w:bCs/>
          <w:szCs w:val="24"/>
        </w:rPr>
        <w:t>e</w:t>
      </w:r>
      <w:r w:rsidRPr="006F55C4">
        <w:rPr>
          <w:b/>
          <w:bCs/>
          <w:szCs w:val="24"/>
        </w:rPr>
        <w:t xml:space="preserve">rences: </w:t>
      </w:r>
    </w:p>
    <w:p w14:paraId="68F70029" w14:textId="66CE1E6D" w:rsidR="00CB0401" w:rsidRPr="006F55C4" w:rsidRDefault="00CB0401" w:rsidP="006F55C4">
      <w:pPr>
        <w:pStyle w:val="EndNoteBibliography"/>
        <w:spacing w:after="0" w:line="360" w:lineRule="auto"/>
        <w:rPr>
          <w:szCs w:val="24"/>
        </w:rPr>
      </w:pPr>
    </w:p>
    <w:p w14:paraId="0C722D44" w14:textId="77777777" w:rsidR="00CB0401" w:rsidRPr="006F55C4" w:rsidRDefault="00CB0401" w:rsidP="006F55C4">
      <w:pPr>
        <w:pStyle w:val="EndNoteBibliography"/>
        <w:spacing w:after="0" w:line="360" w:lineRule="auto"/>
        <w:rPr>
          <w:szCs w:val="24"/>
        </w:rPr>
      </w:pPr>
    </w:p>
    <w:p w14:paraId="760A3758" w14:textId="77777777" w:rsidR="002107FF" w:rsidRPr="006F55C4" w:rsidRDefault="009C6535" w:rsidP="006F55C4">
      <w:pPr>
        <w:pStyle w:val="EndNoteBibliography"/>
        <w:spacing w:after="0" w:line="360" w:lineRule="auto"/>
        <w:ind w:left="720" w:hanging="720"/>
        <w:rPr>
          <w:szCs w:val="24"/>
        </w:rPr>
      </w:pPr>
      <w:r w:rsidRPr="006F55C4">
        <w:rPr>
          <w:szCs w:val="24"/>
        </w:rPr>
        <w:fldChar w:fldCharType="begin"/>
      </w:r>
      <w:r w:rsidRPr="006F55C4">
        <w:rPr>
          <w:szCs w:val="24"/>
        </w:rPr>
        <w:instrText xml:space="preserve"> ADDIN EN.REFLIST </w:instrText>
      </w:r>
      <w:r w:rsidRPr="006F55C4">
        <w:rPr>
          <w:szCs w:val="24"/>
        </w:rPr>
        <w:fldChar w:fldCharType="separate"/>
      </w:r>
      <w:r w:rsidR="002107FF" w:rsidRPr="006F55C4">
        <w:rPr>
          <w:szCs w:val="24"/>
        </w:rPr>
        <w:t xml:space="preserve">BERGER, S. &amp; GIDEON SCIENCE TEAM, G. S. 2024. </w:t>
      </w:r>
      <w:r w:rsidR="002107FF" w:rsidRPr="006F55C4">
        <w:rPr>
          <w:i/>
          <w:szCs w:val="24"/>
        </w:rPr>
        <w:t xml:space="preserve">Syphilis: Global Status, </w:t>
      </w:r>
      <w:r w:rsidR="002107FF" w:rsidRPr="006F55C4">
        <w:rPr>
          <w:szCs w:val="24"/>
        </w:rPr>
        <w:t>Los Angeles, UNITED STATES, Gideon Informatics, Incorporated.</w:t>
      </w:r>
    </w:p>
    <w:p w14:paraId="14CD9166"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BROWN, D. L. &amp; FRANK, J. E. 2003. Diagnosis and management of syphilis. </w:t>
      </w:r>
      <w:r w:rsidRPr="006F55C4">
        <w:rPr>
          <w:i/>
          <w:szCs w:val="24"/>
        </w:rPr>
        <w:t>American family physician,</w:t>
      </w:r>
      <w:r w:rsidRPr="006F55C4">
        <w:rPr>
          <w:szCs w:val="24"/>
        </w:rPr>
        <w:t xml:space="preserve"> 68</w:t>
      </w:r>
      <w:r w:rsidRPr="006F55C4">
        <w:rPr>
          <w:b/>
          <w:szCs w:val="24"/>
        </w:rPr>
        <w:t>,</w:t>
      </w:r>
      <w:r w:rsidRPr="006F55C4">
        <w:rPr>
          <w:szCs w:val="24"/>
        </w:rPr>
        <w:t xml:space="preserve"> 283-290.</w:t>
      </w:r>
    </w:p>
    <w:p w14:paraId="09407C8A"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CHEN, G., HE, X., GAO, Z., FANG, Y., HURISA, T. T., JIA, H., TAN, J., ZHOU, G., FU, B., LI, W. &amp; JING, Z. 2024. Development of a competitive ELISA based on the LSDV A33 antigen. </w:t>
      </w:r>
      <w:r w:rsidRPr="006F55C4">
        <w:rPr>
          <w:i/>
          <w:szCs w:val="24"/>
        </w:rPr>
        <w:t>Virology Journal,</w:t>
      </w:r>
      <w:r w:rsidRPr="006F55C4">
        <w:rPr>
          <w:szCs w:val="24"/>
        </w:rPr>
        <w:t xml:space="preserve"> 21</w:t>
      </w:r>
      <w:r w:rsidRPr="006F55C4">
        <w:rPr>
          <w:b/>
          <w:szCs w:val="24"/>
        </w:rPr>
        <w:t>,</w:t>
      </w:r>
      <w:r w:rsidRPr="006F55C4">
        <w:rPr>
          <w:szCs w:val="24"/>
        </w:rPr>
        <w:t xml:space="preserve"> 1-8.</w:t>
      </w:r>
    </w:p>
    <w:p w14:paraId="29CC736F"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GAASTRA, W. 1984. Enzyme-Linked Immunosorbant Assay (ELISA). </w:t>
      </w:r>
      <w:r w:rsidRPr="006F55C4">
        <w:rPr>
          <w:i/>
          <w:szCs w:val="24"/>
        </w:rPr>
        <w:t>In:</w:t>
      </w:r>
      <w:r w:rsidRPr="006F55C4">
        <w:rPr>
          <w:szCs w:val="24"/>
        </w:rPr>
        <w:t xml:space="preserve"> WALKER, J. M. (ed.) </w:t>
      </w:r>
      <w:r w:rsidRPr="006F55C4">
        <w:rPr>
          <w:i/>
          <w:szCs w:val="24"/>
        </w:rPr>
        <w:t>Proteins.</w:t>
      </w:r>
      <w:r w:rsidRPr="006F55C4">
        <w:rPr>
          <w:szCs w:val="24"/>
        </w:rPr>
        <w:t xml:space="preserve"> Totowa, NJ: Humana Press.</w:t>
      </w:r>
    </w:p>
    <w:p w14:paraId="31DE4D31"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HAYRAPETYAN, H., TRAN, T., TELLEZ-CORRALES, E. &amp; MADIRAJU, C. 2023. Enzyme-Linked Immunosorbent Assay: Types and Applications. </w:t>
      </w:r>
      <w:r w:rsidRPr="006F55C4">
        <w:rPr>
          <w:i/>
          <w:szCs w:val="24"/>
        </w:rPr>
        <w:t>In:</w:t>
      </w:r>
      <w:r w:rsidRPr="006F55C4">
        <w:rPr>
          <w:szCs w:val="24"/>
        </w:rPr>
        <w:t xml:space="preserve"> MATSON, R. S. (ed.) </w:t>
      </w:r>
      <w:r w:rsidRPr="006F55C4">
        <w:rPr>
          <w:i/>
          <w:szCs w:val="24"/>
        </w:rPr>
        <w:t>ELISA: Methods and Protocols.</w:t>
      </w:r>
      <w:r w:rsidRPr="006F55C4">
        <w:rPr>
          <w:szCs w:val="24"/>
        </w:rPr>
        <w:t xml:space="preserve"> New York, NY: Springer US.</w:t>
      </w:r>
    </w:p>
    <w:p w14:paraId="2AE53E96"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HOSSEINI, S., VÁZQUEZ-VILLEGAS, P., RITO-PALOMARES, M. &amp; MARTINEZ-CHAPA, S. O. 2018a. General Overviews on Applications of ELISA. </w:t>
      </w:r>
      <w:r w:rsidRPr="006F55C4">
        <w:rPr>
          <w:i/>
          <w:szCs w:val="24"/>
        </w:rPr>
        <w:t>Enzyme-linked Immunosorbent Assay (ELISA): From A to Z.</w:t>
      </w:r>
      <w:r w:rsidRPr="006F55C4">
        <w:rPr>
          <w:szCs w:val="24"/>
        </w:rPr>
        <w:t xml:space="preserve"> Singapore: Springer Singapore.</w:t>
      </w:r>
    </w:p>
    <w:p w14:paraId="16036191" w14:textId="77777777" w:rsidR="002107FF" w:rsidRPr="006F55C4" w:rsidRDefault="002107FF" w:rsidP="006F55C4">
      <w:pPr>
        <w:pStyle w:val="EndNoteBibliography"/>
        <w:spacing w:after="0" w:line="360" w:lineRule="auto"/>
        <w:ind w:left="720" w:hanging="720"/>
        <w:rPr>
          <w:szCs w:val="24"/>
        </w:rPr>
      </w:pPr>
      <w:r w:rsidRPr="006F55C4">
        <w:rPr>
          <w:szCs w:val="24"/>
        </w:rPr>
        <w:t xml:space="preserve">HOSSEINI, S., VÁZQUEZ-VILLEGAS, P., RITO-PALOMARES, M., MARTINEZ-CHAPA, S. O., HOSSEINI, S., VÁZQUEZ-VILLEGAS, P., RITO-PALOMARES, M. &amp; MARTINEZ-CHAPA, S. O. 2018b. Advantages, disadvantages and modifications of conventional ELISA. </w:t>
      </w:r>
      <w:r w:rsidRPr="006F55C4">
        <w:rPr>
          <w:i/>
          <w:szCs w:val="24"/>
        </w:rPr>
        <w:t>Enzyme-Linked Immunosorbent Assay (ELISA) from A to Z</w:t>
      </w:r>
      <w:r w:rsidRPr="006F55C4">
        <w:rPr>
          <w:b/>
          <w:szCs w:val="24"/>
        </w:rPr>
        <w:t>,</w:t>
      </w:r>
      <w:r w:rsidRPr="006F55C4">
        <w:rPr>
          <w:szCs w:val="24"/>
        </w:rPr>
        <w:t xml:space="preserve"> 67-115.</w:t>
      </w:r>
    </w:p>
    <w:p w14:paraId="64381A04" w14:textId="77777777" w:rsidR="002107FF" w:rsidRPr="006F55C4" w:rsidRDefault="002107FF" w:rsidP="006F55C4">
      <w:pPr>
        <w:pStyle w:val="EndNoteBibliography"/>
        <w:spacing w:line="360" w:lineRule="auto"/>
        <w:ind w:left="720" w:hanging="720"/>
        <w:rPr>
          <w:szCs w:val="24"/>
        </w:rPr>
      </w:pPr>
      <w:r w:rsidRPr="006F55C4">
        <w:rPr>
          <w:szCs w:val="24"/>
        </w:rPr>
        <w:t xml:space="preserve">JAIN, D. A. B., P. K 2018. Linearity of Calibration Curves for Analytical Methods: A Review of Criteria for Assessment of Method Reliability. </w:t>
      </w:r>
      <w:r w:rsidRPr="006F55C4">
        <w:rPr>
          <w:i/>
          <w:szCs w:val="24"/>
        </w:rPr>
        <w:t>In:</w:t>
      </w:r>
      <w:r w:rsidRPr="006F55C4">
        <w:rPr>
          <w:szCs w:val="24"/>
        </w:rPr>
        <w:t xml:space="preserve"> BALKAU, S. (ed.) </w:t>
      </w:r>
      <w:r w:rsidRPr="006F55C4">
        <w:rPr>
          <w:i/>
          <w:szCs w:val="24"/>
        </w:rPr>
        <w:t>Calibration and Validation of Analytical Methods - A Sampling of Current Approaches.</w:t>
      </w:r>
      <w:r w:rsidRPr="006F55C4">
        <w:rPr>
          <w:szCs w:val="24"/>
        </w:rPr>
        <w:t xml:space="preserve"> IntechOpen.</w:t>
      </w:r>
    </w:p>
    <w:p w14:paraId="3E13F8DC" w14:textId="3BCA8AB5" w:rsidR="00B878E8" w:rsidRPr="00307E37" w:rsidRDefault="009C6535" w:rsidP="006F55C4">
      <w:pPr>
        <w:spacing w:line="360" w:lineRule="auto"/>
        <w:rPr>
          <w:rFonts w:cs="Times New Roman"/>
          <w:szCs w:val="24"/>
        </w:rPr>
      </w:pPr>
      <w:r w:rsidRPr="006F55C4">
        <w:rPr>
          <w:rFonts w:cs="Times New Roman"/>
          <w:szCs w:val="24"/>
        </w:rPr>
        <w:fldChar w:fldCharType="end"/>
      </w:r>
    </w:p>
    <w:sectPr w:rsidR="00B878E8" w:rsidRPr="0030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Headings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E6C"/>
    <w:multiLevelType w:val="multilevel"/>
    <w:tmpl w:val="1EA87274"/>
    <w:lvl w:ilvl="0">
      <w:start w:val="1"/>
      <w:numFmt w:val="decimal"/>
      <w:pStyle w:val="Heading1"/>
      <w:lvlText w:val="CHAPTER %1:"/>
      <w:lvlJc w:val="left"/>
      <w:pPr>
        <w:ind w:left="0" w:hanging="360"/>
      </w:pPr>
      <w:rPr>
        <w:rFonts w:hint="default"/>
      </w:rPr>
    </w:lvl>
    <w:lvl w:ilvl="1">
      <w:start w:val="1"/>
      <w:numFmt w:val="decimal"/>
      <w:pStyle w:val="Heading2"/>
      <w:lvlText w:val="%1.%2"/>
      <w:lvlJc w:val="left"/>
      <w:pPr>
        <w:ind w:left="3762" w:hanging="360"/>
      </w:pPr>
      <w:rPr>
        <w:rFonts w:hint="default"/>
      </w:rPr>
    </w:lvl>
    <w:lvl w:ilvl="2">
      <w:start w:val="1"/>
      <w:numFmt w:val="decimal"/>
      <w:pStyle w:val="Heading3"/>
      <w:lvlText w:val="%1.%2.%3"/>
      <w:lvlJc w:val="left"/>
      <w:pPr>
        <w:ind w:left="720" w:hanging="360"/>
      </w:pPr>
      <w:rPr>
        <w:rFonts w:hint="default"/>
      </w:rPr>
    </w:lvl>
    <w:lvl w:ilvl="3">
      <w:start w:val="1"/>
      <w:numFmt w:val="decimal"/>
      <w:lvlText w:val="%4.%1.%2.%3"/>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trfa00qae5s1erv2jpvssbpv29szexwx0z&quot;&gt;My EndNote Library&lt;record-ids&gt;&lt;item&gt;79&lt;/item&gt;&lt;item&gt;132&lt;/item&gt;&lt;item&gt;133&lt;/item&gt;&lt;item&gt;134&lt;/item&gt;&lt;item&gt;135&lt;/item&gt;&lt;item&gt;136&lt;/item&gt;&lt;item&gt;139&lt;/item&gt;&lt;item&gt;140&lt;/item&gt;&lt;/record-ids&gt;&lt;/item&gt;&lt;/Libraries&gt;"/>
  </w:docVars>
  <w:rsids>
    <w:rsidRoot w:val="00B878E8"/>
    <w:rsid w:val="00006B90"/>
    <w:rsid w:val="0002279E"/>
    <w:rsid w:val="00047BB4"/>
    <w:rsid w:val="000830CD"/>
    <w:rsid w:val="00092A54"/>
    <w:rsid w:val="000A52A5"/>
    <w:rsid w:val="000C2191"/>
    <w:rsid w:val="000D338D"/>
    <w:rsid w:val="000F6F1E"/>
    <w:rsid w:val="0011343A"/>
    <w:rsid w:val="00113DD5"/>
    <w:rsid w:val="001270BD"/>
    <w:rsid w:val="0013633C"/>
    <w:rsid w:val="0016001E"/>
    <w:rsid w:val="00172176"/>
    <w:rsid w:val="00172352"/>
    <w:rsid w:val="00176C51"/>
    <w:rsid w:val="00183CFB"/>
    <w:rsid w:val="00183F67"/>
    <w:rsid w:val="002107FF"/>
    <w:rsid w:val="00225489"/>
    <w:rsid w:val="002336FF"/>
    <w:rsid w:val="00254CA0"/>
    <w:rsid w:val="00280391"/>
    <w:rsid w:val="002B7664"/>
    <w:rsid w:val="002D6D3B"/>
    <w:rsid w:val="003073E9"/>
    <w:rsid w:val="00307E37"/>
    <w:rsid w:val="00350D46"/>
    <w:rsid w:val="00356C2C"/>
    <w:rsid w:val="00357A40"/>
    <w:rsid w:val="0036670C"/>
    <w:rsid w:val="003C515D"/>
    <w:rsid w:val="003D5BCE"/>
    <w:rsid w:val="0040403E"/>
    <w:rsid w:val="0040567D"/>
    <w:rsid w:val="00421A5D"/>
    <w:rsid w:val="00443943"/>
    <w:rsid w:val="004A282D"/>
    <w:rsid w:val="004A7F59"/>
    <w:rsid w:val="004B5735"/>
    <w:rsid w:val="004E1C43"/>
    <w:rsid w:val="004F4036"/>
    <w:rsid w:val="005063BC"/>
    <w:rsid w:val="005238D0"/>
    <w:rsid w:val="00531429"/>
    <w:rsid w:val="0053222E"/>
    <w:rsid w:val="00536A81"/>
    <w:rsid w:val="0057067A"/>
    <w:rsid w:val="00570BA8"/>
    <w:rsid w:val="005715E9"/>
    <w:rsid w:val="00571965"/>
    <w:rsid w:val="005740C0"/>
    <w:rsid w:val="00593A24"/>
    <w:rsid w:val="005A6DB7"/>
    <w:rsid w:val="005A7963"/>
    <w:rsid w:val="005E3C16"/>
    <w:rsid w:val="005E643C"/>
    <w:rsid w:val="005F77EB"/>
    <w:rsid w:val="006042A9"/>
    <w:rsid w:val="006532EC"/>
    <w:rsid w:val="00662C44"/>
    <w:rsid w:val="00682ADE"/>
    <w:rsid w:val="006831E7"/>
    <w:rsid w:val="00685593"/>
    <w:rsid w:val="00685EEA"/>
    <w:rsid w:val="00693348"/>
    <w:rsid w:val="00697F67"/>
    <w:rsid w:val="006B325F"/>
    <w:rsid w:val="006D6BAA"/>
    <w:rsid w:val="006D766A"/>
    <w:rsid w:val="006E1AE9"/>
    <w:rsid w:val="006F55C4"/>
    <w:rsid w:val="006F7C57"/>
    <w:rsid w:val="00707BD1"/>
    <w:rsid w:val="00716236"/>
    <w:rsid w:val="00721154"/>
    <w:rsid w:val="007558FF"/>
    <w:rsid w:val="0077105C"/>
    <w:rsid w:val="00775CBE"/>
    <w:rsid w:val="007A43D6"/>
    <w:rsid w:val="007A76B9"/>
    <w:rsid w:val="007E5C95"/>
    <w:rsid w:val="007F210C"/>
    <w:rsid w:val="00815B39"/>
    <w:rsid w:val="00834834"/>
    <w:rsid w:val="00834F6A"/>
    <w:rsid w:val="008454C4"/>
    <w:rsid w:val="008B7A77"/>
    <w:rsid w:val="008C3939"/>
    <w:rsid w:val="008D66F6"/>
    <w:rsid w:val="008F739B"/>
    <w:rsid w:val="0090106D"/>
    <w:rsid w:val="00904116"/>
    <w:rsid w:val="00912051"/>
    <w:rsid w:val="00941D35"/>
    <w:rsid w:val="00942171"/>
    <w:rsid w:val="009939E8"/>
    <w:rsid w:val="009C6535"/>
    <w:rsid w:val="00A00524"/>
    <w:rsid w:val="00A128AA"/>
    <w:rsid w:val="00A1332E"/>
    <w:rsid w:val="00A2244C"/>
    <w:rsid w:val="00A63C9F"/>
    <w:rsid w:val="00A63DD7"/>
    <w:rsid w:val="00A72D9A"/>
    <w:rsid w:val="00A84E38"/>
    <w:rsid w:val="00AC2EB4"/>
    <w:rsid w:val="00AF1374"/>
    <w:rsid w:val="00B14C9A"/>
    <w:rsid w:val="00B67937"/>
    <w:rsid w:val="00B878E8"/>
    <w:rsid w:val="00BA0254"/>
    <w:rsid w:val="00BD736A"/>
    <w:rsid w:val="00BF51F4"/>
    <w:rsid w:val="00C02C3E"/>
    <w:rsid w:val="00C20B81"/>
    <w:rsid w:val="00C210B8"/>
    <w:rsid w:val="00C36997"/>
    <w:rsid w:val="00C67BEB"/>
    <w:rsid w:val="00C728B2"/>
    <w:rsid w:val="00C91CA8"/>
    <w:rsid w:val="00CB0401"/>
    <w:rsid w:val="00CC7100"/>
    <w:rsid w:val="00D2707B"/>
    <w:rsid w:val="00D35854"/>
    <w:rsid w:val="00D50E8A"/>
    <w:rsid w:val="00D517D4"/>
    <w:rsid w:val="00D561D6"/>
    <w:rsid w:val="00D93EFD"/>
    <w:rsid w:val="00DF2EA1"/>
    <w:rsid w:val="00E025B4"/>
    <w:rsid w:val="00E30B28"/>
    <w:rsid w:val="00E6343B"/>
    <w:rsid w:val="00E7385C"/>
    <w:rsid w:val="00EC1AFD"/>
    <w:rsid w:val="00EC5283"/>
    <w:rsid w:val="00ED54FF"/>
    <w:rsid w:val="00EF05D6"/>
    <w:rsid w:val="00EF0B15"/>
    <w:rsid w:val="00EF65DD"/>
    <w:rsid w:val="00F063AD"/>
    <w:rsid w:val="00F13A43"/>
    <w:rsid w:val="00F20C0E"/>
    <w:rsid w:val="00F33073"/>
    <w:rsid w:val="00F34A10"/>
    <w:rsid w:val="00F35E59"/>
    <w:rsid w:val="00F53A8D"/>
    <w:rsid w:val="00F6392F"/>
    <w:rsid w:val="00F72817"/>
    <w:rsid w:val="00F74B8A"/>
    <w:rsid w:val="00F82EE2"/>
    <w:rsid w:val="00F91362"/>
    <w:rsid w:val="00FA00E7"/>
    <w:rsid w:val="00FD05AA"/>
    <w:rsid w:val="00FE107A"/>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A1E3"/>
  <w15:chartTrackingRefBased/>
  <w15:docId w15:val="{CED98F00-33B6-407C-B2BE-9EC45883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8E8"/>
    <w:pPr>
      <w:jc w:val="both"/>
    </w:pPr>
    <w:rPr>
      <w:rFonts w:ascii="Times New Roman" w:hAnsi="Times New Roman"/>
      <w:sz w:val="24"/>
    </w:rPr>
  </w:style>
  <w:style w:type="paragraph" w:styleId="Heading1">
    <w:name w:val="heading 1"/>
    <w:basedOn w:val="Normal"/>
    <w:next w:val="Normal"/>
    <w:link w:val="Heading1Char"/>
    <w:uiPriority w:val="9"/>
    <w:qFormat/>
    <w:rsid w:val="00B878E8"/>
    <w:pPr>
      <w:keepNext/>
      <w:keepLines/>
      <w:numPr>
        <w:numId w:val="1"/>
      </w:numPr>
      <w:spacing w:before="240" w:after="0"/>
      <w:jc w:val="center"/>
      <w:outlineLvl w:val="0"/>
    </w:pPr>
    <w:rPr>
      <w:rFonts w:eastAsiaTheme="majorEastAsia"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B878E8"/>
    <w:pPr>
      <w:keepNext/>
      <w:keepLines/>
      <w:numPr>
        <w:ilvl w:val="1"/>
        <w:numId w:val="1"/>
      </w:numPr>
      <w:spacing w:before="40" w:after="0"/>
      <w:ind w:left="36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878E8"/>
    <w:pPr>
      <w:keepNext/>
      <w:keepLines/>
      <w:numPr>
        <w:ilvl w:val="2"/>
        <w:numId w:val="1"/>
      </w:numPr>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8E8"/>
    <w:rPr>
      <w:rFonts w:ascii="Times New Roman" w:eastAsiaTheme="majorEastAsia" w:hAnsi="Times New Roman" w:cs="Times New Roman (Headings CS)"/>
      <w:b/>
      <w:caps/>
      <w:color w:val="000000" w:themeColor="text1"/>
      <w:sz w:val="32"/>
      <w:szCs w:val="32"/>
    </w:rPr>
  </w:style>
  <w:style w:type="character" w:customStyle="1" w:styleId="Heading2Char">
    <w:name w:val="Heading 2 Char"/>
    <w:basedOn w:val="DefaultParagraphFont"/>
    <w:link w:val="Heading2"/>
    <w:uiPriority w:val="9"/>
    <w:rsid w:val="00B878E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878E8"/>
    <w:rPr>
      <w:rFonts w:ascii="Times New Roman" w:eastAsiaTheme="majorEastAsia" w:hAnsi="Times New Roman" w:cstheme="majorBidi"/>
      <w:b/>
      <w:color w:val="000000" w:themeColor="text1"/>
      <w:sz w:val="24"/>
      <w:szCs w:val="24"/>
    </w:rPr>
  </w:style>
  <w:style w:type="paragraph" w:customStyle="1" w:styleId="EndNoteBibliographyTitle">
    <w:name w:val="EndNote Bibliography Title"/>
    <w:basedOn w:val="Normal"/>
    <w:link w:val="EndNoteBibliographyTitleChar"/>
    <w:rsid w:val="009C653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C6535"/>
    <w:rPr>
      <w:rFonts w:ascii="Times New Roman" w:hAnsi="Times New Roman" w:cs="Times New Roman"/>
      <w:noProof/>
      <w:sz w:val="24"/>
    </w:rPr>
  </w:style>
  <w:style w:type="paragraph" w:customStyle="1" w:styleId="EndNoteBibliography">
    <w:name w:val="EndNote Bibliography"/>
    <w:basedOn w:val="Normal"/>
    <w:link w:val="EndNoteBibliographyChar"/>
    <w:rsid w:val="009C6535"/>
    <w:pPr>
      <w:spacing w:line="240" w:lineRule="auto"/>
    </w:pPr>
    <w:rPr>
      <w:rFonts w:cs="Times New Roman"/>
      <w:noProof/>
    </w:rPr>
  </w:style>
  <w:style w:type="character" w:customStyle="1" w:styleId="EndNoteBibliographyChar">
    <w:name w:val="EndNote Bibliography Char"/>
    <w:basedOn w:val="DefaultParagraphFont"/>
    <w:link w:val="EndNoteBibliography"/>
    <w:rsid w:val="009C6535"/>
    <w:rPr>
      <w:rFonts w:ascii="Times New Roman" w:hAnsi="Times New Roman" w:cs="Times New Roman"/>
      <w:noProof/>
      <w:sz w:val="24"/>
    </w:rPr>
  </w:style>
  <w:style w:type="paragraph" w:styleId="NormalWeb">
    <w:name w:val="Normal (Web)"/>
    <w:basedOn w:val="Normal"/>
    <w:uiPriority w:val="99"/>
    <w:semiHidden/>
    <w:unhideWhenUsed/>
    <w:rsid w:val="00F20C0E"/>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A84E38"/>
    <w:rPr>
      <w:color w:val="0563C1" w:themeColor="hyperlink"/>
      <w:u w:val="single"/>
    </w:rPr>
  </w:style>
  <w:style w:type="character" w:styleId="UnresolvedMention">
    <w:name w:val="Unresolved Mention"/>
    <w:basedOn w:val="DefaultParagraphFont"/>
    <w:uiPriority w:val="99"/>
    <w:semiHidden/>
    <w:unhideWhenUsed/>
    <w:rsid w:val="00A84E38"/>
    <w:rPr>
      <w:color w:val="605E5C"/>
      <w:shd w:val="clear" w:color="auto" w:fill="E1DFDD"/>
    </w:rPr>
  </w:style>
  <w:style w:type="table" w:styleId="TableGrid">
    <w:name w:val="Table Grid"/>
    <w:basedOn w:val="TableNormal"/>
    <w:uiPriority w:val="39"/>
    <w:rsid w:val="00D56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6890">
      <w:bodyDiv w:val="1"/>
      <w:marLeft w:val="0"/>
      <w:marRight w:val="0"/>
      <w:marTop w:val="0"/>
      <w:marBottom w:val="0"/>
      <w:divBdr>
        <w:top w:val="none" w:sz="0" w:space="0" w:color="auto"/>
        <w:left w:val="none" w:sz="0" w:space="0" w:color="auto"/>
        <w:bottom w:val="none" w:sz="0" w:space="0" w:color="auto"/>
        <w:right w:val="none" w:sz="0" w:space="0" w:color="auto"/>
      </w:divBdr>
    </w:div>
    <w:div w:id="463624340">
      <w:bodyDiv w:val="1"/>
      <w:marLeft w:val="0"/>
      <w:marRight w:val="0"/>
      <w:marTop w:val="0"/>
      <w:marBottom w:val="0"/>
      <w:divBdr>
        <w:top w:val="none" w:sz="0" w:space="0" w:color="auto"/>
        <w:left w:val="none" w:sz="0" w:space="0" w:color="auto"/>
        <w:bottom w:val="none" w:sz="0" w:space="0" w:color="auto"/>
        <w:right w:val="none" w:sz="0" w:space="0" w:color="auto"/>
      </w:divBdr>
    </w:div>
    <w:div w:id="483546098">
      <w:bodyDiv w:val="1"/>
      <w:marLeft w:val="0"/>
      <w:marRight w:val="0"/>
      <w:marTop w:val="0"/>
      <w:marBottom w:val="0"/>
      <w:divBdr>
        <w:top w:val="none" w:sz="0" w:space="0" w:color="auto"/>
        <w:left w:val="none" w:sz="0" w:space="0" w:color="auto"/>
        <w:bottom w:val="none" w:sz="0" w:space="0" w:color="auto"/>
        <w:right w:val="none" w:sz="0" w:space="0" w:color="auto"/>
      </w:divBdr>
    </w:div>
    <w:div w:id="619725750">
      <w:bodyDiv w:val="1"/>
      <w:marLeft w:val="0"/>
      <w:marRight w:val="0"/>
      <w:marTop w:val="0"/>
      <w:marBottom w:val="0"/>
      <w:divBdr>
        <w:top w:val="none" w:sz="0" w:space="0" w:color="auto"/>
        <w:left w:val="none" w:sz="0" w:space="0" w:color="auto"/>
        <w:bottom w:val="none" w:sz="0" w:space="0" w:color="auto"/>
        <w:right w:val="none" w:sz="0" w:space="0" w:color="auto"/>
      </w:divBdr>
    </w:div>
    <w:div w:id="1813667523">
      <w:bodyDiv w:val="1"/>
      <w:marLeft w:val="0"/>
      <w:marRight w:val="0"/>
      <w:marTop w:val="0"/>
      <w:marBottom w:val="0"/>
      <w:divBdr>
        <w:top w:val="none" w:sz="0" w:space="0" w:color="auto"/>
        <w:left w:val="none" w:sz="0" w:space="0" w:color="auto"/>
        <w:bottom w:val="none" w:sz="0" w:space="0" w:color="auto"/>
        <w:right w:val="none" w:sz="0" w:space="0" w:color="auto"/>
      </w:divBdr>
    </w:div>
    <w:div w:id="18673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l.deakin.edu.au/d2l/le/content/1481543/viewContent/7587132/Vie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396cdc4d7e1accd/Documents/HPL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Absorbance</a:t>
            </a:r>
            <a:r>
              <a:rPr lang="en-US" baseline="0"/>
              <a:t> vs Concentration</a:t>
            </a:r>
            <a:endParaRPr lang="en-US"/>
          </a:p>
        </c:rich>
      </c:tx>
      <c:layout>
        <c:manualLayout>
          <c:xMode val="edge"/>
          <c:yMode val="edge"/>
          <c:x val="0.26033333333333336"/>
          <c:y val="4.18482884214792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56714785651793"/>
          <c:y val="0.13293187337708723"/>
          <c:w val="0.835321741032371"/>
          <c:h val="0.74771617089530473"/>
        </c:manualLayout>
      </c:layout>
      <c:scatterChart>
        <c:scatterStyle val="lineMarker"/>
        <c:varyColors val="0"/>
        <c:ser>
          <c:idx val="0"/>
          <c:order val="0"/>
          <c:tx>
            <c:strRef>
              <c:f>Sheet1!$D$4</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517629046369204"/>
                  <c:y val="-0.3234580052493438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-0.0039x + 2.9657</a:t>
                    </a:r>
                    <a:br>
                      <a:rPr lang="en-US" baseline="0"/>
                    </a:br>
                    <a:r>
                      <a:rPr lang="en-US" baseline="0"/>
                      <a:t>R² = 0.9749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Sheet1!$C$5:$C$13</c:f>
              <c:numCache>
                <c:formatCode>General</c:formatCode>
                <c:ptCount val="9"/>
                <c:pt idx="0">
                  <c:v>1.95</c:v>
                </c:pt>
                <c:pt idx="1">
                  <c:v>3.9</c:v>
                </c:pt>
                <c:pt idx="2">
                  <c:v>7.81</c:v>
                </c:pt>
                <c:pt idx="3">
                  <c:v>15.52</c:v>
                </c:pt>
                <c:pt idx="4">
                  <c:v>31.25</c:v>
                </c:pt>
                <c:pt idx="5">
                  <c:v>62.5</c:v>
                </c:pt>
                <c:pt idx="6">
                  <c:v>125</c:v>
                </c:pt>
                <c:pt idx="7">
                  <c:v>250</c:v>
                </c:pt>
                <c:pt idx="8">
                  <c:v>500</c:v>
                </c:pt>
              </c:numCache>
            </c:numRef>
          </c:xVal>
          <c:yVal>
            <c:numRef>
              <c:f>Sheet1!$D$5:$D$13</c:f>
              <c:numCache>
                <c:formatCode>General</c:formatCode>
                <c:ptCount val="9"/>
                <c:pt idx="0">
                  <c:v>3.093</c:v>
                </c:pt>
                <c:pt idx="1">
                  <c:v>3.0219999999999998</c:v>
                </c:pt>
                <c:pt idx="2">
                  <c:v>2.9889999999999999</c:v>
                </c:pt>
                <c:pt idx="3">
                  <c:v>2.91</c:v>
                </c:pt>
                <c:pt idx="4">
                  <c:v>2.8439999999999999</c:v>
                </c:pt>
                <c:pt idx="5">
                  <c:v>2.5750000000000002</c:v>
                </c:pt>
                <c:pt idx="6">
                  <c:v>2.387</c:v>
                </c:pt>
                <c:pt idx="7">
                  <c:v>1.8360000000000001</c:v>
                </c:pt>
                <c:pt idx="8">
                  <c:v>1.1100000000000001</c:v>
                </c:pt>
              </c:numCache>
            </c:numRef>
          </c:yVal>
          <c:smooth val="0"/>
          <c:extLst>
            <c:ext xmlns:c16="http://schemas.microsoft.com/office/drawing/2014/chart" uri="{C3380CC4-5D6E-409C-BE32-E72D297353CC}">
              <c16:uniqueId val="{00000002-0306-4CA8-8EAC-AE4059F34A83}"/>
            </c:ext>
          </c:extLst>
        </c:ser>
        <c:dLbls>
          <c:showLegendKey val="0"/>
          <c:showVal val="0"/>
          <c:showCatName val="0"/>
          <c:showSerName val="0"/>
          <c:showPercent val="0"/>
          <c:showBubbleSize val="0"/>
        </c:dLbls>
        <c:axId val="2051017695"/>
        <c:axId val="2051015199"/>
      </c:scatterChart>
      <c:valAx>
        <c:axId val="2051017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(ng/ml)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015199"/>
        <c:crosses val="autoZero"/>
        <c:crossBetween val="midCat"/>
      </c:valAx>
      <c:valAx>
        <c:axId val="2051015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01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Lama</dc:creator>
  <cp:keywords/>
  <dc:description/>
  <cp:lastModifiedBy>Simon Lama</cp:lastModifiedBy>
  <cp:revision>150</cp:revision>
  <dcterms:created xsi:type="dcterms:W3CDTF">2024-09-27T02:35:00Z</dcterms:created>
  <dcterms:modified xsi:type="dcterms:W3CDTF">2024-09-27T13:54:00Z</dcterms:modified>
</cp:coreProperties>
</file>