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p>
    <w:p>
      <w:pPr>
        <w:spacing w:after="60" w:before="0"/>
      </w:pPr>
      <w:r>
        <w:rPr>
          <w:rFonts w:ascii="Georgia" w:cs="Georgia" w:eastAsia="Georgia" w:hAnsi="Georgia"/>
          <w:b/>
          <w:bCs/>
          <w:color w:val="0D2D52"/>
          <w:sz w:val="80"/>
          <w:szCs w:val="80"/>
        </w:rPr>
        <w:t xml:space="preserve">NMGDA.com</w:t>
      </w:r>
    </w:p>
    <w:p>
      <w:pPr>
        <w:spacing w:after="280" w:before="0"/>
      </w:pPr>
      <w:r>
        <w:rPr>
          <w:rFonts w:ascii="Georgia" w:cs="Georgia" w:eastAsia="Georgia" w:hAnsi="Georgia"/>
          <w:b/>
          <w:bCs/>
          <w:i/>
          <w:iCs/>
          <w:color w:val="B8860B"/>
          <w:sz w:val="62"/>
          <w:szCs w:val="62"/>
        </w:rPr>
        <w:t xml:space="preserve">Never Miss a Good Deal Again</w:t>
      </w:r>
    </w:p>
    <w:p>
      <w:pPr>
        <w:pBdr>
          <w:bottom w:val="single" w:color="B8860B" w:sz="8" w:space="1"/>
        </w:pBdr>
        <w:spacing w:after="0" w:before="0"/>
      </w:pPr>
    </w:p>
    <w:p>
      <w:pPr>
        <w:spacing w:after="200" w:before="0"/>
      </w:pPr>
    </w:p>
    <w:p>
      <w:pPr>
        <w:spacing w:after="200" w:before="0"/>
      </w:pPr>
      <w:r>
        <w:rPr>
          <w:rFonts w:ascii="Georgia" w:cs="Georgia" w:eastAsia="Georgia" w:hAnsi="Georgia"/>
          <w:b/>
          <w:bCs/>
          <w:color w:val="0D2D52"/>
          <w:sz w:val="32"/>
          <w:szCs w:val="32"/>
        </w:rPr>
        <w:t xml:space="preserve">The private deal room where everyone has skin in the game and reputation has meaning.</w:t>
      </w:r>
    </w:p>
    <w:p>
      <w:pPr>
        <w:keepNext/>
        <w:spacing w:after="60" w:before="0"/>
      </w:pPr>
      <w:r>
        <w:rPr>
          <w:rFonts w:ascii="Calibri" w:cs="Calibri" w:eastAsia="Calibri" w:hAnsi="Calibri"/>
          <w:color w:val="64748B"/>
          <w:sz w:val="22"/>
          <w:szCs w:val="22"/>
        </w:rPr>
        <w:t xml:space="preserve">A Lite Paper for commercial real estate professionals, private lenders, and capital deployers.</w:t>
      </w:r>
    </w:p>
    <w:p>
      <w:pPr>
        <w:keepNext/>
        <w:spacing w:after="0" w:before="0"/>
      </w:pPr>
      <w:r>
        <w:rPr>
          <w:rFonts w:ascii="Calibri" w:cs="Calibri" w:eastAsia="Calibri" w:hAnsi="Calibri"/>
          <w:i/>
          <w:iCs/>
          <w:color w:val="64748B"/>
          <w:sz w:val="20"/>
          <w:szCs w:val="20"/>
        </w:rPr>
        <w:t xml:space="preserve">March 2026  ·  First Edition</w:t>
      </w:r>
    </w:p>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8860B" w:sz="24" w:space="10"/>
              <w:bottom w:val="none" w:color="FFFFFF" w:sz="0"/>
              <w:right w:val="none" w:color="FFFFFF" w:sz="0"/>
            </w:tcBorders>
            <w:shd w:fill="F5F7FA" w:val="clear"/>
            <w:tcMar>
              <w:top w:type="dxa" w:w="180"/>
              <w:left w:type="dxa" w:w="320"/>
              <w:bottom w:type="dxa" w:w="180"/>
              <w:right w:type="dxa" w:w="180"/>
            </w:tcMar>
          </w:tcPr>
          <w:p>
            <w:pPr>
              <w:spacing w:after="80" w:before="0"/>
            </w:pPr>
            <w:r>
              <w:rPr>
                <w:rFonts w:ascii="Calibri" w:cs="Calibri" w:eastAsia="Calibri" w:hAnsi="Calibri"/>
                <w:i/>
                <w:iCs/>
                <w:color w:val="64748B"/>
                <w:sz w:val="22"/>
                <w:szCs w:val="22"/>
              </w:rPr>
              <w:t xml:space="preserve">Every serious CRE professional has heard it — and said it:</w:t>
            </w:r>
          </w:p>
          <w:p>
            <w:pPr>
              <w:spacing w:after="80" w:before="0"/>
            </w:pPr>
            <w:r>
              <w:rPr>
                <w:rFonts w:ascii="Georgia" w:cs="Georgia" w:eastAsia="Georgia" w:hAnsi="Georgia"/>
                <w:b/>
                <w:bCs/>
                <w:i/>
                <w:iCs/>
                <w:color w:val="0D2D52"/>
                <w:sz w:val="27"/>
                <w:szCs w:val="27"/>
              </w:rPr>
              <w:t xml:space="preserve">“If I had the money, I would have funded that deal.”</w:t>
            </w:r>
          </w:p>
          <w:p>
            <w:pPr>
              <w:spacing w:after="80" w:before="0"/>
            </w:pPr>
            <w:r>
              <w:rPr>
                <w:rFonts w:ascii="Georgia" w:cs="Georgia" w:eastAsia="Georgia" w:hAnsi="Georgia"/>
                <w:b/>
                <w:bCs/>
                <w:i/>
                <w:iCs/>
                <w:color w:val="0D2D52"/>
                <w:sz w:val="27"/>
                <w:szCs w:val="27"/>
              </w:rPr>
              <w:t xml:space="preserve">“I knew the deal was right. I just couldn’t get to it in time.”</w:t>
            </w:r>
          </w:p>
          <w:p>
            <w:pPr>
              <w:spacing w:after="0" w:before="0"/>
            </w:pPr>
            <w:r>
              <w:rPr>
                <w:rFonts w:ascii="Calibri" w:cs="Calibri" w:eastAsia="Calibri" w:hAnsi="Calibri"/>
                <w:b/>
                <w:bCs/>
                <w:color w:val="0D2D52"/>
                <w:sz w:val="22"/>
                <w:szCs w:val="22"/>
              </w:rPr>
              <w:t xml:space="preserve">NMGDA was built for exactly those moments.</w:t>
            </w:r>
          </w:p>
        </w:tc>
      </w:tr>
    </w:tbl>
    <w:p>
      <w:pPr>
        <w:spacing w:after="200" w:before="0"/>
      </w:pPr>
    </w:p>
    <w:p>
      <w:pPr>
        <w:spacing w:after="0" w:before="0"/>
      </w:pPr>
      <w:r>
        <w:br w:type="page"/>
      </w:r>
    </w:p>
    <w:p>
      <w:pPr>
        <w:spacing w:after="60" w:before="0"/>
      </w:pPr>
      <w:r>
        <w:rPr>
          <w:rFonts w:ascii="Calibri" w:cs="Calibri" w:eastAsia="Calibri" w:hAnsi="Calibri"/>
          <w:b/>
          <w:bCs/>
          <w:color w:val="B8860B"/>
          <w:spacing w:val="80"/>
          <w:sz w:val="18"/>
          <w:szCs w:val="18"/>
        </w:rPr>
        <w:t xml:space="preserve">THE PROBLEM</w:t>
      </w:r>
    </w:p>
    <w:p>
      <w:pPr>
        <w:spacing w:after="160" w:before="0"/>
      </w:pPr>
      <w:r>
        <w:rPr>
          <w:rFonts w:ascii="Georgia" w:cs="Georgia" w:eastAsia="Georgia" w:hAnsi="Georgia"/>
          <w:b/>
          <w:bCs/>
          <w:color w:val="0D2D52"/>
          <w:sz w:val="42"/>
          <w:szCs w:val="42"/>
        </w:rPr>
        <w:t xml:space="preserve">Three frictions. Every deal.</w:t>
      </w:r>
    </w:p>
    <w:p>
      <w:pPr>
        <w:pBdr>
          <w:bottom w:val="single" w:color="B8860B" w:sz="8" w:space="1"/>
        </w:pBdr>
        <w:spacing w:after="0" w:before="0"/>
      </w:pPr>
    </w:p>
    <w:p>
      <w:pPr>
        <w:spacing w:after="120" w:before="0"/>
      </w:pPr>
    </w:p>
    <w:p>
      <w:pPr>
        <w:spacing w:after="100" w:before="140"/>
      </w:pPr>
      <w:r>
        <w:rPr>
          <w:rFonts w:ascii="Georgia" w:cs="Georgia" w:eastAsia="Georgia" w:hAnsi="Georgia"/>
          <w:b/>
          <w:bCs/>
          <w:color w:val="8B1A1A"/>
          <w:sz w:val="30"/>
          <w:szCs w:val="30"/>
        </w:rPr>
        <w:t xml:space="preserve">01 — You can’t move fast enough</w:t>
      </w:r>
    </w:p>
    <w:p>
      <w:pPr>
        <w:keepNext/>
        <w:spacing w:after="120" w:before="0"/>
      </w:pPr>
      <w:r>
        <w:rPr>
          <w:rFonts w:ascii="Calibri" w:cs="Calibri" w:eastAsia="Calibri" w:hAnsi="Calibri"/>
          <w:sz w:val="23"/>
          <w:szCs w:val="23"/>
        </w:rPr>
        <w:t xml:space="preserve">Underwriting a single deal properly takes three to five business days. The best opportunities are gone in 48 hours.</w:t>
      </w:r>
    </w:p>
    <w:p>
      <w:pPr>
        <w:keepNext/>
        <w:spacing w:after="100" w:before="0"/>
      </w:pPr>
      <w:r>
        <w:rPr>
          <w:rFonts w:ascii="Calibri" w:cs="Calibri" w:eastAsia="Calibri" w:hAnsi="Calibri"/>
          <w:sz w:val="23"/>
          <w:szCs w:val="23"/>
        </w:rPr>
        <w:t xml:space="preserve">Better to miss a good deal than fund a bad one — every experienced investor knows this. But missing good deals because </w:t>
      </w:r>
      <w:r>
        <w:rPr>
          <w:rFonts w:ascii="Calibri" w:cs="Calibri" w:eastAsia="Calibri" w:hAnsi="Calibri"/>
          <w:b/>
          <w:bCs/>
          <w:sz w:val="23"/>
          <w:szCs w:val="23"/>
        </w:rPr>
        <w:t xml:space="preserve">Your</w:t>
      </w:r>
      <w:r>
        <w:rPr>
          <w:rFonts w:ascii="Calibri" w:cs="Calibri" w:eastAsia="Calibri" w:hAnsi="Calibri"/>
          <w:sz w:val="23"/>
          <w:szCs w:val="23"/>
        </w:rPr>
        <w:t xml:space="preserve"> infrastructure is slow is a different problem. That’s solvable. And when it is, you get the data you need faster — which means more time doing what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B8860B" w:sz="8"/>
              <w:left w:val="single" w:color="B8860B" w:sz="8"/>
              <w:bottom w:val="single" w:color="B8860B" w:sz="8"/>
              <w:right w:val="single" w:color="B8860B" w:sz="8"/>
            </w:tcBorders>
            <w:shd w:fill="FEF2F2" w:val="clear"/>
            <w:tcMar>
              <w:top w:type="dxa" w:w="140"/>
              <w:left w:type="dxa" w:w="240"/>
              <w:bottom w:type="dxa" w:w="140"/>
              <w:right w:type="dxa" w:w="240"/>
            </w:tcMar>
          </w:tcPr>
          <w:p>
            <w:pPr>
              <w:spacing w:after="40" w:before="0"/>
              <w:jc w:val="center"/>
            </w:pPr>
            <w:r>
              <w:rPr>
                <w:rFonts w:ascii="Georgia" w:cs="Georgia" w:eastAsia="Georgia" w:hAnsi="Georgia"/>
                <w:b/>
                <w:bCs/>
                <w:color w:val="8B1A1A"/>
                <w:sz w:val="60"/>
                <w:szCs w:val="60"/>
              </w:rPr>
              <w:t xml:space="preserve">72 hrs</w:t>
            </w:r>
          </w:p>
          <w:p>
            <w:pPr>
              <w:spacing w:after="0" w:before="0"/>
              <w:jc w:val="center"/>
            </w:pPr>
            <w:r>
              <w:rPr>
                <w:rFonts w:ascii="Calibri" w:cs="Calibri" w:eastAsia="Calibri" w:hAnsi="Calibri"/>
                <w:b/>
                <w:bCs/>
                <w:color w:val="64748B"/>
                <w:sz w:val="20"/>
                <w:szCs w:val="20"/>
              </w:rPr>
              <w:t xml:space="preserve">avg underwriting time today</w:t>
            </w:r>
          </w:p>
        </w:tc>
        <w:tc>
          <w:tcPr>
            <w:tcW w:type="dxa" w:w="4560"/>
            <w:tcBorders>
              <w:top w:val="single" w:color="B8860B" w:sz="8"/>
              <w:left w:val="single" w:color="B8860B" w:sz="8"/>
              <w:bottom w:val="single" w:color="B8860B" w:sz="8"/>
              <w:right w:val="single" w:color="B8860B" w:sz="8"/>
            </w:tcBorders>
            <w:shd w:fill="F0FFF4" w:val="clear"/>
            <w:tcMar>
              <w:top w:type="dxa" w:w="140"/>
              <w:left w:type="dxa" w:w="240"/>
              <w:bottom w:type="dxa" w:w="140"/>
              <w:right w:type="dxa" w:w="240"/>
            </w:tcMar>
          </w:tcPr>
          <w:p>
            <w:pPr>
              <w:spacing w:after="40" w:before="0"/>
              <w:jc w:val="center"/>
            </w:pPr>
            <w:r>
              <w:rPr>
                <w:rFonts w:ascii="Georgia" w:cs="Georgia" w:eastAsia="Georgia" w:hAnsi="Georgia"/>
                <w:b/>
                <w:bCs/>
                <w:color w:val="1A5C38"/>
                <w:sz w:val="60"/>
                <w:szCs w:val="60"/>
              </w:rPr>
              <w:t xml:space="preserve">27 min</w:t>
            </w:r>
          </w:p>
          <w:p>
            <w:pPr>
              <w:spacing w:after="0" w:before="0"/>
              <w:jc w:val="center"/>
            </w:pPr>
            <w:r>
              <w:rPr>
                <w:rFonts w:ascii="Calibri" w:cs="Calibri" w:eastAsia="Calibri" w:hAnsi="Calibri"/>
                <w:b/>
                <w:bCs/>
                <w:color w:val="64748B"/>
                <w:sz w:val="20"/>
                <w:szCs w:val="20"/>
              </w:rPr>
              <w:t xml:space="preserve">NMGDA AI-verified analysis</w:t>
            </w:r>
          </w:p>
        </w:tc>
      </w:tr>
    </w:tbl>
    <w:p>
      <w:pPr>
        <w:spacing w:after="120" w:before="0"/>
      </w:pPr>
    </w:p>
    <w:p>
      <w:pPr>
        <w:spacing w:after="100" w:before="140"/>
      </w:pPr>
      <w:r>
        <w:rPr>
          <w:rFonts w:ascii="Georgia" w:cs="Georgia" w:eastAsia="Georgia" w:hAnsi="Georgia"/>
          <w:b/>
          <w:bCs/>
          <w:color w:val="8B1A1A"/>
          <w:sz w:val="30"/>
          <w:szCs w:val="30"/>
        </w:rPr>
        <w:t xml:space="preserve">02 — The best data isn’t for sale</w:t>
      </w:r>
    </w:p>
    <w:p>
      <w:pPr>
        <w:keepNext/>
        <w:spacing w:after="100" w:before="0"/>
      </w:pPr>
      <w:r>
        <w:rPr>
          <w:rFonts w:ascii="Calibri" w:cs="Calibri" w:eastAsia="Calibri" w:hAnsi="Calibri"/>
          <w:sz w:val="23"/>
          <w:szCs w:val="23"/>
        </w:rPr>
        <w:t xml:space="preserve">The hard money lender knows which investors always close. The broker who just closed three transactions on the same block knows what the market will actually bear. That intelligence on the street has never had a home. There was no trusted, private channel for the people who know things to share them safely — and get something meaningful in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8"/>
              <w:left w:val="single" w:color="B8860B" w:sz="8"/>
              <w:bottom w:val="single" w:color="B8860B" w:sz="8"/>
              <w:right w:val="single" w:color="B8860B" w:sz="8"/>
            </w:tcBorders>
            <w:shd w:fill="F5F7FA" w:val="clear"/>
            <w:tcMar>
              <w:top w:type="dxa" w:w="120"/>
              <w:left w:type="dxa" w:w="240"/>
              <w:bottom w:type="dxa" w:w="120"/>
              <w:right w:type="dxa" w:w="240"/>
            </w:tcMar>
          </w:tcPr>
          <w:p>
            <w:pPr>
              <w:spacing w:after="40" w:before="0"/>
              <w:jc w:val="center"/>
            </w:pPr>
            <w:r>
              <w:rPr>
                <w:rFonts w:ascii="Georgia" w:cs="Georgia" w:eastAsia="Georgia" w:hAnsi="Georgia"/>
                <w:b/>
                <w:bCs/>
                <w:color w:val="0D2D52"/>
                <w:sz w:val="64"/>
                <w:szCs w:val="64"/>
              </w:rPr>
              <w:t xml:space="preserve">$50,000 /yr</w:t>
            </w:r>
          </w:p>
          <w:p>
            <w:pPr>
              <w:spacing w:after="0" w:before="0"/>
              <w:jc w:val="center"/>
            </w:pPr>
            <w:r>
              <w:rPr>
                <w:rFonts w:ascii="Calibri" w:cs="Calibri" w:eastAsia="Calibri" w:hAnsi="Calibri"/>
                <w:b/>
                <w:bCs/>
                <w:color w:val="64748B"/>
                <w:sz w:val="20"/>
                <w:szCs w:val="20"/>
              </w:rPr>
              <w:t xml:space="preserve">average CRE data subscription spend — for information that operators on the street already have</w:t>
            </w:r>
          </w:p>
        </w:tc>
      </w:tr>
    </w:tbl>
    <w:p>
      <w:pPr>
        <w:spacing w:after="120" w:before="0"/>
      </w:pPr>
    </w:p>
    <w:p>
      <w:pPr>
        <w:spacing w:after="100" w:before="140"/>
      </w:pPr>
      <w:r>
        <w:rPr>
          <w:rFonts w:ascii="Georgia" w:cs="Georgia" w:eastAsia="Georgia" w:hAnsi="Georgia"/>
          <w:b/>
          <w:bCs/>
          <w:color w:val="8B1A1A"/>
          <w:sz w:val="30"/>
          <w:szCs w:val="30"/>
        </w:rPr>
        <w:t xml:space="preserve">03 — The right capital is invisible</w:t>
      </w:r>
    </w:p>
    <w:p>
      <w:pPr>
        <w:keepNext/>
        <w:spacing w:after="120" w:before="0"/>
      </w:pPr>
      <w:r>
        <w:rPr>
          <w:rFonts w:ascii="Calibri" w:cs="Calibri" w:eastAsia="Calibri" w:hAnsi="Calibri"/>
          <w:sz w:val="23"/>
          <w:szCs w:val="23"/>
        </w:rPr>
        <w:t xml:space="preserve">Investors with real capital don’t advertise that they’re looking. The moment that information gets out, the calls are relentless and ninety percent of them waste everyone’s time. So capital sits quiet, waiting for the right deal to appear through the right relationship.</w:t>
      </w:r>
    </w:p>
    <w:p>
      <w:pPr>
        <w:keepNext/>
        <w:spacing w:after="0" w:before="0"/>
      </w:pPr>
      <w:r>
        <w:rPr>
          <w:rFonts w:ascii="Calibri" w:cs="Calibri" w:eastAsia="Calibri" w:hAnsi="Calibri"/>
          <w:sz w:val="23"/>
          <w:szCs w:val="23"/>
        </w:rPr>
        <w:t xml:space="preserve">And on the other side, a broker with a great deal — one their normal lenders passed on — is running out of options and running out of time. Both sides want the same match. Neither knows how to find it without showing their hand.</w:t>
      </w:r>
    </w:p>
    <w:p>
      <w:pPr>
        <w:spacing w:after="0" w:before="0"/>
      </w:pPr>
      <w:r>
        <w:br w:type="page"/>
      </w:r>
    </w:p>
    <w:p>
      <w:pPr>
        <w:spacing w:after="60" w:before="0"/>
      </w:pPr>
      <w:r>
        <w:rPr>
          <w:rFonts w:ascii="Calibri" w:cs="Calibri" w:eastAsia="Calibri" w:hAnsi="Calibri"/>
          <w:b/>
          <w:bCs/>
          <w:color w:val="B8860B"/>
          <w:spacing w:val="80"/>
          <w:sz w:val="18"/>
          <w:szCs w:val="18"/>
        </w:rPr>
        <w:t xml:space="preserve">THE INSIGHT</w:t>
      </w:r>
    </w:p>
    <w:p>
      <w:pPr>
        <w:spacing w:after="160" w:before="0"/>
      </w:pPr>
      <w:r>
        <w:rPr>
          <w:rFonts w:ascii="Georgia" w:cs="Georgia" w:eastAsia="Georgia" w:hAnsi="Georgia"/>
          <w:b/>
          <w:bCs/>
          <w:color w:val="0D2D52"/>
          <w:sz w:val="42"/>
          <w:szCs w:val="42"/>
        </w:rPr>
        <w:t xml:space="preserve">This has always been a connection problem.</w:t>
      </w:r>
    </w:p>
    <w:p>
      <w:pPr>
        <w:pBdr>
          <w:bottom w:val="single" w:color="B8860B" w:sz="8" w:space="1"/>
        </w:pBdr>
        <w:spacing w:after="0" w:before="0"/>
      </w:pPr>
    </w:p>
    <w:p>
      <w:pPr>
        <w:spacing w:after="140" w:before="0"/>
      </w:pPr>
    </w:p>
    <w:p>
      <w:pPr>
        <w:keepNext/>
        <w:spacing w:after="120" w:before="0"/>
      </w:pPr>
      <w:r>
        <w:rPr>
          <w:rFonts w:ascii="Calibri" w:cs="Calibri" w:eastAsia="Calibri" w:hAnsi="Calibri"/>
          <w:sz w:val="23"/>
          <w:szCs w:val="23"/>
        </w:rPr>
        <w:t xml:space="preserve">Airbnb didn’t invent travel. They solved one problem: people with space couldn’t find the people who needed it, privately and at scale. The infrastructure to make that connection safely simply didn’t exist — until it did.</w:t>
      </w:r>
    </w:p>
    <w:p>
      <w:pPr>
        <w:keepNext/>
        <w:spacing w:after="120" w:before="0"/>
      </w:pPr>
      <w:r>
        <w:rPr>
          <w:rFonts w:ascii="Calibri" w:cs="Calibri" w:eastAsia="Calibri" w:hAnsi="Calibri"/>
          <w:sz w:val="23"/>
          <w:szCs w:val="23"/>
        </w:rPr>
        <w:t xml:space="preserve">NMGDA solves the same problem for commercial real estate. The analyst who sees the deal has no credible private way to monetize that insight. The investor with capital has no safe, anonymous channel to broadcast what they’re looking for. The broker with an unsold deal has no way to reach qualified capital without exposing their client to the entire market.</w:t>
      </w:r>
    </w:p>
    <w:p>
      <w:pPr>
        <w:pBdr>
          <w:left w:val="single" w:color="B8860B" w:sz="20" w:space="12"/>
        </w:pBdr>
        <w:spacing w:after="200" w:before="200"/>
        <w:ind w:left="580" w:right="580"/>
      </w:pPr>
      <w:r>
        <w:rPr>
          <w:rFonts w:ascii="Georgia" w:cs="Georgia" w:eastAsia="Georgia" w:hAnsi="Georgia"/>
          <w:b/>
          <w:bCs/>
          <w:i/>
          <w:iCs/>
          <w:color w:val="0D2D52"/>
          <w:sz w:val="27"/>
          <w:szCs w:val="27"/>
        </w:rPr>
        <w:t xml:space="preserve">The people who know things have never had a trusted, private way to connect with the people who need to know things. Until now.</w:t>
      </w:r>
    </w:p>
    <w:p>
      <w:pPr>
        <w:keepNext/>
        <w:spacing w:after="120" w:before="0"/>
      </w:pPr>
      <w:r>
        <w:rPr>
          <w:rFonts w:ascii="Calibri" w:cs="Calibri" w:eastAsia="Calibri" w:hAnsi="Calibri"/>
          <w:sz w:val="23"/>
          <w:szCs w:val="23"/>
        </w:rPr>
        <w:t xml:space="preserve">This connection is now possible because AI and blockchain have converged in a way that lets you share exactly what you choose to share — nothing more, nothing less — verified, matched, privately and securely.</w:t>
      </w:r>
    </w:p>
    <w:p>
      <w:pPr>
        <w:keepNext/>
        <w:spacing w:after="140" w:before="0"/>
      </w:pPr>
      <w:r>
        <w:rPr>
          <w:rFonts w:ascii="Calibri" w:cs="Calibri" w:eastAsia="Calibri" w:hAnsi="Calibri"/>
          <w:sz w:val="23"/>
          <w:szCs w:val="23"/>
        </w:rPr>
        <w:t xml:space="preserve">Your private data is not simply hidden online — it’s not even visible in the database. Everything is cryptographically secured, accessible only to you and those you explicitly grant permission to, only when you want them to see it. The counterparty has no idea whose deal or capital they’re being matched to until you both agree to connect. That is the promise of </w:t>
      </w:r>
      <w:r>
        <w:rPr>
          <w:rFonts w:ascii="Calibri" w:cs="Calibri" w:eastAsia="Calibri" w:hAnsi="Calibri"/>
          <w:b/>
          <w:bCs/>
          <w:color w:val="0D2D52"/>
          <w:sz w:val="23"/>
          <w:szCs w:val="23"/>
        </w:rPr>
        <w:t xml:space="preserve">N</w:t>
      </w:r>
      <w:r>
        <w:rPr>
          <w:rFonts w:ascii="Calibri" w:cs="Calibri" w:eastAsia="Calibri" w:hAnsi="Calibri"/>
          <w:color w:val="0D2D52"/>
          <w:sz w:val="23"/>
          <w:szCs w:val="23"/>
        </w:rPr>
        <w:t xml:space="preserve">ever </w:t>
      </w:r>
      <w:r>
        <w:rPr>
          <w:rFonts w:ascii="Calibri" w:cs="Calibri" w:eastAsia="Calibri" w:hAnsi="Calibri"/>
          <w:b/>
          <w:bCs/>
          <w:color w:val="0D2D52"/>
          <w:sz w:val="23"/>
          <w:szCs w:val="23"/>
        </w:rPr>
        <w:t xml:space="preserve">M</w:t>
      </w:r>
      <w:r>
        <w:rPr>
          <w:rFonts w:ascii="Calibri" w:cs="Calibri" w:eastAsia="Calibri" w:hAnsi="Calibri"/>
          <w:color w:val="0D2D52"/>
          <w:sz w:val="23"/>
          <w:szCs w:val="23"/>
        </w:rPr>
        <w:t xml:space="preserve">iss a </w:t>
      </w:r>
      <w:r>
        <w:rPr>
          <w:rFonts w:ascii="Calibri" w:cs="Calibri" w:eastAsia="Calibri" w:hAnsi="Calibri"/>
          <w:b/>
          <w:bCs/>
          <w:color w:val="0D2D52"/>
          <w:sz w:val="23"/>
          <w:szCs w:val="23"/>
        </w:rPr>
        <w:t xml:space="preserve">G</w:t>
      </w:r>
      <w:r>
        <w:rPr>
          <w:rFonts w:ascii="Calibri" w:cs="Calibri" w:eastAsia="Calibri" w:hAnsi="Calibri"/>
          <w:color w:val="0D2D52"/>
          <w:sz w:val="23"/>
          <w:szCs w:val="23"/>
        </w:rPr>
        <w:t xml:space="preserve">ood </w:t>
      </w:r>
      <w:r>
        <w:rPr>
          <w:rFonts w:ascii="Calibri" w:cs="Calibri" w:eastAsia="Calibri" w:hAnsi="Calibri"/>
          <w:b/>
          <w:bCs/>
          <w:color w:val="0D2D52"/>
          <w:sz w:val="23"/>
          <w:szCs w:val="23"/>
        </w:rPr>
        <w:t xml:space="preserve">D</w:t>
      </w:r>
      <w:r>
        <w:rPr>
          <w:rFonts w:ascii="Calibri" w:cs="Calibri" w:eastAsia="Calibri" w:hAnsi="Calibri"/>
          <w:color w:val="0D2D52"/>
          <w:sz w:val="23"/>
          <w:szCs w:val="23"/>
        </w:rPr>
        <w:t xml:space="preserve">eal </w:t>
      </w:r>
      <w:r>
        <w:rPr>
          <w:rFonts w:ascii="Calibri" w:cs="Calibri" w:eastAsia="Calibri" w:hAnsi="Calibri"/>
          <w:b/>
          <w:bCs/>
          <w:color w:val="0D2D52"/>
          <w:sz w:val="23"/>
          <w:szCs w:val="23"/>
        </w:rPr>
        <w:t xml:space="preserve">A</w:t>
      </w:r>
      <w:r>
        <w:rPr>
          <w:rFonts w:ascii="Calibri" w:cs="Calibri" w:eastAsia="Calibri" w:hAnsi="Calibri"/>
          <w:color w:val="0D2D52"/>
          <w:sz w:val="23"/>
          <w:szCs w:val="23"/>
        </w:rPr>
        <w:t xml:space="preserve">gain</w:t>
      </w:r>
      <w:r>
        <w:rPr>
          <w:rFonts w:ascii="Calibri" w:cs="Calibri" w:eastAsia="Calibri" w:hAnsi="Calibri"/>
          <w:color w:val="0D2D52"/>
          <w:sz w:val="23"/>
          <w:szCs w:val="23"/>
        </w:rPr>
        <w:t xml:space="preserve"> — and it’s not a policy. It’s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560"/>
        <w:gridCol w:w="2720"/>
        <w:gridCol w:w="560"/>
        <w:gridCol w:w="2760"/>
      </w:tblGrid>
      <w:tr>
        <w:tc>
          <w:tcPr>
            <w:tcBorders>
              <w:top w:val="none" w:color="FFFFFF" w:sz="0"/>
              <w:left w:val="none" w:color="FFFFFF" w:sz="0"/>
              <w:bottom w:val="none" w:color="FFFFFF" w:sz="0"/>
              <w:right w:val="none" w:color="FFFFFF" w:sz="0"/>
            </w:tcBorders>
            <w:shd w:fill="FFFFFF" w:val="clear"/>
          </w:tcPr>
          <w:p>
            <w:pPr>
              <w:jc w:val="center"/>
            </w:pPr>
            <w:r>
              <w:rPr>
                <w:rFonts w:ascii="Calibri" w:cs="Calibri" w:eastAsia="Calibri" w:hAnsi="Calibri"/>
                <w:b/>
                <w:bCs/>
                <w:color w:val="64748B"/>
                <w:spacing w:val="60"/>
                <w:sz w:val="20"/>
                <w:szCs w:val="20"/>
              </w:rPr>
              <w:t xml:space="preserve">YOU</w:t>
            </w:r>
          </w:p>
        </w:tc>
        <w:tc>
          <w:tcPr>
            <w:tcBorders>
              <w:top w:val="none" w:color="FFFFFF" w:sz="0"/>
              <w:left w:val="none" w:color="FFFFFF" w:sz="0"/>
              <w:bottom w:val="none" w:color="FFFFFF" w:sz="0"/>
              <w:right w:val="none" w:color="FFFFFF" w:sz="0"/>
            </w:tcBorders>
            <w:shd w:fill="FFFFFF" w:val="clear"/>
          </w:tcPr>
          <w:p/>
        </w:tc>
        <w:tc>
          <w:tcPr>
            <w:tcBorders>
              <w:top w:val="none" w:color="FFFFFF" w:sz="0"/>
              <w:left w:val="none" w:color="FFFFFF" w:sz="0"/>
              <w:bottom w:val="none" w:color="FFFFFF" w:sz="0"/>
              <w:right w:val="none" w:color="FFFFFF" w:sz="0"/>
            </w:tcBorders>
            <w:shd w:fill="FFFFFF" w:val="clear"/>
          </w:tcPr>
          <w:p>
            <w:pPr>
              <w:jc w:val="center"/>
            </w:pPr>
            <w:r>
              <w:rPr>
                <w:rFonts w:ascii="Calibri" w:cs="Calibri" w:eastAsia="Calibri" w:hAnsi="Calibri"/>
                <w:b/>
                <w:bCs/>
                <w:color w:val="B8860B"/>
                <w:spacing w:val="60"/>
                <w:sz w:val="20"/>
                <w:szCs w:val="20"/>
              </w:rPr>
              <w:t xml:space="preserve">NMGDA</w:t>
            </w:r>
          </w:p>
        </w:tc>
        <w:tc>
          <w:tcPr>
            <w:tcBorders>
              <w:top w:val="none" w:color="FFFFFF" w:sz="0"/>
              <w:left w:val="none" w:color="FFFFFF" w:sz="0"/>
              <w:bottom w:val="none" w:color="FFFFFF" w:sz="0"/>
              <w:right w:val="none" w:color="FFFFFF" w:sz="0"/>
            </w:tcBorders>
            <w:shd w:fill="FFFFFF" w:val="clear"/>
          </w:tcPr>
          <w:p/>
        </w:tc>
        <w:tc>
          <w:tcPr>
            <w:tcBorders>
              <w:top w:val="none" w:color="FFFFFF" w:sz="0"/>
              <w:left w:val="none" w:color="FFFFFF" w:sz="0"/>
              <w:bottom w:val="none" w:color="FFFFFF" w:sz="0"/>
              <w:right w:val="none" w:color="FFFFFF" w:sz="0"/>
            </w:tcBorders>
            <w:shd w:fill="FFFFFF" w:val="clear"/>
          </w:tcPr>
          <w:p>
            <w:pPr>
              <w:jc w:val="center"/>
            </w:pPr>
            <w:r>
              <w:rPr>
                <w:rFonts w:ascii="Calibri" w:cs="Calibri" w:eastAsia="Calibri" w:hAnsi="Calibri"/>
                <w:b/>
                <w:bCs/>
                <w:color w:val="64748B"/>
                <w:spacing w:val="60"/>
                <w:sz w:val="20"/>
                <w:szCs w:val="20"/>
              </w:rPr>
              <w:t xml:space="preserve">COUNTERPARTY</w:t>
            </w:r>
          </w:p>
        </w:tc>
      </w:tr>
      <w:tr>
        <w:tc>
          <w:tcPr>
            <w:tcBorders>
              <w:top w:val="single" w:color="0D2D52" w:sz="2"/>
              <w:left w:val="single" w:color="0D2D52" w:sz="2"/>
              <w:bottom w:val="single" w:color="0D2D52" w:sz="2"/>
              <w:right w:val="single" w:color="0D2D52" w:sz="2"/>
            </w:tcBorders>
            <w:shd w:fill="E8EDF8" w:val="clear"/>
            <w:tcMar>
              <w:top w:type="dxa" w:w="120"/>
              <w:left w:type="dxa" w:w="140"/>
              <w:bottom w:type="dxa" w:w="120"/>
              <w:right w:type="dxa" w:w="140"/>
            </w:tcMar>
          </w:tcPr>
          <w:p>
            <w:pPr>
              <w:spacing w:after="60" w:before="0"/>
              <w:jc w:val="center"/>
            </w:pPr>
            <w:r>
              <w:rPr>
                <w:rFonts w:ascii="Segoe UI Emoji" w:cs="Segoe UI Emoji" w:eastAsia="Segoe UI Emoji" w:hAnsi="Segoe UI Emoji"/>
                <w:sz w:val="32"/>
                <w:szCs w:val="32"/>
              </w:rPr>
              <w:t xml:space="preserve">📋</w:t>
            </w:r>
          </w:p>
          <w:p>
            <w:pPr>
              <w:spacing w:after="60" w:before="0"/>
              <w:jc w:val="center"/>
            </w:pPr>
            <w:r>
              <w:rPr>
                <w:rFonts w:ascii="Calibri" w:cs="Calibri" w:eastAsia="Calibri" w:hAnsi="Calibri"/>
                <w:b/>
                <w:bCs/>
                <w:color w:val="0D2D52"/>
                <w:sz w:val="22"/>
                <w:szCs w:val="22"/>
              </w:rPr>
              <w:t xml:space="preserve">Your deal or capital
criteria only</w:t>
            </w:r>
          </w:p>
          <w:p>
            <w:pPr>
              <w:spacing w:after="0" w:before="0"/>
              <w:jc w:val="center"/>
            </w:pPr>
            <w:r>
              <w:rPr>
                <w:rFonts w:ascii="Calibri" w:cs="Calibri" w:eastAsia="Calibri" w:hAnsi="Calibri"/>
                <w:color w:val="64748B"/>
                <w:sz w:val="20"/>
                <w:szCs w:val="20"/>
              </w:rPr>
              <w:t xml:space="preserve">Name and contacts
stay invisible</w:t>
            </w:r>
          </w:p>
        </w:tc>
        <w:tc>
          <w:tcPr>
            <w:tcBorders>
              <w:top w:val="none" w:color="FFFFFF" w:sz="0"/>
              <w:left w:val="none" w:color="FFFFFF" w:sz="0"/>
              <w:bottom w:val="none" w:color="FFFFFF" w:sz="0"/>
              <w:right w:val="none" w:color="FFFFFF" w:sz="0"/>
            </w:tcBorders>
            <w:shd w:fill="FFFFFF" w:val="clear"/>
            <w:vAlign w:val="center"/>
          </w:tcPr>
          <w:p>
            <w:pPr>
              <w:jc w:val="center"/>
            </w:pPr>
            <w:r>
              <w:rPr>
                <w:rFonts w:ascii="Georgia" w:cs="Georgia" w:eastAsia="Georgia" w:hAnsi="Georgia"/>
                <w:b/>
                <w:bCs/>
                <w:color w:val="B8860B"/>
                <w:sz w:val="30"/>
                <w:szCs w:val="30"/>
              </w:rPr>
              <w:t xml:space="preserve">→</w:t>
            </w:r>
          </w:p>
        </w:tc>
        <w:tc>
          <w:tcPr>
            <w:tcBorders>
              <w:top w:val="single" w:color="B8860B" w:sz="8"/>
              <w:left w:val="single" w:color="B8860B" w:sz="8"/>
              <w:bottom w:val="single" w:color="B8860B" w:sz="8"/>
              <w:right w:val="single" w:color="B8860B" w:sz="8"/>
            </w:tcBorders>
            <w:shd w:fill="FFFBEF" w:val="clear"/>
            <w:tcMar>
              <w:top w:type="dxa" w:w="120"/>
              <w:left w:type="dxa" w:w="140"/>
              <w:bottom w:type="dxa" w:w="120"/>
              <w:right w:type="dxa" w:w="140"/>
            </w:tcMar>
          </w:tcPr>
          <w:p>
            <w:pPr>
              <w:spacing w:after="60" w:before="0"/>
              <w:jc w:val="center"/>
            </w:pPr>
            <w:r>
              <w:rPr>
                <w:rFonts w:ascii="Segoe UI Emoji" w:cs="Segoe UI Emoji" w:eastAsia="Segoe UI Emoji" w:hAnsi="Segoe UI Emoji"/>
                <w:sz w:val="32"/>
                <w:szCs w:val="32"/>
              </w:rPr>
              <w:t xml:space="preserve">🔒</w:t>
            </w:r>
          </w:p>
          <w:p>
            <w:pPr>
              <w:spacing w:after="60" w:before="0"/>
              <w:jc w:val="center"/>
            </w:pPr>
            <w:r>
              <w:rPr>
                <w:rFonts w:ascii="Georgia" w:cs="Georgia" w:eastAsia="Georgia" w:hAnsi="Georgia"/>
                <w:b/>
                <w:bCs/>
                <w:i/>
                <w:iCs/>
                <w:color w:val="0D2D52"/>
                <w:sz w:val="22"/>
                <w:szCs w:val="22"/>
              </w:rPr>
              <w:t xml:space="preserve">AI verifies.
Blockchain holds the key.</w:t>
            </w:r>
          </w:p>
          <w:p>
            <w:pPr>
              <w:spacing w:after="0" w:before="0"/>
              <w:jc w:val="center"/>
            </w:pPr>
            <w:r>
              <w:rPr>
                <w:rFonts w:ascii="Calibri" w:cs="Calibri" w:eastAsia="Calibri" w:hAnsi="Calibri"/>
                <w:color w:val="64748B"/>
                <w:sz w:val="20"/>
                <w:szCs w:val="20"/>
              </w:rPr>
              <w:t xml:space="preserve">Neither party knows the other
until both agree to connect</w:t>
            </w:r>
          </w:p>
        </w:tc>
        <w:tc>
          <w:tcPr>
            <w:tcBorders>
              <w:top w:val="none" w:color="FFFFFF" w:sz="0"/>
              <w:left w:val="none" w:color="FFFFFF" w:sz="0"/>
              <w:bottom w:val="none" w:color="FFFFFF" w:sz="0"/>
              <w:right w:val="none" w:color="FFFFFF" w:sz="0"/>
            </w:tcBorders>
            <w:shd w:fill="FFFFFF" w:val="clear"/>
            <w:vAlign w:val="center"/>
          </w:tcPr>
          <w:p>
            <w:pPr>
              <w:jc w:val="center"/>
            </w:pPr>
            <w:r>
              <w:rPr>
                <w:rFonts w:ascii="Georgia" w:cs="Georgia" w:eastAsia="Georgia" w:hAnsi="Georgia"/>
                <w:b/>
                <w:bCs/>
                <w:color w:val="B8860B"/>
                <w:sz w:val="30"/>
                <w:szCs w:val="30"/>
              </w:rPr>
              <w:t xml:space="preserve">→</w:t>
            </w:r>
          </w:p>
        </w:tc>
        <w:tc>
          <w:tcPr>
            <w:tcBorders>
              <w:top w:val="single" w:color="0D2D52" w:sz="2"/>
              <w:left w:val="single" w:color="0D2D52" w:sz="2"/>
              <w:bottom w:val="single" w:color="0D2D52" w:sz="2"/>
              <w:right w:val="single" w:color="0D2D52" w:sz="2"/>
            </w:tcBorders>
            <w:shd w:fill="E8EDF8" w:val="clear"/>
            <w:tcMar>
              <w:top w:type="dxa" w:w="120"/>
              <w:left w:type="dxa" w:w="140"/>
              <w:bottom w:type="dxa" w:w="120"/>
              <w:right w:type="dxa" w:w="140"/>
            </w:tcMar>
          </w:tcPr>
          <w:p>
            <w:pPr>
              <w:spacing w:after="60" w:before="0"/>
              <w:jc w:val="center"/>
            </w:pPr>
            <w:r>
              <w:rPr>
                <w:rFonts w:ascii="Segoe UI Emoji" w:cs="Segoe UI Emoji" w:eastAsia="Segoe UI Emoji" w:hAnsi="Segoe UI Emoji"/>
                <w:sz w:val="32"/>
                <w:szCs w:val="32"/>
              </w:rPr>
              <w:t xml:space="preserve">🤝</w:t>
            </w:r>
          </w:p>
          <w:p>
            <w:pPr>
              <w:spacing w:after="60" w:before="0"/>
              <w:jc w:val="center"/>
            </w:pPr>
            <w:r>
              <w:rPr>
                <w:rFonts w:ascii="Calibri" w:cs="Calibri" w:eastAsia="Calibri" w:hAnsi="Calibri"/>
                <w:b/>
                <w:bCs/>
                <w:color w:val="0D2D52"/>
                <w:sz w:val="22"/>
                <w:szCs w:val="22"/>
              </w:rPr>
              <w:t xml:space="preserve">A verified match on
your exact criteria</w:t>
            </w:r>
          </w:p>
          <w:p>
            <w:pPr>
              <w:spacing w:after="0" w:before="0"/>
              <w:jc w:val="center"/>
            </w:pPr>
            <w:r>
              <w:rPr>
                <w:rFonts w:ascii="Calibri" w:cs="Calibri" w:eastAsia="Calibri" w:hAnsi="Calibri"/>
                <w:color w:val="64748B"/>
                <w:sz w:val="20"/>
                <w:szCs w:val="20"/>
              </w:rPr>
              <w:t xml:space="preserve">The deal details.
Not the dealer.
Until you say so.</w:t>
            </w:r>
          </w:p>
        </w:tc>
      </w:tr>
      <w:tr>
        <w:tc>
          <w:tcPr>
            <w:gridSpan w:val="5"/>
            <w:tcBorders>
              <w:top w:val="none" w:color="FFFFFF" w:sz="0"/>
              <w:left w:val="none" w:color="FFFFFF" w:sz="0"/>
              <w:bottom w:val="none" w:color="FFFFFF" w:sz="0"/>
              <w:right w:val="none" w:color="FFFFFF" w:sz="0"/>
            </w:tcBorders>
            <w:shd w:fill="FFFFFF" w:val="clear"/>
            <w:tcMar>
              <w:top w:type="dxa" w:w="80"/>
              <w:left w:type="dxa" w:w="0"/>
              <w:bottom w:type="dxa" w:w="0"/>
              <w:right w:type="dxa" w:w="0"/>
            </w:tcMar>
          </w:tcPr>
          <w:p>
            <w:pPr>
              <w:jc w:val="center"/>
            </w:pPr>
            <w:r>
              <w:rPr>
                <w:rFonts w:ascii="Calibri" w:cs="Calibri" w:eastAsia="Calibri" w:hAnsi="Calibri"/>
                <w:i/>
                <w:iCs/>
                <w:color w:val="64748B"/>
                <w:sz w:val="21"/>
                <w:szCs w:val="21"/>
              </w:rPr>
              <w:t xml:space="preserve">The convergence of AI and blockchain makes this possible now — for the first time.</w:t>
            </w:r>
          </w:p>
        </w:tc>
      </w:tr>
    </w:tbl>
    <w:p>
      <w:pPr>
        <w:spacing w:after="140" w:before="0"/>
      </w:pPr>
    </w:p>
    <w:p>
      <w:pPr>
        <w:pBdr>
          <w:top w:val="single" w:color="CCCCCC" w:sz="2"/>
          <w:bottom w:val="single" w:color="CCCCCC" w:sz="2"/>
          <w:left w:val="single" w:color="CCCCCC" w:sz="2"/>
          <w:right w:val="single" w:color="CCCCCC" w:sz="2"/>
        </w:pBdr>
        <w:shd w:fill="E8EDF8" w:val="clear"/>
        <w:spacing w:after="0" w:before="0"/>
        <w:ind w:left="160" w:right="160"/>
      </w:pPr>
      <w:r>
        <w:rPr>
          <w:rFonts w:ascii="Georgia" w:cs="Georgia" w:eastAsia="Georgia" w:hAnsi="Georgia"/>
          <w:b/>
          <w:bCs/>
          <w:color w:val="0D2D52"/>
          <w:sz w:val="25"/>
          <w:szCs w:val="25"/>
        </w:rPr>
        <w:t xml:space="preserve">Your data is yours. Always. </w:t>
      </w:r>
      <w:r>
        <w:rPr>
          <w:rFonts w:ascii="Calibri" w:cs="Calibri" w:eastAsia="Calibri" w:hAnsi="Calibri"/>
          <w:b/>
          <w:bCs/>
          <w:color w:val="0D2D52"/>
          <w:sz w:val="23"/>
          <w:szCs w:val="23"/>
        </w:rPr>
        <w:t xml:space="preserve">Zero visibility</w:t>
      </w:r>
      <w:r>
        <w:rPr>
          <w:rFonts w:ascii="Calibri" w:cs="Calibri" w:eastAsia="Calibri" w:hAnsi="Calibri"/>
          <w:color w:val="333333"/>
          <w:sz w:val="23"/>
          <w:szCs w:val="23"/>
        </w:rPr>
        <w:t xml:space="preserve"> — NMGDA never sees your data in readable form; your details exist only under your cryptographic keys. </w:t>
      </w:r>
      <w:r>
        <w:rPr>
          <w:rFonts w:ascii="Calibri" w:cs="Calibri" w:eastAsia="Calibri" w:hAnsi="Calibri"/>
          <w:b/>
          <w:bCs/>
          <w:color w:val="0D2D52"/>
          <w:sz w:val="23"/>
          <w:szCs w:val="23"/>
        </w:rPr>
        <w:t xml:space="preserve">You hold the keys</w:t>
      </w:r>
      <w:r>
        <w:rPr>
          <w:rFonts w:ascii="Calibri" w:cs="Calibri" w:eastAsia="Calibri" w:hAnsi="Calibri"/>
          <w:color w:val="333333"/>
          <w:sz w:val="23"/>
          <w:szCs w:val="23"/>
        </w:rPr>
        <w:t xml:space="preserve"> — we are the introduction layer, not the data layer; the relationship is always yours. </w:t>
      </w:r>
      <w:r>
        <w:rPr>
          <w:rFonts w:ascii="Calibri" w:cs="Calibri" w:eastAsia="Calibri" w:hAnsi="Calibri"/>
          <w:b/>
          <w:bCs/>
          <w:color w:val="0D2D52"/>
          <w:sz w:val="23"/>
          <w:szCs w:val="23"/>
        </w:rPr>
        <w:t xml:space="preserve">Walk away clean</w:t>
      </w:r>
      <w:r>
        <w:rPr>
          <w:rFonts w:ascii="Calibri" w:cs="Calibri" w:eastAsia="Calibri" w:hAnsi="Calibri"/>
          <w:color w:val="333333"/>
          <w:sz w:val="23"/>
          <w:szCs w:val="23"/>
        </w:rPr>
        <w:t xml:space="preserve"> — when you leave, your data leaves with you. No lock-in. No residual records.</w:t>
      </w:r>
    </w:p>
    <w:p>
      <w:pPr>
        <w:spacing w:after="0" w:before="0"/>
      </w:pPr>
      <w:r>
        <w:br w:type="page"/>
      </w:r>
    </w:p>
    <w:p>
      <w:pPr>
        <w:spacing w:after="60" w:before="0"/>
      </w:pPr>
      <w:r>
        <w:rPr>
          <w:rFonts w:ascii="Calibri" w:cs="Calibri" w:eastAsia="Calibri" w:hAnsi="Calibri"/>
          <w:b/>
          <w:bCs/>
          <w:color w:val="B8860B"/>
          <w:spacing w:val="80"/>
          <w:sz w:val="18"/>
          <w:szCs w:val="18"/>
        </w:rPr>
        <w:t xml:space="preserve">HOW IT WORKS</w:t>
      </w:r>
    </w:p>
    <w:p>
      <w:pPr>
        <w:spacing w:after="140" w:before="0"/>
      </w:pPr>
      <w:r>
        <w:rPr>
          <w:rFonts w:ascii="Georgia" w:cs="Georgia" w:eastAsia="Georgia" w:hAnsi="Georgia"/>
          <w:b/>
          <w:bCs/>
          <w:color w:val="0D2D52"/>
          <w:sz w:val="38"/>
          <w:szCs w:val="38"/>
        </w:rPr>
        <w:t xml:space="preserve">Sign up. Post what you have or need. Get matched. Privately.</w:t>
      </w:r>
    </w:p>
    <w:p>
      <w:pPr>
        <w:pBdr>
          <w:bottom w:val="single" w:color="B8860B" w:sz="8" w:space="1"/>
        </w:pBdr>
        <w:spacing w:after="0" w:before="0"/>
      </w:pPr>
    </w:p>
    <w:p>
      <w:pPr>
        <w:spacing w:after="120" w:before="0"/>
      </w:pPr>
    </w:p>
    <w:p>
      <w:pPr>
        <w:keepNext/>
        <w:spacing w:after="80" w:before="0"/>
      </w:pPr>
      <w:r>
        <w:rPr>
          <w:rFonts w:ascii="Calibri" w:cs="Calibri" w:eastAsia="Calibri" w:hAnsi="Calibri"/>
          <w:i/>
          <w:iCs/>
          <w:color w:val="64748B"/>
          <w:sz w:val="22"/>
          <w:szCs w:val="22"/>
        </w:rPr>
        <w:t xml:space="preserve">Think of it as Bumble for commercial real estate deals. Like Bumble, the more selective side initiates — investors and private lenders make the first move here. That’s by design: there will always be more deals looking for capital than capital looking for good deals, so the platform puts the decision-making power where it belongs.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cantSplit/>
        </w:trPr>
        <w:tc>
          <w:tcPr>
            <w:tcW w:type="dxa" w:w="720"/>
            <w:tcBorders>
              <w:top w:val="none" w:color="FFFFFF" w:sz="0"/>
              <w:left w:val="none" w:color="FFFFFF" w:sz="0"/>
              <w:bottom w:val="none" w:color="FFFFFF" w:sz="0"/>
              <w:right w:val="none" w:color="FFFFFF" w:sz="0"/>
            </w:tcBorders>
            <w:shd w:fill="0D2D52" w:val="clear"/>
            <w:tcMar>
              <w:top w:type="dxa" w:w="60"/>
              <w:left w:type="dxa" w:w="60"/>
              <w:bottom w:type="dxa" w:w="60"/>
              <w:right w:type="dxa" w:w="60"/>
            </w:tcMar>
            <w:vAlign w:val="center"/>
          </w:tcPr>
          <w:p>
            <w:pPr>
              <w:jc w:val="center"/>
            </w:pPr>
            <w:r>
              <w:rPr>
                <w:rFonts w:ascii="Georgia" w:cs="Georgia" w:eastAsia="Georgia" w:hAnsi="Georgia"/>
                <w:b/>
                <w:bCs/>
                <w:color w:val="FFFFFF"/>
                <w:sz w:val="32"/>
                <w:szCs w:val="32"/>
              </w:rPr>
              <w:t xml:space="preserve">1</w:t>
            </w:r>
          </w:p>
        </w:tc>
        <w:tc>
          <w:tcPr>
            <w:tcW w:type="dxa" w:w="8640"/>
            <w:tcBorders>
              <w:top w:val="single" w:color="CCCCCC" w:sz="2"/>
              <w:left w:val="none" w:color="FFFFFF" w:sz="0"/>
              <w:bottom w:val="single" w:color="CCCCCC" w:sz="2"/>
              <w:right w:val="single" w:color="CCCCCC" w:sz="2"/>
            </w:tcBorders>
            <w:shd w:fill="F7F9FC" w:val="clear"/>
            <w:tcMar>
              <w:top w:type="dxa" w:w="60"/>
              <w:left w:type="dxa" w:w="200"/>
              <w:bottom w:type="dxa" w:w="60"/>
              <w:right w:type="dxa" w:w="140"/>
            </w:tcMar>
          </w:tcPr>
          <w:p>
            <w:pPr>
              <w:spacing w:after="40" w:before="0"/>
            </w:pPr>
            <w:r>
              <w:rPr>
                <w:rFonts w:ascii="Calibri" w:cs="Calibri" w:eastAsia="Calibri" w:hAnsi="Calibri"/>
                <w:b/>
                <w:bCs/>
                <w:color w:val="0D2D52"/>
                <w:sz w:val="23"/>
                <w:szCs w:val="23"/>
              </w:rPr>
              <w:t xml:space="preserve">Create your account</w:t>
            </w:r>
          </w:p>
          <w:p>
            <w:pPr>
              <w:spacing w:after="0" w:before="0"/>
            </w:pPr>
            <w:r>
              <w:rPr>
                <w:rFonts w:ascii="Calibri" w:cs="Calibri" w:eastAsia="Calibri" w:hAnsi="Calibri"/>
                <w:color w:val="64748B"/>
                <w:sz w:val="20"/>
                <w:szCs w:val="20"/>
              </w:rPr>
              <w:t xml:space="preserve">Email and phone verification. 90 seconds. Your NMGDA profile is the start of your RepID — your verified professional track record on the platform.</w:t>
            </w:r>
          </w:p>
        </w:tc>
      </w:tr>
    </w:tbl>
    <w:p>
      <w:pPr>
        <w:spacing w:after="1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cantSplit/>
        </w:trPr>
        <w:tc>
          <w:tcPr>
            <w:tcW w:type="dxa" w:w="720"/>
            <w:tcBorders>
              <w:top w:val="none" w:color="FFFFFF" w:sz="0"/>
              <w:left w:val="none" w:color="FFFFFF" w:sz="0"/>
              <w:bottom w:val="none" w:color="FFFFFF" w:sz="0"/>
              <w:right w:val="none" w:color="FFFFFF" w:sz="0"/>
            </w:tcBorders>
            <w:shd w:fill="1A56DB" w:val="clear"/>
            <w:tcMar>
              <w:top w:type="dxa" w:w="60"/>
              <w:left w:type="dxa" w:w="60"/>
              <w:bottom w:type="dxa" w:w="60"/>
              <w:right w:type="dxa" w:w="60"/>
            </w:tcMar>
            <w:vAlign w:val="center"/>
          </w:tcPr>
          <w:p>
            <w:pPr>
              <w:jc w:val="center"/>
            </w:pPr>
            <w:r>
              <w:rPr>
                <w:rFonts w:ascii="Georgia" w:cs="Georgia" w:eastAsia="Georgia" w:hAnsi="Georgia"/>
                <w:b/>
                <w:bCs/>
                <w:color w:val="FFFFFF"/>
                <w:sz w:val="32"/>
                <w:szCs w:val="32"/>
              </w:rPr>
              <w:t xml:space="preserve">2</w:t>
            </w:r>
          </w:p>
        </w:tc>
        <w:tc>
          <w:tcPr>
            <w:tcW w:type="dxa" w:w="8640"/>
            <w:tcBorders>
              <w:top w:val="single" w:color="CCCCCC" w:sz="2"/>
              <w:left w:val="none" w:color="FFFFFF" w:sz="0"/>
              <w:bottom w:val="single" w:color="CCCCCC" w:sz="2"/>
              <w:right w:val="single" w:color="CCCCCC" w:sz="2"/>
            </w:tcBorders>
            <w:shd w:fill="F7F9FC" w:val="clear"/>
            <w:tcMar>
              <w:top w:type="dxa" w:w="60"/>
              <w:left w:type="dxa" w:w="200"/>
              <w:bottom w:type="dxa" w:w="60"/>
              <w:right w:type="dxa" w:w="140"/>
            </w:tcMar>
          </w:tcPr>
          <w:p>
            <w:pPr>
              <w:spacing w:after="40" w:before="0"/>
            </w:pPr>
            <w:r>
              <w:rPr>
                <w:rFonts w:ascii="Calibri" w:cs="Calibri" w:eastAsia="Calibri" w:hAnsi="Calibri"/>
                <w:b/>
                <w:bCs/>
                <w:color w:val="0D2D52"/>
                <w:sz w:val="23"/>
                <w:szCs w:val="23"/>
              </w:rPr>
              <w:t xml:space="preserve">Post what you have or what you need — privately</w:t>
            </w:r>
          </w:p>
          <w:p>
            <w:pPr>
              <w:spacing w:after="0" w:before="0"/>
            </w:pPr>
            <w:r>
              <w:rPr>
                <w:rFonts w:ascii="Calibri" w:cs="Calibri" w:eastAsia="Calibri" w:hAnsi="Calibri"/>
                <w:color w:val="64748B"/>
                <w:sz w:val="20"/>
                <w:szCs w:val="20"/>
              </w:rPr>
              <w:t xml:space="preserve">Uploading a deal? Drop in the key numbers or upload your rent roll and OM. Deploying capital? Post your criteria — market, asset type, deal size, structure. Anonymously. No one sees your name or contact information.</w:t>
            </w:r>
          </w:p>
        </w:tc>
      </w:tr>
    </w:tbl>
    <w:p>
      <w:pPr>
        <w:spacing w:after="1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cantSplit/>
        </w:trPr>
        <w:tc>
          <w:tcPr>
            <w:tcW w:type="dxa" w:w="720"/>
            <w:tcBorders>
              <w:top w:val="none" w:color="FFFFFF" w:sz="0"/>
              <w:left w:val="none" w:color="FFFFFF" w:sz="0"/>
              <w:bottom w:val="none" w:color="FFFFFF" w:sz="0"/>
              <w:right w:val="none" w:color="FFFFFF" w:sz="0"/>
            </w:tcBorders>
            <w:shd w:fill="0D2D52" w:val="clear"/>
            <w:tcMar>
              <w:top w:type="dxa" w:w="60"/>
              <w:left w:type="dxa" w:w="60"/>
              <w:bottom w:type="dxa" w:w="60"/>
              <w:right w:type="dxa" w:w="60"/>
            </w:tcMar>
            <w:vAlign w:val="center"/>
          </w:tcPr>
          <w:p>
            <w:pPr>
              <w:jc w:val="center"/>
            </w:pPr>
            <w:r>
              <w:rPr>
                <w:rFonts w:ascii="Georgia" w:cs="Georgia" w:eastAsia="Georgia" w:hAnsi="Georgia"/>
                <w:b/>
                <w:bCs/>
                <w:color w:val="FFFFFF"/>
                <w:sz w:val="32"/>
                <w:szCs w:val="32"/>
              </w:rPr>
              <w:t xml:space="preserve">3</w:t>
            </w:r>
          </w:p>
        </w:tc>
        <w:tc>
          <w:tcPr>
            <w:tcW w:type="dxa" w:w="8640"/>
            <w:tcBorders>
              <w:top w:val="single" w:color="CCCCCC" w:sz="2"/>
              <w:left w:val="none" w:color="FFFFFF" w:sz="0"/>
              <w:bottom w:val="single" w:color="CCCCCC" w:sz="2"/>
              <w:right w:val="single" w:color="CCCCCC" w:sz="2"/>
            </w:tcBorders>
            <w:shd w:fill="F7F9FC" w:val="clear"/>
            <w:tcMar>
              <w:top w:type="dxa" w:w="60"/>
              <w:left w:type="dxa" w:w="200"/>
              <w:bottom w:type="dxa" w:w="60"/>
              <w:right w:type="dxa" w:w="140"/>
            </w:tcMar>
          </w:tcPr>
          <w:p>
            <w:pPr>
              <w:spacing w:after="40" w:before="0"/>
            </w:pPr>
            <w:r>
              <w:rPr>
                <w:rFonts w:ascii="Calibri" w:cs="Calibri" w:eastAsia="Calibri" w:hAnsi="Calibri"/>
                <w:b/>
                <w:bCs/>
                <w:color w:val="0D2D52"/>
                <w:sz w:val="23"/>
                <w:szCs w:val="23"/>
              </w:rPr>
              <w:t xml:space="preserve">Post the scenario. No address required.</w:t>
            </w:r>
          </w:p>
          <w:p>
            <w:pPr>
              <w:spacing w:after="0" w:before="0"/>
            </w:pPr>
            <w:r>
              <w:rPr>
                <w:rFonts w:ascii="Calibri" w:cs="Calibri" w:eastAsia="Calibri" w:hAnsi="Calibri"/>
                <w:color w:val="64748B"/>
                <w:sz w:val="20"/>
                <w:szCs w:val="20"/>
              </w:rPr>
              <w:t xml:space="preserve">You don’t need to reveal the property address to get matched. Post the deal or capital criteria as a scenario — market, asset type, size, structure, target returns. That’s enough to find the right match. Optional: submit your rent roll, T-12, or OM for an “AI Verified” badge — verified listings get priority placement.</w:t>
            </w:r>
          </w:p>
        </w:tc>
      </w:tr>
    </w:tbl>
    <w:p>
      <w:pPr>
        <w:spacing w:after="1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cantSplit/>
        </w:trPr>
        <w:tc>
          <w:tcPr>
            <w:tcW w:type="dxa" w:w="720"/>
            <w:tcBorders>
              <w:top w:val="none" w:color="FFFFFF" w:sz="0"/>
              <w:left w:val="none" w:color="FFFFFF" w:sz="0"/>
              <w:bottom w:val="none" w:color="FFFFFF" w:sz="0"/>
              <w:right w:val="none" w:color="FFFFFF" w:sz="0"/>
            </w:tcBorders>
            <w:shd w:fill="1A56DB" w:val="clear"/>
            <w:tcMar>
              <w:top w:type="dxa" w:w="60"/>
              <w:left w:type="dxa" w:w="60"/>
              <w:bottom w:type="dxa" w:w="60"/>
              <w:right w:type="dxa" w:w="60"/>
            </w:tcMar>
            <w:vAlign w:val="center"/>
          </w:tcPr>
          <w:p>
            <w:pPr>
              <w:jc w:val="center"/>
            </w:pPr>
            <w:r>
              <w:rPr>
                <w:rFonts w:ascii="Georgia" w:cs="Georgia" w:eastAsia="Georgia" w:hAnsi="Georgia"/>
                <w:b/>
                <w:bCs/>
                <w:color w:val="FFFFFF"/>
                <w:sz w:val="32"/>
                <w:szCs w:val="32"/>
              </w:rPr>
              <w:t xml:space="preserve">4</w:t>
            </w:r>
          </w:p>
        </w:tc>
        <w:tc>
          <w:tcPr>
            <w:tcW w:type="dxa" w:w="8640"/>
            <w:tcBorders>
              <w:top w:val="single" w:color="CCCCCC" w:sz="2"/>
              <w:left w:val="none" w:color="FFFFFF" w:sz="0"/>
              <w:bottom w:val="single" w:color="CCCCCC" w:sz="2"/>
              <w:right w:val="single" w:color="CCCCCC" w:sz="2"/>
            </w:tcBorders>
            <w:shd w:fill="F7F9FC" w:val="clear"/>
            <w:tcMar>
              <w:top w:type="dxa" w:w="60"/>
              <w:left w:type="dxa" w:w="200"/>
              <w:bottom w:type="dxa" w:w="60"/>
              <w:right w:type="dxa" w:w="140"/>
            </w:tcMar>
          </w:tcPr>
          <w:p>
            <w:pPr>
              <w:spacing w:after="40" w:before="0"/>
            </w:pPr>
            <w:r>
              <w:rPr>
                <w:rFonts w:ascii="Calibri" w:cs="Calibri" w:eastAsia="Calibri" w:hAnsi="Calibri"/>
                <w:b/>
                <w:bCs/>
                <w:color w:val="0D2D52"/>
                <w:sz w:val="23"/>
                <w:szCs w:val="23"/>
              </w:rPr>
              <w:t xml:space="preserve">Get matched. Privately.</w:t>
            </w:r>
          </w:p>
          <w:p>
            <w:pPr>
              <w:spacing w:after="0" w:before="0"/>
            </w:pPr>
            <w:r>
              <w:rPr>
                <w:rFonts w:ascii="Calibri" w:cs="Calibri" w:eastAsia="Calibri" w:hAnsi="Calibri"/>
                <w:color w:val="64748B"/>
                <w:sz w:val="20"/>
                <w:szCs w:val="20"/>
              </w:rPr>
              <w:t xml:space="preserve">When your deal or criteria matches someone on the platform, both parties are notified. Neither knows who the other is. You see the deal characteristics or investor criteria — not the name, not the contact. Only when both sides choose to connect does the introduction happen.</w:t>
            </w:r>
          </w:p>
        </w:tc>
      </w:tr>
    </w:tbl>
    <w:p>
      <w:pPr>
        <w:spacing w:after="1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cantSplit/>
        </w:trPr>
        <w:tc>
          <w:tcPr>
            <w:tcW w:type="dxa" w:w="720"/>
            <w:tcBorders>
              <w:top w:val="none" w:color="FFFFFF" w:sz="0"/>
              <w:left w:val="none" w:color="FFFFFF" w:sz="0"/>
              <w:bottom w:val="none" w:color="FFFFFF" w:sz="0"/>
              <w:right w:val="none" w:color="FFFFFF" w:sz="0"/>
            </w:tcBorders>
            <w:shd w:fill="0D2D52" w:val="clear"/>
            <w:tcMar>
              <w:top w:type="dxa" w:w="60"/>
              <w:left w:type="dxa" w:w="60"/>
              <w:bottom w:type="dxa" w:w="60"/>
              <w:right w:type="dxa" w:w="60"/>
            </w:tcMar>
            <w:vAlign w:val="center"/>
          </w:tcPr>
          <w:p>
            <w:pPr>
              <w:jc w:val="center"/>
            </w:pPr>
            <w:r>
              <w:rPr>
                <w:rFonts w:ascii="Georgia" w:cs="Georgia" w:eastAsia="Georgia" w:hAnsi="Georgia"/>
                <w:b/>
                <w:bCs/>
                <w:color w:val="FFFFFF"/>
                <w:sz w:val="32"/>
                <w:szCs w:val="32"/>
              </w:rPr>
              <w:t xml:space="preserve">5</w:t>
            </w:r>
          </w:p>
        </w:tc>
        <w:tc>
          <w:tcPr>
            <w:tcW w:type="dxa" w:w="8640"/>
            <w:tcBorders>
              <w:top w:val="single" w:color="CCCCCC" w:sz="2"/>
              <w:left w:val="none" w:color="FFFFFF" w:sz="0"/>
              <w:bottom w:val="single" w:color="CCCCCC" w:sz="2"/>
              <w:right w:val="single" w:color="CCCCCC" w:sz="2"/>
            </w:tcBorders>
            <w:shd w:fill="F7F9FC" w:val="clear"/>
            <w:tcMar>
              <w:top w:type="dxa" w:w="60"/>
              <w:left w:type="dxa" w:w="200"/>
              <w:bottom w:type="dxa" w:w="60"/>
              <w:right w:type="dxa" w:w="140"/>
            </w:tcMar>
          </w:tcPr>
          <w:p>
            <w:pPr>
              <w:spacing w:after="40" w:before="0"/>
            </w:pPr>
            <w:r>
              <w:rPr>
                <w:rFonts w:ascii="Calibri" w:cs="Calibri" w:eastAsia="Calibri" w:hAnsi="Calibri"/>
                <w:b/>
                <w:bCs/>
                <w:color w:val="0D2D52"/>
                <w:sz w:val="23"/>
                <w:szCs w:val="23"/>
              </w:rPr>
              <w:t xml:space="preserve">Your track record builds every time you’re right</w:t>
            </w:r>
          </w:p>
          <w:p>
            <w:pPr>
              <w:spacing w:after="0" w:before="0"/>
            </w:pPr>
            <w:r>
              <w:rPr>
                <w:rFonts w:ascii="Calibri" w:cs="Calibri" w:eastAsia="Calibri" w:hAnsi="Calibri"/>
                <w:color w:val="64748B"/>
                <w:sz w:val="20"/>
                <w:szCs w:val="20"/>
              </w:rPr>
              <w:t xml:space="preserve">When a deal closes through a connection you made, the platform records it. When your analysis proves accurate, your RepID rises. Your reputation is built by what you’ve actually done — not what you say about yourself.</w:t>
            </w:r>
          </w:p>
        </w:tc>
      </w:tr>
    </w:tbl>
    <w:p>
      <w:pPr>
        <w:spacing w:after="1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cantSplit/>
        </w:trPr>
        <w:tc>
          <w:tcPr>
            <w:tcW w:type="dxa" w:w="720"/>
            <w:tcBorders>
              <w:top w:val="none" w:color="FFFFFF" w:sz="0"/>
              <w:left w:val="none" w:color="FFFFFF" w:sz="0"/>
              <w:bottom w:val="none" w:color="FFFFFF" w:sz="0"/>
              <w:right w:val="none" w:color="FFFFFF" w:sz="0"/>
            </w:tcBorders>
            <w:shd w:fill="1A56DB" w:val="clear"/>
            <w:tcMar>
              <w:top w:type="dxa" w:w="60"/>
              <w:left w:type="dxa" w:w="60"/>
              <w:bottom w:type="dxa" w:w="60"/>
              <w:right w:type="dxa" w:w="60"/>
            </w:tcMar>
            <w:vAlign w:val="center"/>
          </w:tcPr>
          <w:p>
            <w:pPr>
              <w:jc w:val="center"/>
            </w:pPr>
            <w:r>
              <w:rPr>
                <w:rFonts w:ascii="Georgia" w:cs="Georgia" w:eastAsia="Georgia" w:hAnsi="Georgia"/>
                <w:b/>
                <w:bCs/>
                <w:color w:val="FFFFFF"/>
                <w:sz w:val="32"/>
                <w:szCs w:val="32"/>
              </w:rPr>
              <w:t xml:space="preserve">6</w:t>
            </w:r>
          </w:p>
        </w:tc>
        <w:tc>
          <w:tcPr>
            <w:tcW w:type="dxa" w:w="8640"/>
            <w:tcBorders>
              <w:top w:val="single" w:color="CCCCCC" w:sz="2"/>
              <w:left w:val="none" w:color="FFFFFF" w:sz="0"/>
              <w:bottom w:val="single" w:color="CCCCCC" w:sz="2"/>
              <w:right w:val="single" w:color="CCCCCC" w:sz="2"/>
            </w:tcBorders>
            <w:shd w:fill="F7F9FC" w:val="clear"/>
            <w:tcMar>
              <w:top w:type="dxa" w:w="60"/>
              <w:left w:type="dxa" w:w="200"/>
              <w:bottom w:type="dxa" w:w="60"/>
              <w:right w:type="dxa" w:w="140"/>
            </w:tcMar>
          </w:tcPr>
          <w:p>
            <w:pPr>
              <w:spacing w:after="40" w:before="0"/>
            </w:pPr>
            <w:r>
              <w:rPr>
                <w:rFonts w:ascii="Calibri" w:cs="Calibri" w:eastAsia="Calibri" w:hAnsi="Calibri"/>
                <w:b/>
                <w:bCs/>
                <w:color w:val="0D2D52"/>
                <w:sz w:val="23"/>
                <w:szCs w:val="23"/>
              </w:rPr>
              <w:t xml:space="preserve">Need to go deeper? Hire an AI Analyst.</w:t>
            </w:r>
          </w:p>
          <w:p>
            <w:pPr>
              <w:spacing w:after="0" w:before="0"/>
            </w:pPr>
            <w:r>
              <w:rPr>
                <w:rFonts w:ascii="Calibri" w:cs="Calibri" w:eastAsia="Calibri" w:hAnsi="Calibri"/>
                <w:color w:val="64748B"/>
                <w:sz w:val="20"/>
                <w:szCs w:val="20"/>
              </w:rPr>
              <w:t xml:space="preserve">Need a deeper look? Post a private research request. An AI Analyst verifies data, researches new markets, or scouts unlisted opportunities. Results come back to you only.</w:t>
            </w:r>
          </w:p>
        </w:tc>
      </w:tr>
    </w:tbl>
    <w:p>
      <w:pPr>
        <w:pageBreakBefore/>
        <w:spacing w:after="60" w:before="0"/>
      </w:pPr>
      <w:r>
        <w:rPr>
          <w:rFonts w:ascii="Calibri" w:cs="Calibri" w:eastAsia="Calibri" w:hAnsi="Calibri"/>
          <w:b/>
          <w:bCs/>
          <w:color w:val="B8860B"/>
          <w:spacing w:val="80"/>
          <w:sz w:val="18"/>
          <w:szCs w:val="18"/>
        </w:rPr>
        <w:t xml:space="preserve">REPUTATION</w:t>
      </w:r>
    </w:p>
    <w:p>
      <w:pPr>
        <w:spacing w:after="160" w:before="0"/>
      </w:pPr>
      <w:r>
        <w:rPr>
          <w:rFonts w:ascii="Georgia" w:cs="Georgia" w:eastAsia="Georgia" w:hAnsi="Georgia"/>
          <w:b/>
          <w:bCs/>
          <w:color w:val="0D2D52"/>
          <w:sz w:val="42"/>
          <w:szCs w:val="42"/>
        </w:rPr>
        <w:t xml:space="preserve">Skin in the game. Verifiably.</w:t>
      </w:r>
    </w:p>
    <w:p>
      <w:pPr>
        <w:pBdr>
          <w:bottom w:val="single" w:color="B8860B" w:sz="8" w:space="1"/>
        </w:pBdr>
        <w:spacing w:after="0" w:before="0"/>
      </w:pPr>
    </w:p>
    <w:p>
      <w:pPr>
        <w:spacing w:after="140" w:before="0"/>
      </w:pPr>
    </w:p>
    <w:p>
      <w:pPr>
        <w:keepNext/>
        <w:spacing w:after="120" w:before="0"/>
      </w:pPr>
      <w:r>
        <w:rPr>
          <w:rFonts w:ascii="Calibri" w:cs="Calibri" w:eastAsia="Calibri" w:hAnsi="Calibri"/>
          <w:sz w:val="23"/>
          <w:szCs w:val="23"/>
        </w:rPr>
        <w:t xml:space="preserve">Reputation in commercial real estate has always been everything — and entirely opaque. The broker who always closes what they say they’ll close has no credential that proves it to someone who doesn’t already know them. The analyst who called the last three market turns correctly has no record of it outside of word of mouth.</w:t>
      </w:r>
    </w:p>
    <w:p>
      <w:pPr>
        <w:keepNext/>
        <w:spacing w:after="140" w:before="0"/>
      </w:pPr>
      <w:r>
        <w:rPr>
          <w:rFonts w:ascii="Calibri" w:cs="Calibri" w:eastAsia="Calibri" w:hAnsi="Calibri"/>
          <w:sz w:val="23"/>
          <w:szCs w:val="23"/>
        </w:rPr>
        <w:t xml:space="preserve">RepID changes this. Not through a profile or recommendations — but through verified activity on the platform. Your track record is what you’ve done. Full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CCCCC" w:sz="2"/>
              <w:left w:val="single" w:color="CCCCCC" w:sz="2"/>
              <w:bottom w:val="single" w:color="CCCCCC" w:sz="2"/>
              <w:right w:val="single" w:color="CCCCCC" w:sz="2"/>
            </w:tcBorders>
            <w:shd w:fill="E8EDF8" w:val="clear"/>
            <w:tcMar>
              <w:top w:type="dxa" w:w="160"/>
              <w:left w:type="dxa" w:w="200"/>
              <w:bottom w:type="dxa" w:w="160"/>
              <w:right w:type="dxa" w:w="200"/>
            </w:tcMar>
          </w:tcPr>
          <w:p>
            <w:pPr>
              <w:spacing w:after="80" w:before="0"/>
            </w:pPr>
            <w:r>
              <w:rPr>
                <w:rFonts w:ascii="Georgia" w:cs="Georgia" w:eastAsia="Georgia" w:hAnsi="Georgia"/>
                <w:b/>
                <w:bCs/>
                <w:color w:val="0D2D52"/>
                <w:sz w:val="25"/>
                <w:szCs w:val="25"/>
              </w:rPr>
              <w:t xml:space="preserve">Stake what you know</w:t>
            </w:r>
          </w:p>
          <w:p>
            <w:pPr>
              <w:spacing w:after="0" w:before="0"/>
            </w:pPr>
            <w:r>
              <w:rPr>
                <w:rFonts w:ascii="Calibri" w:cs="Calibri" w:eastAsia="Calibri" w:hAnsi="Calibri"/>
                <w:color w:val="333333"/>
                <w:sz w:val="21"/>
                <w:szCs w:val="21"/>
              </w:rPr>
              <w:t xml:space="preserve">Post deal picks in a given submarket. Stake your RepID on them. Get it right consistently and the investors and fund managers on the platform take notice. Your analytical track record becomes a credential that opens doors your resume never could.</w:t>
            </w:r>
          </w:p>
        </w:tc>
        <w:tc>
          <w:tcPr>
            <w:tcW w:type="dxa" w:w="4560"/>
            <w:tcBorders>
              <w:top w:val="single" w:color="CCCCCC" w:sz="2"/>
              <w:left w:val="single" w:color="CCCCCC" w:sz="2"/>
              <w:bottom w:val="single" w:color="CCCCCC" w:sz="2"/>
              <w:right w:val="single" w:color="CCCCCC" w:sz="2"/>
            </w:tcBorders>
            <w:shd w:fill="FFFBEF" w:val="clear"/>
            <w:tcMar>
              <w:top w:type="dxa" w:w="160"/>
              <w:left w:type="dxa" w:w="200"/>
              <w:bottom w:type="dxa" w:w="160"/>
              <w:right w:type="dxa" w:w="200"/>
            </w:tcMar>
          </w:tcPr>
          <w:p>
            <w:pPr>
              <w:spacing w:after="80" w:before="0"/>
            </w:pPr>
            <w:r>
              <w:rPr>
                <w:rFonts w:ascii="Georgia" w:cs="Georgia" w:eastAsia="Georgia" w:hAnsi="Georgia"/>
                <w:b/>
                <w:bCs/>
                <w:color w:val="0D2D52"/>
                <w:sz w:val="25"/>
                <w:szCs w:val="25"/>
              </w:rPr>
              <w:t xml:space="preserve">Post a bounty</w:t>
            </w:r>
          </w:p>
          <w:p>
            <w:pPr>
              <w:spacing w:after="0" w:before="0"/>
            </w:pPr>
            <w:r>
              <w:rPr>
                <w:rFonts w:ascii="Calibri" w:cs="Calibri" w:eastAsia="Calibri" w:hAnsi="Calibri"/>
                <w:color w:val="333333"/>
                <w:sz w:val="21"/>
                <w:szCs w:val="21"/>
              </w:rPr>
              <w:t xml:space="preserve">Have a deal or capital need and want the network working for you? Post a platform credit reward for the connection that makes it happen. Serious counterparties compete based on verified track records, not cold calls.</w:t>
            </w:r>
          </w:p>
        </w:tc>
      </w:tr>
      <w:tr>
        <w:tc>
          <w:tcPr>
            <w:tcW w:type="dxa" w:w="4560"/>
            <w:tcBorders>
              <w:top w:val="single" w:color="CCCCCC" w:sz="2"/>
              <w:left w:val="single" w:color="CCCCCC" w:sz="2"/>
              <w:bottom w:val="single" w:color="CCCCCC" w:sz="2"/>
              <w:right w:val="single" w:color="CCCCCC" w:sz="2"/>
            </w:tcBorders>
            <w:shd w:fill="F0FFF4" w:val="clear"/>
            <w:tcMar>
              <w:top w:type="dxa" w:w="160"/>
              <w:left w:type="dxa" w:w="200"/>
              <w:bottom w:type="dxa" w:w="160"/>
              <w:right w:type="dxa" w:w="200"/>
            </w:tcMar>
          </w:tcPr>
          <w:p>
            <w:pPr>
              <w:spacing w:after="80" w:before="0"/>
            </w:pPr>
            <w:r>
              <w:rPr>
                <w:rFonts w:ascii="Georgia" w:cs="Georgia" w:eastAsia="Georgia" w:hAnsi="Georgia"/>
                <w:b/>
                <w:bCs/>
                <w:color w:val="0D2D52"/>
                <w:sz w:val="25"/>
                <w:szCs w:val="25"/>
              </w:rPr>
              <w:t xml:space="preserve">Earn as you contribute</w:t>
            </w:r>
          </w:p>
          <w:p>
            <w:pPr>
              <w:spacing w:after="0" w:before="0"/>
            </w:pPr>
            <w:r>
              <w:rPr>
                <w:rFonts w:ascii="Calibri" w:cs="Calibri" w:eastAsia="Calibri" w:hAnsi="Calibri"/>
                <w:color w:val="333333"/>
                <w:sz w:val="21"/>
                <w:szCs w:val="21"/>
              </w:rPr>
              <w:t xml:space="preserve">Every verified connection earns platform credits. Introduce capital to a deal that closes — you earn. Submit a comp that gets validated and used — you earn. Your multiplier grows with your track record.</w:t>
            </w:r>
          </w:p>
        </w:tc>
        <w:tc>
          <w:tcPr>
            <w:tcW w:type="dxa" w:w="4560"/>
            <w:tcBorders>
              <w:top w:val="single" w:color="CCCCCC" w:sz="2"/>
              <w:left w:val="single" w:color="CCCCCC" w:sz="2"/>
              <w:bottom w:val="single" w:color="CCCCCC" w:sz="2"/>
              <w:right w:val="single" w:color="CCCCCC" w:sz="2"/>
            </w:tcBorders>
            <w:shd w:fill="F7F9FC" w:val="clear"/>
            <w:tcMar>
              <w:top w:type="dxa" w:w="160"/>
              <w:left w:type="dxa" w:w="200"/>
              <w:bottom w:type="dxa" w:w="160"/>
              <w:right w:type="dxa" w:w="200"/>
            </w:tcMar>
          </w:tcPr>
          <w:p>
            <w:pPr>
              <w:spacing w:after="80" w:before="0"/>
            </w:pPr>
            <w:r>
              <w:rPr>
                <w:rFonts w:ascii="Georgia" w:cs="Georgia" w:eastAsia="Georgia" w:hAnsi="Georgia"/>
                <w:b/>
                <w:bCs/>
                <w:color w:val="0D2D52"/>
                <w:sz w:val="25"/>
                <w:szCs w:val="25"/>
              </w:rPr>
              <w:t xml:space="preserve">Your criteria. Anonymous.</w:t>
            </w:r>
          </w:p>
          <w:p>
            <w:pPr>
              <w:spacing w:after="0" w:before="0"/>
            </w:pPr>
            <w:r>
              <w:rPr>
                <w:rFonts w:ascii="Calibri" w:cs="Calibri" w:eastAsia="Calibri" w:hAnsi="Calibri"/>
                <w:color w:val="333333"/>
                <w:sz w:val="21"/>
                <w:szCs w:val="21"/>
              </w:rPr>
              <w:t xml:space="preserve">Post what you’re looking for without advertising that you’re looking. Verified deals matching your exact criteria come to you. No noise. No cold calls. No one knows you’re in the market except the platform.</w:t>
            </w:r>
          </w:p>
        </w:tc>
      </w:tr>
    </w:tbl>
    <w:p>
      <w:pPr>
        <w:spacing w:after="140" w:before="0"/>
      </w:pPr>
    </w:p>
    <w:p>
      <w:pPr>
        <w:keepNext/>
        <w:spacing w:after="120" w:before="0"/>
      </w:pPr>
      <w:r>
        <w:rPr>
          <w:rFonts w:ascii="Calibri" w:cs="Calibri" w:eastAsia="Calibri" w:hAnsi="Calibri"/>
          <w:sz w:val="23"/>
          <w:szCs w:val="23"/>
        </w:rPr>
        <w:t xml:space="preserve">Your RepID badge is shareable — post it to LinkedIn, drop it in a CoStar profile, include it in an email signature or deal deck. When a counterparty scans it, they see a cryptographically verified track record: not what you say about yourself, but what you’ve actually done. The old guard built reputation deal by deal over decades. NMGDA makes it visible, verifiable, and portable.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8"/>
              <w:left w:val="single" w:color="B8860B" w:sz="8"/>
              <w:bottom w:val="single" w:color="B8860B" w:sz="8"/>
              <w:right w:val="single" w:color="B8860B" w:sz="8"/>
            </w:tcBorders>
            <w:shd w:fill="0D2D52" w:val="clear"/>
            <w:tcMar>
              <w:top w:type="dxa" w:w="180"/>
              <w:left w:type="dxa" w:w="280"/>
              <w:bottom w:type="dxa" w:w="180"/>
              <w:right w:type="dxa" w:w="280"/>
            </w:tcMar>
          </w:tcPr>
          <w:p>
            <w:pPr>
              <w:spacing w:after="80" w:before="0"/>
              <w:jc w:val="center"/>
            </w:pPr>
            <w:r>
              <w:rPr>
                <w:rFonts w:ascii="Georgia" w:cs="Georgia" w:eastAsia="Georgia" w:hAnsi="Georgia"/>
                <w:b/>
                <w:bCs/>
                <w:color w:val="B8860B"/>
                <w:sz w:val="28"/>
                <w:szCs w:val="28"/>
              </w:rPr>
              <w:t xml:space="preserve">★  NMGDA Verified  ★</w:t>
            </w:r>
          </w:p>
          <w:p>
            <w:pPr>
              <w:spacing w:after="80" w:before="0"/>
              <w:jc w:val="center"/>
            </w:pPr>
            <w:r>
              <w:rPr>
                <w:rFonts w:ascii="Calibri" w:cs="Calibri" w:eastAsia="Calibri" w:hAnsi="Calibri"/>
                <w:color w:val="FFFFFF"/>
                <w:sz w:val="22"/>
                <w:szCs w:val="22"/>
              </w:rPr>
              <w:t xml:space="preserve">RepID Score: 847  ·  23 Verified Connections  ·  94% Accuracy</w:t>
            </w:r>
          </w:p>
          <w:p>
            <w:pPr>
              <w:spacing w:after="0" w:before="0"/>
              <w:jc w:val="center"/>
            </w:pPr>
            <w:r>
              <w:rPr>
                <w:rFonts w:ascii="Calibri" w:cs="Calibri" w:eastAsia="Calibri" w:hAnsi="Calibri"/>
                <w:i/>
                <w:iCs/>
                <w:color w:val="AABBCC"/>
                <w:sz w:val="19"/>
                <w:szCs w:val="19"/>
              </w:rPr>
              <w:t xml:space="preserve">Share on LinkedIn  ·  CoStar  ·  Email Signature  ·  Deal Deck</w:t>
            </w:r>
          </w:p>
        </w:tc>
      </w:tr>
    </w:tbl>
    <w:p>
      <w:pPr>
        <w:spacing w:after="0" w:before="0"/>
      </w:pPr>
      <w:r>
        <w:br w:type="page"/>
      </w:r>
    </w:p>
    <w:p>
      <w:pPr>
        <w:spacing w:after="60" w:before="0"/>
      </w:pPr>
      <w:r>
        <w:rPr>
          <w:rFonts w:ascii="Calibri" w:cs="Calibri" w:eastAsia="Calibri" w:hAnsi="Calibri"/>
          <w:b/>
          <w:bCs/>
          <w:color w:val="B8860B"/>
          <w:spacing w:val="80"/>
          <w:sz w:val="18"/>
          <w:szCs w:val="18"/>
        </w:rPr>
        <w:t xml:space="preserve">WHO THIS IS FOR</w:t>
      </w:r>
    </w:p>
    <w:p>
      <w:pPr>
        <w:spacing w:after="160" w:before="0"/>
      </w:pPr>
      <w:r>
        <w:rPr>
          <w:rFonts w:ascii="Georgia" w:cs="Georgia" w:eastAsia="Georgia" w:hAnsi="Georgia"/>
          <w:b/>
          <w:bCs/>
          <w:color w:val="0D2D52"/>
          <w:sz w:val="42"/>
          <w:szCs w:val="42"/>
        </w:rPr>
        <w:t xml:space="preserve">You’ve worn at least one of these hats.</w:t>
      </w:r>
    </w:p>
    <w:p>
      <w:pPr>
        <w:pBdr>
          <w:bottom w:val="single" w:color="B8860B" w:sz="8" w:space="1"/>
        </w:pBdr>
        <w:spacing w:after="0" w:before="0"/>
      </w:pPr>
    </w:p>
    <w:p>
      <w:pPr>
        <w:spacing w:after="120" w:before="0"/>
      </w:pPr>
    </w:p>
    <w:p>
      <w:pPr>
        <w:keepNext/>
        <w:spacing w:after="120" w:before="0"/>
      </w:pPr>
      <w:r>
        <w:rPr>
          <w:rFonts w:ascii="Calibri" w:cs="Calibri" w:eastAsia="Calibri" w:hAnsi="Calibri"/>
          <w:sz w:val="23"/>
          <w:szCs w:val="23"/>
        </w:rPr>
        <w:t xml:space="preserve">Most people with real experience in private money commercial real estate have been all three of these at different points. The platform serves each one — simultaneously, privately, and on their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8860B" w:val="clear"/>
            <w:vAlign w:val="top"/>
          </w:tcPr>
          <w:p/>
        </w:tc>
        <w:tc>
          <w:tcPr>
            <w:tcBorders>
              <w:top w:val="single" w:color="CCCCCC" w:sz="2"/>
              <w:left w:val="none" w:color="FFFFFF" w:sz="0"/>
              <w:bottom w:val="single" w:color="CCCCCC" w:sz="2"/>
              <w:right w:val="single" w:color="CCCCCC" w:sz="2"/>
            </w:tcBorders>
            <w:shd w:fill="F7F9FC" w:val="clear"/>
            <w:tcMar>
              <w:top w:type="dxa" w:w="140"/>
              <w:left w:type="dxa" w:w="200"/>
              <w:bottom w:type="dxa" w:w="140"/>
              <w:right w:type="dxa" w:w="160"/>
            </w:tcMar>
          </w:tcPr>
          <w:p>
            <w:pPr>
              <w:spacing w:after="60" w:before="0"/>
            </w:pPr>
            <w:r>
              <w:rPr>
                <w:rFonts w:ascii="Georgia" w:cs="Georgia" w:eastAsia="Georgia" w:hAnsi="Georgia"/>
                <w:b/>
                <w:bCs/>
                <w:color w:val="0D2D52"/>
                <w:sz w:val="26"/>
                <w:szCs w:val="26"/>
              </w:rPr>
              <w:t xml:space="preserve">The Broker Running Out of Runway</w:t>
            </w:r>
          </w:p>
          <w:p>
            <w:pPr>
              <w:spacing w:after="100" w:before="0"/>
            </w:pPr>
            <w:r>
              <w:rPr>
                <w:rFonts w:ascii="Georgia" w:cs="Georgia" w:eastAsia="Georgia" w:hAnsi="Georgia"/>
                <w:i/>
                <w:iCs/>
                <w:color w:val="B8860B"/>
                <w:sz w:val="21"/>
                <w:szCs w:val="21"/>
              </w:rPr>
              <w:t xml:space="preserve">“I’ve called everyone I know. The deal is real. I’m out of time.”</w:t>
            </w:r>
          </w:p>
          <w:p>
            <w:pPr>
              <w:spacing w:after="0" w:before="0"/>
            </w:pPr>
            <w:r>
              <w:rPr>
                <w:rFonts w:ascii="Calibri" w:cs="Calibri" w:eastAsia="Calibri" w:hAnsi="Calibri"/>
                <w:color w:val="333333"/>
                <w:sz w:val="21"/>
                <w:szCs w:val="21"/>
              </w:rPr>
              <w:t xml:space="preserve">You found it, you vetted it, and your normal lenders passed. The deal isn’t bad — it just doesn’t fit their current box. Post it on NMGDA. Qualified capital deployers whose criteria match get notified — anonymously, on their terms. No broadcasting. No losing control of your seller relationship. The right capital, matched to the right deal, before the window closes.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8860B" w:val="clear"/>
            <w:vAlign w:val="top"/>
          </w:tcPr>
          <w:p/>
        </w:tc>
        <w:tc>
          <w:tcPr>
            <w:tcBorders>
              <w:top w:val="single" w:color="CCCCCC" w:sz="2"/>
              <w:left w:val="none" w:color="FFFFFF" w:sz="0"/>
              <w:bottom w:val="single" w:color="CCCCCC" w:sz="2"/>
              <w:right w:val="single" w:color="CCCCCC" w:sz="2"/>
            </w:tcBorders>
            <w:shd w:fill="FFFBEF" w:val="clear"/>
            <w:tcMar>
              <w:top w:type="dxa" w:w="140"/>
              <w:left w:type="dxa" w:w="200"/>
              <w:bottom w:type="dxa" w:w="140"/>
              <w:right w:type="dxa" w:w="160"/>
            </w:tcMar>
          </w:tcPr>
          <w:p>
            <w:pPr>
              <w:spacing w:after="60" w:before="0"/>
            </w:pPr>
            <w:r>
              <w:rPr>
                <w:rFonts w:ascii="Georgia" w:cs="Georgia" w:eastAsia="Georgia" w:hAnsi="Georgia"/>
                <w:b/>
                <w:bCs/>
                <w:color w:val="0D2D52"/>
                <w:sz w:val="26"/>
                <w:szCs w:val="26"/>
              </w:rPr>
              <w:t xml:space="preserve">The Analyst With Good Instincts and No Platform</w:t>
            </w:r>
          </w:p>
          <w:p>
            <w:pPr>
              <w:spacing w:after="100" w:before="0"/>
            </w:pPr>
            <w:r>
              <w:rPr>
                <w:rFonts w:ascii="Georgia" w:cs="Georgia" w:eastAsia="Georgia" w:hAnsi="Georgia"/>
                <w:i/>
                <w:iCs/>
                <w:color w:val="B8860B"/>
                <w:sz w:val="21"/>
                <w:szCs w:val="21"/>
              </w:rPr>
              <w:t xml:space="preserve">“I know which deals in this market are real. Nobody outside my firm knows I exist.”</w:t>
            </w:r>
          </w:p>
          <w:p>
            <w:pPr>
              <w:spacing w:after="0" w:before="0"/>
            </w:pPr>
            <w:r>
              <w:rPr>
                <w:rFonts w:ascii="Calibri" w:cs="Calibri" w:eastAsia="Calibri" w:hAnsi="Calibri"/>
                <w:color w:val="333333"/>
                <w:sz w:val="21"/>
                <w:szCs w:val="21"/>
              </w:rPr>
              <w:t xml:space="preserve">Post your top picks in a given submarket. Stake your RepID on them. Build a verified track record of being right — privately, on your own timeline. When fund managers and investors on the platform see a consistent track record, they come to you. Your insight has always had value. Now it has a way to show itself.</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8860B" w:val="clear"/>
            <w:vAlign w:val="top"/>
          </w:tcPr>
          <w:p/>
        </w:tc>
        <w:tc>
          <w:tcPr>
            <w:tcBorders>
              <w:top w:val="single" w:color="CCCCCC" w:sz="2"/>
              <w:left w:val="none" w:color="FFFFFF" w:sz="0"/>
              <w:bottom w:val="single" w:color="CCCCCC" w:sz="2"/>
              <w:right w:val="single" w:color="CCCCCC" w:sz="2"/>
            </w:tcBorders>
            <w:shd w:fill="F0FFF4" w:val="clear"/>
            <w:tcMar>
              <w:top w:type="dxa" w:w="140"/>
              <w:left w:type="dxa" w:w="200"/>
              <w:bottom w:type="dxa" w:w="140"/>
              <w:right w:type="dxa" w:w="160"/>
            </w:tcMar>
          </w:tcPr>
          <w:p>
            <w:pPr>
              <w:spacing w:after="60" w:before="0"/>
            </w:pPr>
            <w:r>
              <w:rPr>
                <w:rFonts w:ascii="Georgia" w:cs="Georgia" w:eastAsia="Georgia" w:hAnsi="Georgia"/>
                <w:b/>
                <w:bCs/>
                <w:color w:val="0D2D52"/>
                <w:sz w:val="26"/>
                <w:szCs w:val="26"/>
              </w:rPr>
              <w:t xml:space="preserve">The Capital Deployer Without a Pipeline Right Now</w:t>
            </w:r>
          </w:p>
          <w:p>
            <w:pPr>
              <w:spacing w:after="100" w:before="0"/>
            </w:pPr>
            <w:r>
              <w:rPr>
                <w:rFonts w:ascii="Georgia" w:cs="Georgia" w:eastAsia="Georgia" w:hAnsi="Georgia"/>
                <w:i/>
                <w:iCs/>
                <w:color w:val="B8860B"/>
                <w:sz w:val="21"/>
                <w:szCs w:val="21"/>
              </w:rPr>
              <w:t xml:space="preserve">“I have the capital. My team is stretched. I’m watching deals close that should have been mine.”</w:t>
            </w:r>
          </w:p>
          <w:p>
            <w:pPr>
              <w:spacing w:after="0" w:before="0"/>
            </w:pPr>
            <w:r>
              <w:rPr>
                <w:rFonts w:ascii="Calibri" w:cs="Calibri" w:eastAsia="Calibri" w:hAnsi="Calibri"/>
                <w:color w:val="333333"/>
                <w:sz w:val="21"/>
                <w:szCs w:val="21"/>
              </w:rPr>
              <w:t xml:space="preserve">Post your criteria anonymously. Asset class, market, deal size, preferred structure, target returns. Verified deals that match come to you. No calls from people who didn’t read your criteria. No noise. The platform does the filtering — privately, continuously, on your terms. You review what matches. You decide who to meet.</w:t>
            </w:r>
          </w:p>
        </w:tc>
      </w:tr>
    </w:tbl>
    <w:p>
      <w:pPr>
        <w:spacing w:after="0" w:before="0"/>
      </w:pPr>
      <w:r>
        <w:br w:type="page"/>
      </w:r>
    </w:p>
    <w:p>
      <w:pPr>
        <w:spacing w:after="60" w:before="0"/>
      </w:pPr>
      <w:r>
        <w:rPr>
          <w:rFonts w:ascii="Calibri" w:cs="Calibri" w:eastAsia="Calibri" w:hAnsi="Calibri"/>
          <w:b/>
          <w:bCs/>
          <w:color w:val="B8860B"/>
          <w:spacing w:val="80"/>
          <w:sz w:val="18"/>
          <w:szCs w:val="18"/>
        </w:rPr>
        <w:t xml:space="preserve">WHY NOW</w:t>
      </w:r>
    </w:p>
    <w:p>
      <w:pPr>
        <w:spacing w:after="160" w:before="0"/>
      </w:pPr>
      <w:r>
        <w:rPr>
          <w:rFonts w:ascii="Georgia" w:cs="Georgia" w:eastAsia="Georgia" w:hAnsi="Georgia"/>
          <w:b/>
          <w:bCs/>
          <w:color w:val="0D2D52"/>
          <w:sz w:val="42"/>
          <w:szCs w:val="42"/>
        </w:rPr>
        <w:t xml:space="preserve">The technology just caught up to the need.</w:t>
      </w:r>
    </w:p>
    <w:p>
      <w:pPr>
        <w:pBdr>
          <w:bottom w:val="single" w:color="B8860B" w:sz="8" w:space="1"/>
        </w:pBdr>
        <w:spacing w:after="0" w:before="0"/>
      </w:pPr>
    </w:p>
    <w:p>
      <w:pPr>
        <w:spacing w:after="140" w:before="0"/>
      </w:pPr>
    </w:p>
    <w:p>
      <w:pPr>
        <w:keepNext/>
        <w:spacing w:after="120" w:before="0"/>
      </w:pPr>
      <w:r>
        <w:rPr>
          <w:rFonts w:ascii="Calibri" w:cs="Calibri" w:eastAsia="Calibri" w:hAnsi="Calibri"/>
          <w:sz w:val="23"/>
          <w:szCs w:val="23"/>
        </w:rPr>
        <w:t xml:space="preserve">Private, verified, anonymous deal matching at scale required two things to be true simultaneously: AI capable of verifying financial data in real time, and a privacy layer strong enough to guarantee that shared information can’t be extracted or misused. Neither existed at practical cost until recently.</w:t>
      </w:r>
    </w:p>
    <w:p>
      <w:pPr>
        <w:keepNext/>
        <w:spacing w:after="140" w:before="0"/>
      </w:pPr>
      <w:r>
        <w:rPr>
          <w:rFonts w:ascii="Calibri" w:cs="Calibri" w:eastAsia="Calibri" w:hAnsi="Calibri"/>
          <w:sz w:val="23"/>
          <w:szCs w:val="23"/>
        </w:rPr>
        <w:t xml:space="preserve">The convergence of AI and blockchain infrastructure in the last three years makes NMGDA possible now in a way it simply wasn’t before. The tools are here. The platform is built. The founding cohort is forming.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B8860B" w:sz="8"/>
              <w:left w:val="single" w:color="B8860B" w:sz="8"/>
              <w:bottom w:val="single" w:color="B8860B" w:sz="8"/>
              <w:right w:val="single" w:color="B8860B" w:sz="8"/>
            </w:tcBorders>
            <w:shd w:fill="E8EDF8" w:val="clear"/>
            <w:tcMar>
              <w:top w:type="dxa" w:w="140"/>
              <w:left w:type="dxa" w:w="240"/>
              <w:bottom w:type="dxa" w:w="140"/>
              <w:right w:type="dxa" w:w="240"/>
            </w:tcMar>
          </w:tcPr>
          <w:p>
            <w:pPr>
              <w:spacing w:after="40" w:before="0"/>
              <w:jc w:val="center"/>
            </w:pPr>
            <w:r>
              <w:rPr>
                <w:rFonts w:ascii="Georgia" w:cs="Georgia" w:eastAsia="Georgia" w:hAnsi="Georgia"/>
                <w:b/>
                <w:bCs/>
                <w:color w:val="0D2D52"/>
                <w:sz w:val="60"/>
                <w:szCs w:val="60"/>
              </w:rPr>
              <w:t xml:space="preserve">88%</w:t>
            </w:r>
          </w:p>
          <w:p>
            <w:pPr>
              <w:spacing w:after="40" w:before="0"/>
              <w:jc w:val="center"/>
            </w:pPr>
            <w:r>
              <w:rPr>
                <w:rFonts w:ascii="Calibri" w:cs="Calibri" w:eastAsia="Calibri" w:hAnsi="Calibri"/>
                <w:b/>
                <w:bCs/>
                <w:color w:val="64748B"/>
                <w:sz w:val="20"/>
                <w:szCs w:val="20"/>
              </w:rPr>
              <w:t xml:space="preserve">of CRE investors started AI programs in 2025</w:t>
            </w:r>
          </w:p>
          <w:p>
            <w:pPr>
              <w:spacing w:after="0" w:before="0"/>
              <w:jc w:val="center"/>
            </w:pPr>
            <w:r>
              <w:rPr>
                <w:rFonts w:ascii="Calibri" w:cs="Calibri" w:eastAsia="Calibri" w:hAnsi="Calibri"/>
                <w:i/>
                <w:iCs/>
                <w:color w:val="64748B"/>
                <w:sz w:val="18"/>
                <w:szCs w:val="18"/>
              </w:rPr>
              <w:t xml:space="preserve">Only 5% achieved their goals — the platform gap is real</w:t>
            </w:r>
          </w:p>
        </w:tc>
        <w:tc>
          <w:tcPr>
            <w:tcW w:type="dxa" w:w="4560"/>
            <w:tcBorders>
              <w:top w:val="single" w:color="B8860B" w:sz="8"/>
              <w:left w:val="single" w:color="B8860B" w:sz="8"/>
              <w:bottom w:val="single" w:color="B8860B" w:sz="8"/>
              <w:right w:val="single" w:color="B8860B" w:sz="8"/>
            </w:tcBorders>
            <w:shd w:fill="FFFBEF" w:val="clear"/>
            <w:tcMar>
              <w:top w:type="dxa" w:w="140"/>
              <w:left w:type="dxa" w:w="240"/>
              <w:bottom w:type="dxa" w:w="140"/>
              <w:right w:type="dxa" w:w="240"/>
            </w:tcMar>
          </w:tcPr>
          <w:p>
            <w:pPr>
              <w:spacing w:after="40" w:before="0"/>
              <w:jc w:val="center"/>
            </w:pPr>
            <w:r>
              <w:rPr>
                <w:rFonts w:ascii="Georgia" w:cs="Georgia" w:eastAsia="Georgia" w:hAnsi="Georgia"/>
                <w:b/>
                <w:bCs/>
                <w:color w:val="B8860B"/>
                <w:sz w:val="60"/>
                <w:szCs w:val="60"/>
              </w:rPr>
              <w:t xml:space="preserve">$16.7B</w:t>
            </w:r>
          </w:p>
          <w:p>
            <w:pPr>
              <w:spacing w:after="40" w:before="0"/>
              <w:jc w:val="center"/>
            </w:pPr>
            <w:r>
              <w:rPr>
                <w:rFonts w:ascii="Calibri" w:cs="Calibri" w:eastAsia="Calibri" w:hAnsi="Calibri"/>
                <w:b/>
                <w:bCs/>
                <w:color w:val="64748B"/>
                <w:sz w:val="20"/>
                <w:szCs w:val="20"/>
              </w:rPr>
              <w:t xml:space="preserve">into AI PropTech in 2025 alone</w:t>
            </w:r>
          </w:p>
          <w:p>
            <w:pPr>
              <w:spacing w:after="0" w:before="0"/>
              <w:jc w:val="center"/>
            </w:pPr>
            <w:r>
              <w:rPr>
                <w:rFonts w:ascii="Calibri" w:cs="Calibri" w:eastAsia="Calibri" w:hAnsi="Calibri"/>
                <w:i/>
                <w:iCs/>
                <w:color w:val="64748B"/>
                <w:sz w:val="18"/>
                <w:szCs w:val="18"/>
              </w:rPr>
              <w:t xml:space="preserve">+68% year over year</w:t>
            </w:r>
          </w:p>
        </w:tc>
      </w:tr>
    </w:tbl>
    <w:p>
      <w:pPr>
        <w:pBdr>
          <w:left w:val="single" w:color="B8860B" w:sz="20" w:space="12"/>
        </w:pBdr>
        <w:spacing w:after="200" w:before="200"/>
        <w:ind w:left="580" w:right="580"/>
      </w:pPr>
      <w:r>
        <w:rPr>
          <w:rFonts w:ascii="Georgia" w:cs="Georgia" w:eastAsia="Georgia" w:hAnsi="Georgia"/>
          <w:b/>
          <w:bCs/>
          <w:i/>
          <w:iCs/>
          <w:color w:val="0D2D52"/>
          <w:sz w:val="27"/>
          <w:szCs w:val="27"/>
        </w:rPr>
        <w:t xml:space="preserve">Your competitor is either already thinking about this — or they will be. The only question is which side of that you want to be on.</w:t>
      </w:r>
    </w:p>
    <w:p>
      <w:pPr>
        <w:spacing w:after="160" w:before="0"/>
      </w:pPr>
    </w:p>
    <w:p>
      <w:pPr>
        <w:spacing w:after="120" w:before="0"/>
      </w:pPr>
      <w:r>
        <w:rPr>
          <w:rFonts w:ascii="Georgia" w:cs="Georgia" w:eastAsia="Georgia" w:hAnsi="Georgia"/>
          <w:b/>
          <w:bCs/>
          <w:color w:val="0D2D52"/>
          <w:sz w:val="34"/>
          <w:szCs w:val="34"/>
        </w:rPr>
        <w:t xml:space="preserve">The network effect is everything.</w:t>
      </w:r>
    </w:p>
    <w:p>
      <w:pPr>
        <w:keepNext/>
        <w:spacing w:after="120" w:before="0"/>
      </w:pPr>
      <w:r>
        <w:rPr>
          <w:rFonts w:ascii="Calibri" w:cs="Calibri" w:eastAsia="Calibri" w:hAnsi="Calibri"/>
          <w:sz w:val="23"/>
          <w:szCs w:val="23"/>
        </w:rPr>
        <w:t xml:space="preserve">Platforms like this become exponentially more valuable with every verified member who joins. The first 500 brokers on NMGDA have access to every lender and capital deployer in the founding cohort. The first 500 capital deployers have access to every verified deal that enters the system. As the network grows, so does the value of being in it — and the cost of not being.</w:t>
      </w:r>
    </w:p>
    <w:p>
      <w:pPr>
        <w:keepNext/>
        <w:spacing w:after="0" w:before="0"/>
      </w:pPr>
      <w:r>
        <w:rPr>
          <w:rFonts w:ascii="Calibri" w:cs="Calibri" w:eastAsia="Calibri" w:hAnsi="Calibri"/>
          <w:sz w:val="23"/>
          <w:szCs w:val="23"/>
        </w:rPr>
        <w:t xml:space="preserve">RepID scores earned now compound. The track record you build in the first year of the platform is the track record that defines your standing when the network reaches critical mass. Early movers don’t just get access. They get advantage.</w:t>
      </w:r>
    </w:p>
    <w:p>
      <w:pPr>
        <w:spacing w:after="0" w:before="0"/>
      </w:pPr>
      <w:r>
        <w:br w:type="page"/>
      </w:r>
    </w:p>
    <w:p>
      <w:pPr>
        <w:spacing w:after="100" w:before="0"/>
      </w:pPr>
    </w:p>
    <w:p>
      <w:pPr>
        <w:spacing w:after="160" w:before="0"/>
      </w:pPr>
      <w:r>
        <w:rPr>
          <w:rFonts w:ascii="Georgia" w:cs="Georgia" w:eastAsia="Georgia" w:hAnsi="Georgia"/>
          <w:b/>
          <w:bCs/>
          <w:color w:val="0D2D52"/>
          <w:sz w:val="42"/>
          <w:szCs w:val="42"/>
        </w:rPr>
        <w:t xml:space="preserve">N</w:t>
      </w:r>
      <w:r>
        <w:rPr>
          <w:rFonts w:ascii="Georgia" w:cs="Georgia" w:eastAsia="Georgia" w:hAnsi="Georgia"/>
          <w:color w:val="0D2D52"/>
          <w:sz w:val="42"/>
          <w:szCs w:val="42"/>
        </w:rPr>
        <w:t xml:space="preserve">ever </w:t>
      </w:r>
      <w:r>
        <w:rPr>
          <w:rFonts w:ascii="Georgia" w:cs="Georgia" w:eastAsia="Georgia" w:hAnsi="Georgia"/>
          <w:b/>
          <w:bCs/>
          <w:color w:val="0D2D52"/>
          <w:sz w:val="42"/>
          <w:szCs w:val="42"/>
        </w:rPr>
        <w:t xml:space="preserve">M</w:t>
      </w:r>
      <w:r>
        <w:rPr>
          <w:rFonts w:ascii="Georgia" w:cs="Georgia" w:eastAsia="Georgia" w:hAnsi="Georgia"/>
          <w:color w:val="0D2D52"/>
          <w:sz w:val="42"/>
          <w:szCs w:val="42"/>
        </w:rPr>
        <w:t xml:space="preserve">iss a </w:t>
      </w:r>
      <w:r>
        <w:rPr>
          <w:rFonts w:ascii="Georgia" w:cs="Georgia" w:eastAsia="Georgia" w:hAnsi="Georgia"/>
          <w:b/>
          <w:bCs/>
          <w:color w:val="0D2D52"/>
          <w:sz w:val="42"/>
          <w:szCs w:val="42"/>
        </w:rPr>
        <w:t xml:space="preserve">G</w:t>
      </w:r>
      <w:r>
        <w:rPr>
          <w:rFonts w:ascii="Georgia" w:cs="Georgia" w:eastAsia="Georgia" w:hAnsi="Georgia"/>
          <w:color w:val="0D2D52"/>
          <w:sz w:val="42"/>
          <w:szCs w:val="42"/>
        </w:rPr>
        <w:t xml:space="preserve">ood </w:t>
      </w:r>
      <w:r>
        <w:rPr>
          <w:rFonts w:ascii="Georgia" w:cs="Georgia" w:eastAsia="Georgia" w:hAnsi="Georgia"/>
          <w:b/>
          <w:bCs/>
          <w:color w:val="0D2D52"/>
          <w:sz w:val="42"/>
          <w:szCs w:val="42"/>
        </w:rPr>
        <w:t xml:space="preserve">D</w:t>
      </w:r>
      <w:r>
        <w:rPr>
          <w:rFonts w:ascii="Georgia" w:cs="Georgia" w:eastAsia="Georgia" w:hAnsi="Georgia"/>
          <w:color w:val="0D2D52"/>
          <w:sz w:val="42"/>
          <w:szCs w:val="42"/>
        </w:rPr>
        <w:t xml:space="preserve">eal </w:t>
      </w:r>
      <w:r>
        <w:rPr>
          <w:rFonts w:ascii="Georgia" w:cs="Georgia" w:eastAsia="Georgia" w:hAnsi="Georgia"/>
          <w:b/>
          <w:bCs/>
          <w:color w:val="0D2D52"/>
          <w:sz w:val="42"/>
          <w:szCs w:val="42"/>
        </w:rPr>
        <w:t xml:space="preserve">A</w:t>
      </w:r>
      <w:r>
        <w:rPr>
          <w:rFonts w:ascii="Georgia" w:cs="Georgia" w:eastAsia="Georgia" w:hAnsi="Georgia"/>
          <w:color w:val="0D2D52"/>
          <w:sz w:val="42"/>
          <w:szCs w:val="42"/>
        </w:rPr>
        <w:t xml:space="preserve">gain</w:t>
      </w:r>
      <w:r>
        <w:rPr>
          <w:rFonts w:ascii="Calibri" w:cs="Calibri" w:eastAsia="Calibri" w:hAnsi="Calibri"/>
          <w:b/>
          <w:bCs/>
          <w:color w:val="B8860B"/>
          <w:sz w:val="32"/>
          <w:szCs w:val="32"/>
        </w:rPr>
        <w:t xml:space="preserve">  —  NMGDA.com</w:t>
      </w:r>
    </w:p>
    <w:p>
      <w:pPr>
        <w:pBdr>
          <w:bottom w:val="single" w:color="B8860B" w:sz="8" w:space="1"/>
        </w:pBdr>
        <w:spacing w:after="0" w:before="0"/>
      </w:pPr>
    </w:p>
    <w:p>
      <w:pPr>
        <w:spacing w:after="160" w:before="0"/>
      </w:pPr>
    </w:p>
    <w:p>
      <w:pPr>
        <w:spacing w:after="120" w:before="0"/>
      </w:pPr>
      <w:r>
        <w:rPr>
          <w:rFonts w:ascii="Georgia" w:cs="Georgia" w:eastAsia="Georgia" w:hAnsi="Georgia"/>
          <w:i/>
          <w:iCs/>
          <w:color w:val="0D2D52"/>
          <w:sz w:val="30"/>
          <w:szCs w:val="30"/>
        </w:rPr>
        <w:t xml:space="preserve">The good deals are out there right now.</w:t>
      </w:r>
    </w:p>
    <w:p>
      <w:pPr>
        <w:keepNext/>
        <w:spacing w:after="120" w:before="0"/>
      </w:pPr>
      <w:r>
        <w:rPr>
          <w:rFonts w:ascii="Calibri" w:cs="Calibri" w:eastAsia="Calibri" w:hAnsi="Calibri"/>
          <w:sz w:val="24"/>
          <w:szCs w:val="24"/>
        </w:rPr>
        <w:t xml:space="preserve">The broker who found the deal is running out of time. The capital that could fund it has no idea it exists. The analyst who could verify it in 27 minutes is waiting for a platform that takes their instincts seriously.</w:t>
      </w:r>
    </w:p>
    <w:p>
      <w:pPr>
        <w:keepNext/>
        <w:spacing w:after="180" w:before="0"/>
      </w:pPr>
      <w:r>
        <w:rPr>
          <w:rFonts w:ascii="Calibri" w:cs="Calibri" w:eastAsia="Calibri" w:hAnsi="Calibri"/>
          <w:b/>
          <w:bCs/>
          <w:color w:val="0D2D52"/>
          <w:sz w:val="24"/>
          <w:szCs w:val="24"/>
        </w:rPr>
        <w:t xml:space="preserve">You’ve been on both sides of that equation. NMGDA puts all three sides in the same room — privately, securely, and on your terms. The only thing missing is you.</w:t>
      </w:r>
    </w:p>
    <w:p>
      <w:pPr>
        <w:spacing w:after="160" w:before="0"/>
      </w:pPr>
      <w:r>
        <w:rPr>
          <w:rFonts w:ascii="Georgia" w:cs="Georgia" w:eastAsia="Georgia" w:hAnsi="Georgia"/>
          <w:b/>
          <w:bCs/>
          <w:color w:val="0D2D52"/>
          <w:sz w:val="38"/>
          <w:szCs w:val="38"/>
        </w:rPr>
        <w:t xml:space="preserve">Ready to stop missing the good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8"/>
              <w:left w:val="single" w:color="B8860B" w:sz="8"/>
              <w:bottom w:val="single" w:color="B8860B" w:sz="8"/>
              <w:right w:val="single" w:color="B8860B" w:sz="8"/>
            </w:tcBorders>
            <w:shd w:fill="0D2D52" w:val="clear"/>
            <w:tcMar>
              <w:top w:type="dxa" w:w="260"/>
              <w:left w:type="dxa" w:w="320"/>
              <w:bottom w:type="dxa" w:w="260"/>
              <w:right w:type="dxa" w:w="320"/>
            </w:tcMar>
          </w:tcPr>
          <w:p>
            <w:pPr>
              <w:spacing w:after="100" w:before="0"/>
              <w:jc w:val="center"/>
            </w:pPr>
            <w:r>
              <w:rPr>
                <w:rFonts w:ascii="Georgia" w:cs="Georgia" w:eastAsia="Georgia" w:hAnsi="Georgia"/>
                <w:b/>
                <w:bCs/>
                <w:color w:val="FFFFFF"/>
                <w:sz w:val="36"/>
                <w:szCs w:val="36"/>
              </w:rPr>
              <w:t xml:space="preserve">Request Early Access</w:t>
            </w:r>
          </w:p>
          <w:p>
            <w:pPr>
              <w:spacing w:after="100" w:before="0"/>
              <w:jc w:val="center"/>
            </w:pPr>
            <w:r>
              <w:rPr>
                <w:rFonts w:ascii="Calibri" w:cs="Calibri" w:eastAsia="Calibri" w:hAnsi="Calibri"/>
                <w:b/>
                <w:bCs/>
                <w:color w:val="B8860B"/>
                <w:sz w:val="25"/>
                <w:szCs w:val="25"/>
              </w:rPr>
              <w:t xml:space="preserve">NMGDA.com  ·  hello@nmgda.com</w:t>
            </w:r>
          </w:p>
          <w:p>
            <w:pPr>
              <w:spacing w:after="0" w:before="0"/>
              <w:jc w:val="center"/>
            </w:pPr>
            <w:r>
              <w:rPr>
                <w:rFonts w:ascii="Calibri" w:cs="Calibri" w:eastAsia="Calibri" w:hAnsi="Calibri"/>
                <w:i/>
                <w:iCs/>
                <w:color w:val="AABBCC"/>
                <w:sz w:val="21"/>
                <w:szCs w:val="21"/>
              </w:rPr>
              <w:t xml:space="preserve">Sign up. Post one deal or one set of criteria. See what matches.</w:t>
            </w:r>
          </w:p>
        </w:tc>
      </w:tr>
    </w:tbl>
    <w:p>
      <w:pPr>
        <w:spacing w:after="160" w:before="0"/>
      </w:pPr>
    </w:p>
    <w:p>
      <w:pPr>
        <w:keepNext/>
        <w:spacing w:after="120" w:before="0"/>
      </w:pPr>
      <w:r>
        <w:rPr>
          <w:rFonts w:ascii="Calibri" w:cs="Calibri" w:eastAsia="Calibri" w:hAnsi="Calibri"/>
          <w:color w:val="64748B"/>
          <w:sz w:val="20"/>
          <w:szCs w:val="20"/>
        </w:rPr>
        <w:t xml:space="preserve">For a full technical overview of the NMGDA platform architecture, privacy infrastructure, and RepID protocol, request the NMGDA Technical White Paper at </w:t>
      </w:r>
      <w:r>
        <w:rPr>
          <w:rFonts w:ascii="Calibri" w:cs="Calibri" w:eastAsia="Calibri" w:hAnsi="Calibri"/>
          <w:b/>
          <w:bCs/>
          <w:color w:val="1A56DB"/>
          <w:sz w:val="20"/>
          <w:szCs w:val="20"/>
        </w:rPr>
        <w:t xml:space="preserve">tech@nmgda.com</w:t>
      </w:r>
      <w:r>
        <w:rPr>
          <w:rFonts w:ascii="Calibri" w:cs="Calibri" w:eastAsia="Calibri" w:hAnsi="Calibri"/>
          <w:color w:val="64748B"/>
          <w:sz w:val="20"/>
          <w:szCs w:val="20"/>
        </w:rPr>
        <w:t xml:space="preserve">.</w:t>
      </w:r>
    </w:p>
    <w:p>
      <w:pPr>
        <w:pBdr>
          <w:bottom w:val="single" w:color="F5F7FA" w:sz="8" w:space="1"/>
        </w:pBdr>
        <w:spacing w:after="0" w:before="0"/>
      </w:pPr>
    </w:p>
    <w:p>
      <w:pPr>
        <w:spacing w:after="80" w:before="0"/>
      </w:pPr>
    </w:p>
    <w:p>
      <w:pPr>
        <w:spacing w:after="80" w:before="0"/>
      </w:pPr>
      <w:r>
        <w:rPr>
          <w:rFonts w:ascii="Calibri" w:cs="Calibri" w:eastAsia="Calibri" w:hAnsi="Calibri"/>
          <w:i/>
          <w:iCs/>
          <w:color w:val="64748B"/>
          <w:sz w:val="16"/>
          <w:szCs w:val="16"/>
        </w:rPr>
        <w:t xml:space="preserve">Legal: NMGDA.com is a private deal-sourcing platform for commercial real estate professionals. The platform does not provide investment advice, broker-dealer services, or securities transaction facilitation. Platform credits are utility rewards for platform participation and do not represent investment interests or securities. Users are solely responsible for their own due diligence, compliance, and transaction decisions. Technology infrastructure protected by pending patent applications.</w:t>
      </w:r>
    </w:p>
    <w:p>
      <w:pPr>
        <w:spacing w:after="0" w:before="0"/>
      </w:pPr>
      <w:r>
        <w:rPr>
          <w:rFonts w:ascii="Calibri" w:cs="Calibri" w:eastAsia="Calibri" w:hAnsi="Calibri"/>
          <w:color w:val="64748B"/>
          <w:sz w:val="16"/>
          <w:szCs w:val="16"/>
        </w:rPr>
        <w:t xml:space="preserve">© 2026 NMGDA.com  ·  Powered by AI Trinity Symphony  ·  HyperDAG Protocol</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2026-03-09T09:00:26.115Z</dcterms:created>
  <dcterms:modified xsi:type="dcterms:W3CDTF">2026-03-09T09:00:26.116Z</dcterms:modified>
</cp:coreProperties>
</file>

<file path=docProps/custom.xml><?xml version="1.0" encoding="utf-8"?>
<Properties xmlns="http://schemas.openxmlformats.org/officeDocument/2006/custom-properties" xmlns:vt="http://schemas.openxmlformats.org/officeDocument/2006/docPropsVTypes"/>
</file>