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60" w:before="0"/>
      </w:pPr>
      <w:r>
        <w:rPr>
          <w:rFonts w:ascii="Georgia" w:cs="Georgia" w:eastAsia="Georgia" w:hAnsi="Georgia"/>
          <w:b/>
          <w:bCs/>
          <w:color w:val="0D2D52"/>
          <w:sz w:val="96"/>
          <w:szCs w:val="96"/>
        </w:rPr>
        <w:t xml:space="preserve">N</w:t>
      </w:r>
      <w:r>
        <w:rPr>
          <w:rFonts w:ascii="Georgia" w:cs="Georgia" w:eastAsia="Georgia" w:hAnsi="Georgia"/>
          <w:color w:val="0D2D52"/>
          <w:sz w:val="96"/>
          <w:szCs w:val="96"/>
        </w:rPr>
        <w:t xml:space="preserve">ever </w:t>
      </w:r>
      <w:r>
        <w:rPr>
          <w:rFonts w:ascii="Georgia" w:cs="Georgia" w:eastAsia="Georgia" w:hAnsi="Georgia"/>
          <w:b/>
          <w:bCs/>
          <w:color w:val="0D2D52"/>
          <w:sz w:val="96"/>
          <w:szCs w:val="96"/>
        </w:rPr>
        <w:t xml:space="preserve">M</w:t>
      </w:r>
      <w:r>
        <w:rPr>
          <w:rFonts w:ascii="Georgia" w:cs="Georgia" w:eastAsia="Georgia" w:hAnsi="Georgia"/>
          <w:color w:val="0D2D52"/>
          <w:sz w:val="96"/>
          <w:szCs w:val="96"/>
        </w:rPr>
        <w:t xml:space="preserve">iss a </w:t>
      </w:r>
      <w:r>
        <w:rPr>
          <w:rFonts w:ascii="Georgia" w:cs="Georgia" w:eastAsia="Georgia" w:hAnsi="Georgia"/>
          <w:b/>
          <w:bCs/>
          <w:color w:val="0D2D52"/>
          <w:sz w:val="96"/>
          <w:szCs w:val="96"/>
        </w:rPr>
        <w:t xml:space="preserve">G</w:t>
      </w:r>
      <w:r>
        <w:rPr>
          <w:rFonts w:ascii="Georgia" w:cs="Georgia" w:eastAsia="Georgia" w:hAnsi="Georgia"/>
          <w:color w:val="0D2D52"/>
          <w:sz w:val="96"/>
          <w:szCs w:val="96"/>
        </w:rPr>
        <w:t xml:space="preserve">ood </w:t>
      </w:r>
      <w:r>
        <w:rPr>
          <w:rFonts w:ascii="Georgia" w:cs="Georgia" w:eastAsia="Georgia" w:hAnsi="Georgia"/>
          <w:b/>
          <w:bCs/>
          <w:color w:val="0D2D52"/>
          <w:sz w:val="96"/>
          <w:szCs w:val="96"/>
        </w:rPr>
        <w:t xml:space="preserve">D</w:t>
      </w:r>
      <w:r>
        <w:rPr>
          <w:rFonts w:ascii="Georgia" w:cs="Georgia" w:eastAsia="Georgia" w:hAnsi="Georgia"/>
          <w:color w:val="0D2D52"/>
          <w:sz w:val="96"/>
          <w:szCs w:val="96"/>
        </w:rPr>
        <w:t xml:space="preserve">eal </w:t>
      </w:r>
      <w:r>
        <w:rPr>
          <w:rFonts w:ascii="Georgia" w:cs="Georgia" w:eastAsia="Georgia" w:hAnsi="Georgia"/>
          <w:b/>
          <w:bCs/>
          <w:color w:val="0D2D52"/>
          <w:sz w:val="96"/>
          <w:szCs w:val="96"/>
        </w:rPr>
        <w:t xml:space="preserve">A</w:t>
      </w:r>
      <w:r>
        <w:rPr>
          <w:rFonts w:ascii="Georgia" w:cs="Georgia" w:eastAsia="Georgia" w:hAnsi="Georgia"/>
          <w:color w:val="0D2D52"/>
          <w:sz w:val="96"/>
          <w:szCs w:val="96"/>
        </w:rPr>
        <w:t xml:space="preserve">gain</w:t>
      </w:r>
    </w:p>
    <w:p>
      <w:pPr>
        <w:spacing w:after="200" w:before="0"/>
      </w:pPr>
      <w:r>
        <w:rPr>
          <w:rFonts w:ascii="Georgia" w:cs="Georgia" w:eastAsia="Georgia" w:hAnsi="Georgia"/>
          <w:b/>
          <w:bCs/>
          <w:i/>
          <w:iCs/>
          <w:color w:val="B8860B"/>
          <w:sz w:val="72"/>
          <w:szCs w:val="72"/>
        </w:rPr>
        <w:t xml:space="preserve">NMGDA.com</w:t>
      </w:r>
    </w:p>
    <w:p>
      <w:pPr>
        <w:pBdr>
          <w:bottom w:val="single" w:color="0D2D52" w:sz="8" w:space="1"/>
        </w:pBdr>
        <w:spacing w:after="0" w:before="0"/>
      </w:pPr>
    </w:p>
    <w:p>
      <w:pPr>
        <w:spacing w:after="120" w:before="0"/>
      </w:pPr>
    </w:p>
    <w:p>
      <w:pPr>
        <w:spacing w:after="60" w:before="0"/>
      </w:pPr>
      <w:r>
        <w:rPr>
          <w:rFonts w:ascii="Calibri" w:cs="Calibri" w:eastAsia="Calibri" w:hAnsi="Calibri"/>
          <w:color w:val="64748B"/>
          <w:sz w:val="30"/>
          <w:szCs w:val="30"/>
        </w:rPr>
        <w:t xml:space="preserve">Technical White Paper</w:t>
      </w:r>
    </w:p>
    <w:p>
      <w:pPr>
        <w:spacing w:after="60" w:before="0"/>
      </w:pPr>
      <w:r>
        <w:rPr>
          <w:rFonts w:ascii="Calibri" w:cs="Calibri" w:eastAsia="Calibri" w:hAnsi="Calibri"/>
          <w:color w:val="64748B"/>
          <w:sz w:val="22"/>
          <w:szCs w:val="22"/>
        </w:rPr>
        <w:t xml:space="preserve">Powered by NEXUS CRE Engine · HyperDAG Protocol · AI Trinity Symphony</w:t>
      </w:r>
    </w:p>
    <w:p>
      <w:pPr>
        <w:spacing w:after="400" w:before="0"/>
      </w:pPr>
      <w:r>
        <w:rPr>
          <w:rFonts w:ascii="Calibri" w:cs="Calibri" w:eastAsia="Calibri" w:hAnsi="Calibri"/>
          <w:color w:val="64748B"/>
          <w:sz w:val="22"/>
          <w:szCs w:val="22"/>
        </w:rPr>
        <w:t xml:space="preserve">Version 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B8860B" w:sz="8"/>
              <w:right w:val="single" w:color="B8860B" w:sz="8"/>
            </w:tcBorders>
            <w:shd w:fill="0D2D52" w:val="clear"/>
            <w:tcMar>
              <w:top w:type="dxa" w:w="200"/>
              <w:left w:type="dxa" w:w="280"/>
              <w:bottom w:type="dxa" w:w="200"/>
              <w:right w:type="dxa" w:w="280"/>
            </w:tcMar>
          </w:tcPr>
          <w:p>
            <w:pPr>
              <w:spacing w:after="80" w:before="0"/>
            </w:pPr>
            <w:r>
              <w:rPr>
                <w:rFonts w:ascii="Georgia" w:cs="Georgia" w:eastAsia="Georgia" w:hAnsi="Georgia"/>
                <w:b/>
                <w:bCs/>
                <w:color w:val="B8860B"/>
                <w:sz w:val="26"/>
                <w:szCs w:val="26"/>
              </w:rPr>
              <w:t xml:space="preserve">Abstract</w:t>
            </w:r>
          </w:p>
          <w:p>
            <w:pPr>
              <w:spacing w:after="80" w:before="0"/>
            </w:pPr>
            <w:r>
              <w:rPr>
                <w:rFonts w:ascii="Calibri" w:cs="Calibri" w:eastAsia="Calibri" w:hAnsi="Calibri"/>
                <w:color w:val="FFFFFF"/>
                <w:sz w:val="20"/>
                <w:szCs w:val="20"/>
              </w:rPr>
              <w:t xml:space="preserve">NMGDA.com is a private deal-sourcing platform for commercial real estate professionals — powered by the NEXUS CRE engine and HyperDAG Protocol. It solves three persistent frictions: slow underwriting, inaccessible street-level data, and invisible capital. The underlying infrastructure is a 12-agent neuromorphic AI architecture (AI Trinity Symphony) with ANFIS intelligent routing that achieves a confirmed 72.5% cost reduction versus naive LLM deployment, Byzantine Fault-Tolerant consensus requiring 3-of-5 agent agreement (ε=1e-8), and Zero-Knowledge privacy via Plonky3/STARK proofs. The platform marketplace runs on ERC-8004 agent identity and x402 micropayment rails on Base L2. The RepID reputation system uses ERC-5114 soulbound tokens with cryptographic staking and slashing. Patent portfolio P-002 through P-013 protects the methods, systems, and cross-vertical applicability of these technologies across commercial real estate, pharmaceutical trial matching, medical record privacy, and legal intelligence.</w:t>
            </w:r>
          </w:p>
          <w:p>
            <w:pPr>
              <w:spacing w:after="0" w:before="0"/>
            </w:pPr>
            <w:r>
              <w:rPr>
                <w:rFonts w:ascii="Calibri" w:cs="Calibri" w:eastAsia="Calibri" w:hAnsi="Calibri"/>
                <w:i/>
                <w:iCs/>
                <w:color w:val="B8860B"/>
                <w:sz w:val="18"/>
                <w:szCs w:val="18"/>
              </w:rPr>
              <w:t xml:space="preserve">CONFIDENTIAL — Provisional patents pending. Do not distribute.</w:t>
            </w:r>
          </w:p>
        </w:tc>
      </w:tr>
    </w:tbl>
    <w:p>
      <w:pPr>
        <w:spacing w:after="240" w:before="0"/>
      </w:pPr>
    </w:p>
    <w:p>
      <w:pPr>
        <w:spacing w:after="80" w:before="0"/>
      </w:pPr>
      <w:r>
        <w:rPr>
          <w:rFonts w:ascii="Georgia" w:cs="Georgia" w:eastAsia="Georgia" w:hAnsi="Georgia"/>
          <w:b/>
          <w:bCs/>
          <w:color w:val="0D2D52"/>
          <w:sz w:val="24"/>
          <w:szCs w:val="24"/>
        </w:rPr>
        <w:t xml:space="preserve">Audience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Section 1 — The Problem</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Brokers, Investors, Capital Deployers</w:t>
            </w:r>
          </w:p>
        </w:tc>
      </w:tr>
      <w:tr>
        <w:tc>
          <w:tcPr>
            <w:tcW w:type="dxa" w:w="360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Section 2 — Quantitative Foundations</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Quants, Data Scientists, Academics</w:t>
            </w:r>
          </w:p>
        </w:tc>
      </w:tr>
      <w:tr>
        <w:tc>
          <w:tcPr>
            <w:tcW w:type="dxa" w:w="360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Section 3 — Platform Architecture</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Engineers, CTOs, Technical Due Diligence</w:t>
            </w:r>
          </w:p>
        </w:tc>
      </w:tr>
      <w:tr>
        <w:tc>
          <w:tcPr>
            <w:tcW w:type="dxa" w:w="360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Section 4 — Marketplace &amp; RepID</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Real Estate Professionals, Brokers, Analysts</w:t>
            </w:r>
          </w:p>
        </w:tc>
      </w:tr>
      <w:tr>
        <w:tc>
          <w:tcPr>
            <w:tcW w:type="dxa" w:w="360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Section 5 — Patent Portfolio &amp; Moats</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Investors, Counsel, Licensing Partners</w:t>
            </w:r>
          </w:p>
        </w:tc>
      </w:tr>
      <w:tr>
        <w:tc>
          <w:tcPr>
            <w:tcW w:type="dxa" w:w="360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Section 6 — Use Cases &amp; ROI</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Investors, Business Development</w:t>
            </w:r>
          </w:p>
        </w:tc>
      </w:tr>
      <w:tr>
        <w:tc>
          <w:tcPr>
            <w:tcW w:type="dxa" w:w="360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Section 7 — Roadmap &amp; Risk</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Investors, Board, Technical Leadership</w:t>
            </w:r>
          </w:p>
        </w:tc>
      </w:tr>
    </w:tbl>
    <w:p>
      <w:pPr>
        <w:spacing w:after="0" w:before="0"/>
      </w:pPr>
      <w:r>
        <w:br w:type="page"/>
      </w:r>
    </w:p>
    <w:p>
      <w:pPr>
        <w:spacing w:after="60" w:before="0"/>
      </w:pPr>
      <w:r>
        <w:rPr>
          <w:rFonts w:ascii="Calibri" w:cs="Calibri" w:eastAsia="Calibri" w:hAnsi="Calibri"/>
          <w:b/>
          <w:bCs/>
          <w:color w:val="B8860B"/>
          <w:spacing w:val="100"/>
          <w:sz w:val="17"/>
          <w:szCs w:val="17"/>
        </w:rPr>
        <w:t xml:space="preserve">SECTION 1</w:t>
      </w:r>
    </w:p>
    <w:p>
      <w:pPr>
        <w:spacing w:after="160" w:before="0"/>
      </w:pPr>
      <w:r>
        <w:rPr>
          <w:rFonts w:ascii="Georgia" w:cs="Georgia" w:eastAsia="Georgia" w:hAnsi="Georgia"/>
          <w:b/>
          <w:bCs/>
          <w:color w:val="0D2D52"/>
          <w:sz w:val="48"/>
          <w:szCs w:val="48"/>
        </w:rPr>
        <w:t xml:space="preserve">The Problem: Three Frictions, Every Deal.</w:t>
      </w:r>
    </w:p>
    <w:p>
      <w:pPr>
        <w:pBdr>
          <w:bottom w:val="single" w:color="B8860B" w:sz="8" w:space="1"/>
        </w:pBdr>
        <w:spacing w:after="0" w:before="0"/>
      </w:pPr>
    </w:p>
    <w:p>
      <w:pPr>
        <w:spacing w:after="120" w:before="0"/>
      </w:pPr>
    </w:p>
    <w:p>
      <w:pPr>
        <w:spacing w:after="120" w:before="0"/>
      </w:pPr>
      <w:r>
        <w:rPr>
          <w:rFonts w:ascii="Calibri" w:cs="Calibri" w:eastAsia="Calibri" w:hAnsi="Calibri"/>
          <w:sz w:val="23"/>
          <w:szCs w:val="23"/>
        </w:rPr>
        <w:t xml:space="preserve">Commercial real estate operates at the intersection of massive capital, opaque information, and human relationships — and almost nothing about that intersection has changed in thirty years. The tools have gotten shinier. The frictions have not.</w:t>
      </w:r>
    </w:p>
    <w:p>
      <w:pPr>
        <w:spacing w:after="160" w:before="0"/>
      </w:pPr>
      <w:r>
        <w:rPr>
          <w:rFonts w:ascii="Calibri" w:cs="Calibri" w:eastAsia="Calibri" w:hAnsi="Calibri"/>
          <w:sz w:val="23"/>
          <w:szCs w:val="23"/>
        </w:rPr>
        <w:t xml:space="preserve">Every professional in this industry — broker, investor, lender, analyst — has lost a deal they should have closed. Not because the deal was bad. Because the infrastructure around them wasn’t fast enough, transparent enough, or connected enough to the right counterparties at the right time. NMGDA was built to close that gap.</w:t>
      </w:r>
    </w:p>
    <w:p>
      <w:pPr>
        <w:spacing w:after="100" w:before="180"/>
      </w:pPr>
      <w:r>
        <w:rPr>
          <w:rFonts w:ascii="Georgia" w:cs="Georgia" w:eastAsia="Georgia" w:hAnsi="Georgia"/>
          <w:b/>
          <w:bCs/>
          <w:color w:val="8B1A1A"/>
          <w:sz w:val="28"/>
          <w:szCs w:val="28"/>
        </w:rPr>
        <w:t xml:space="preserve">01 — </w:t>
      </w:r>
      <w:r>
        <w:rPr>
          <w:rFonts w:ascii="Georgia" w:cs="Georgia" w:eastAsia="Georgia" w:hAnsi="Georgia"/>
          <w:b/>
          <w:bCs/>
          <w:color w:val="0D2D52"/>
          <w:sz w:val="28"/>
          <w:szCs w:val="28"/>
        </w:rPr>
        <w:t xml:space="preserve">You can’t move fast enough</w:t>
      </w:r>
    </w:p>
    <w:p>
      <w:pPr>
        <w:spacing w:after="100" w:before="0"/>
      </w:pPr>
      <w:r>
        <w:rPr>
          <w:rFonts w:ascii="Calibri" w:cs="Calibri" w:eastAsia="Calibri" w:hAnsi="Calibri"/>
          <w:sz w:val="22"/>
          <w:szCs w:val="22"/>
        </w:rPr>
        <w:t xml:space="preserve">The institutional standard for underwriting a commercial real estate deal — properly, with DCF modeling, waterfall analysis, rent roll verification, and sensitivity testing — requires three to five business days. The best opportunities in private money CRE close in forty-eight hours or less.</w:t>
      </w:r>
    </w:p>
    <w:p>
      <w:pPr>
        <w:spacing w:after="120" w:before="0"/>
      </w:pPr>
      <w:r>
        <w:rPr>
          <w:rFonts w:ascii="Calibri" w:cs="Calibri" w:eastAsia="Calibri" w:hAnsi="Calibri"/>
          <w:sz w:val="22"/>
          <w:szCs w:val="22"/>
        </w:rPr>
        <w:t xml:space="preserve">That is not a workflow problem. It is a technology gap. Manual data entry from rent rolls and T-12s introduces errors that cascade through models. Cap rate assumptions are sourced from stale comparables or analyst memory. IRR projections are single-path, unverified, and siloed to one person’s spreadsheet. The NEXUS engine compresses verified, multi-path underwriting to under 27 minutes. Not through shortcuts — through ANFIS routing, BFT consensus, and parallel agent execution across 12 specialized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860B" w:sz="8"/>
              <w:left w:val="single" w:color="B8860B" w:sz="8"/>
              <w:bottom w:val="single" w:color="B8860B" w:sz="8"/>
              <w:right w:val="single" w:color="B8860B" w:sz="8"/>
            </w:tcBorders>
            <w:shd w:fill="FEF2F2" w:val="clear"/>
            <w:tcMar>
              <w:top w:type="dxa" w:w="140"/>
              <w:left w:type="dxa" w:w="200"/>
              <w:bottom w:type="dxa" w:w="140"/>
              <w:right w:type="dxa" w:w="200"/>
            </w:tcMar>
          </w:tcPr>
          <w:p>
            <w:pPr>
              <w:spacing w:after="40" w:before="0"/>
              <w:jc w:val="center"/>
            </w:pPr>
            <w:r>
              <w:rPr>
                <w:rFonts w:ascii="Georgia" w:cs="Georgia" w:eastAsia="Georgia" w:hAnsi="Georgia"/>
                <w:b/>
                <w:bCs/>
                <w:color w:val="8B1A1A"/>
                <w:sz w:val="64"/>
                <w:szCs w:val="64"/>
              </w:rPr>
              <w:t xml:space="preserve">72 hours</w:t>
            </w:r>
          </w:p>
          <w:p>
            <w:pPr>
              <w:spacing w:after="0" w:before="0"/>
              <w:jc w:val="center"/>
            </w:pPr>
            <w:r>
              <w:rPr>
                <w:rFonts w:ascii="Calibri" w:cs="Calibri" w:eastAsia="Calibri" w:hAnsi="Calibri"/>
                <w:color w:val="64748B"/>
                <w:sz w:val="19"/>
                <w:szCs w:val="19"/>
              </w:rPr>
              <w:t xml:space="preserve">Average underwriting time, current standard</w:t>
            </w:r>
          </w:p>
        </w:tc>
        <w:tc>
          <w:tcPr>
            <w:tcW w:type="dxa" w:w="4680"/>
            <w:tcBorders>
              <w:top w:val="single" w:color="B8860B" w:sz="8"/>
              <w:left w:val="single" w:color="B8860B" w:sz="8"/>
              <w:bottom w:val="single" w:color="B8860B" w:sz="8"/>
              <w:right w:val="single" w:color="B8860B" w:sz="8"/>
            </w:tcBorders>
            <w:shd w:fill="F0FFF4" w:val="clear"/>
            <w:tcMar>
              <w:top w:type="dxa" w:w="140"/>
              <w:left w:type="dxa" w:w="200"/>
              <w:bottom w:type="dxa" w:w="140"/>
              <w:right w:type="dxa" w:w="200"/>
            </w:tcMar>
          </w:tcPr>
          <w:p>
            <w:pPr>
              <w:spacing w:after="40" w:before="0"/>
              <w:jc w:val="center"/>
            </w:pPr>
            <w:r>
              <w:rPr>
                <w:rFonts w:ascii="Georgia" w:cs="Georgia" w:eastAsia="Georgia" w:hAnsi="Georgia"/>
                <w:b/>
                <w:bCs/>
                <w:color w:val="1A5C38"/>
                <w:sz w:val="64"/>
                <w:szCs w:val="64"/>
              </w:rPr>
              <w:t xml:space="preserve">27 minutes</w:t>
            </w:r>
          </w:p>
          <w:p>
            <w:pPr>
              <w:spacing w:after="0" w:before="0"/>
              <w:jc w:val="center"/>
            </w:pPr>
            <w:r>
              <w:rPr>
                <w:rFonts w:ascii="Calibri" w:cs="Calibri" w:eastAsia="Calibri" w:hAnsi="Calibri"/>
                <w:color w:val="64748B"/>
                <w:sz w:val="19"/>
                <w:szCs w:val="19"/>
              </w:rPr>
              <w:t xml:space="preserve">NMGDA AI-verified analysis (NEXUS engine)</w:t>
            </w:r>
          </w:p>
        </w:tc>
      </w:tr>
    </w:tbl>
    <w:p>
      <w:pPr>
        <w:spacing w:after="120" w:before="0"/>
      </w:pPr>
    </w:p>
    <w:p>
      <w:pPr>
        <w:spacing w:after="100" w:before="180"/>
      </w:pPr>
      <w:r>
        <w:rPr>
          <w:rFonts w:ascii="Georgia" w:cs="Georgia" w:eastAsia="Georgia" w:hAnsi="Georgia"/>
          <w:b/>
          <w:bCs/>
          <w:color w:val="8B1A1A"/>
          <w:sz w:val="28"/>
          <w:szCs w:val="28"/>
        </w:rPr>
        <w:t xml:space="preserve">02 — </w:t>
      </w:r>
      <w:r>
        <w:rPr>
          <w:rFonts w:ascii="Georgia" w:cs="Georgia" w:eastAsia="Georgia" w:hAnsi="Georgia"/>
          <w:b/>
          <w:bCs/>
          <w:color w:val="0D2D52"/>
          <w:sz w:val="28"/>
          <w:szCs w:val="28"/>
        </w:rPr>
        <w:t xml:space="preserve">The best data isn’t for sale</w:t>
      </w:r>
    </w:p>
    <w:p>
      <w:pPr>
        <w:spacing w:after="100" w:before="0"/>
      </w:pPr>
      <w:r>
        <w:rPr>
          <w:rFonts w:ascii="Calibri" w:cs="Calibri" w:eastAsia="Calibri" w:hAnsi="Calibri"/>
          <w:sz w:val="22"/>
          <w:szCs w:val="22"/>
        </w:rPr>
        <w:t xml:space="preserve">The hard money lender who has closed forty deals in a single submarket knows which investors actually close on time, which brokers overstate rents, and what the real street-level cap rate is — not the published one. The operator who just closed three transactions on the same block knows what the market will actually bear. That intelligence has always been worth more than any CoStar subscription, and it has never had a trusted home.</w:t>
      </w:r>
    </w:p>
    <w:p>
      <w:pPr>
        <w:spacing w:after="120" w:before="0"/>
      </w:pPr>
      <w:r>
        <w:rPr>
          <w:rFonts w:ascii="Calibri" w:cs="Calibri" w:eastAsia="Calibri" w:hAnsi="Calibri"/>
          <w:sz w:val="22"/>
          <w:szCs w:val="22"/>
        </w:rPr>
        <w:t xml:space="preserve">There was no channel for the people who know things to share them safely and get something meaningful in return. So the information stayed locked inside relationships and phone calls, accessible only to those already inside the network. NMGDA builds that channel — with ZK privacy so that sharing doesn’t mean exposure, and RepID so that what you know can finally build something measurable.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E8EDF8" w:val="clear"/>
            <w:tcMar>
              <w:top w:type="dxa" w:w="140"/>
              <w:left w:type="dxa" w:w="220"/>
              <w:bottom w:type="dxa" w:w="140"/>
              <w:right w:type="dxa" w:w="220"/>
            </w:tcMar>
          </w:tcPr>
          <w:p>
            <w:pPr>
              <w:spacing w:after="60" w:before="0"/>
            </w:pPr>
            <w:r>
              <w:rPr>
                <w:rFonts w:ascii="Georgia" w:cs="Georgia" w:eastAsia="Georgia" w:hAnsi="Georgia"/>
                <w:b/>
                <w:bCs/>
                <w:color w:val="0D2D52"/>
                <w:sz w:val="24"/>
                <w:szCs w:val="24"/>
              </w:rPr>
              <w:t xml:space="preserve">$50,000 / year</w:t>
            </w:r>
          </w:p>
          <w:p>
            <w:pPr>
              <w:spacing w:after="0" w:before="0"/>
            </w:pPr>
            <w:r>
              <w:rPr>
                <w:rFonts w:ascii="Calibri" w:cs="Calibri" w:eastAsia="Calibri" w:hAnsi="Calibri"/>
                <w:color w:val="333333"/>
                <w:sz w:val="21"/>
                <w:szCs w:val="21"/>
              </w:rPr>
              <w:t xml:space="preserve">Average annual CRE data subscription spend per professional — for market intelligence that experienced operators on the street already possess. NMGDA lets those operators monetize what they know, while buyers get verified real-time intelligence at a fraction of the cost.</w:t>
            </w:r>
          </w:p>
        </w:tc>
      </w:tr>
    </w:tbl>
    <w:p>
      <w:pPr>
        <w:spacing w:after="120" w:before="0"/>
      </w:pPr>
    </w:p>
    <w:p>
      <w:pPr>
        <w:spacing w:after="100" w:before="180"/>
      </w:pPr>
      <w:r>
        <w:rPr>
          <w:rFonts w:ascii="Georgia" w:cs="Georgia" w:eastAsia="Georgia" w:hAnsi="Georgia"/>
          <w:b/>
          <w:bCs/>
          <w:color w:val="8B1A1A"/>
          <w:sz w:val="28"/>
          <w:szCs w:val="28"/>
        </w:rPr>
        <w:t xml:space="preserve">03 — </w:t>
      </w:r>
      <w:r>
        <w:rPr>
          <w:rFonts w:ascii="Georgia" w:cs="Georgia" w:eastAsia="Georgia" w:hAnsi="Georgia"/>
          <w:b/>
          <w:bCs/>
          <w:color w:val="0D2D52"/>
          <w:sz w:val="28"/>
          <w:szCs w:val="28"/>
        </w:rPr>
        <w:t xml:space="preserve">The right capital is invisible</w:t>
      </w:r>
    </w:p>
    <w:p>
      <w:pPr>
        <w:spacing w:after="100" w:before="0"/>
      </w:pPr>
      <w:r>
        <w:rPr>
          <w:rFonts w:ascii="Calibri" w:cs="Calibri" w:eastAsia="Calibri" w:hAnsi="Calibri"/>
          <w:sz w:val="22"/>
          <w:szCs w:val="22"/>
        </w:rPr>
        <w:t xml:space="preserve">Investors with serious private capital do not advertise that they are looking. The moment that becomes known, the calls are relentless — ninety percent of them from brokers who did not read their criteria. So capital sits quiet, waiting for the right deal to appear through a trusted relationship. The supply of capital is not the constraint. The supply of good deals reaching that capital is.</w:t>
      </w:r>
    </w:p>
    <w:p>
      <w:pPr>
        <w:spacing w:after="160" w:before="0"/>
      </w:pPr>
      <w:r>
        <w:rPr>
          <w:rFonts w:ascii="Calibri" w:cs="Calibri" w:eastAsia="Calibri" w:hAnsi="Calibri"/>
          <w:sz w:val="22"/>
          <w:szCs w:val="22"/>
        </w:rPr>
        <w:t xml:space="preserve">On the other side, a broker with a genuine hard-money opportunity — one their conventional lenders passed on for box reasons, not credit reasons — is running out of time and running out of network. Both sides want the same match. Neither has a safe, private way to find it without showing their hand. NMGDA’s ZK-matching layer solves this structurally: anonymous criteria posting, verified matching, mutual introduction only on consent.</w:t>
      </w:r>
    </w:p>
    <w:p>
      <w:pPr>
        <w:pBdr>
          <w:left w:val="single" w:color="B8860B" w:sz="20" w:space="12"/>
        </w:pBdr>
        <w:spacing w:after="200" w:before="200"/>
        <w:ind w:left="580" w:right="580"/>
      </w:pPr>
      <w:r>
        <w:rPr>
          <w:rFonts w:ascii="Georgia" w:cs="Georgia" w:eastAsia="Georgia" w:hAnsi="Georgia"/>
          <w:b/>
          <w:bCs/>
          <w:i/>
          <w:iCs/>
          <w:color w:val="0D2D52"/>
          <w:sz w:val="26"/>
          <w:szCs w:val="26"/>
        </w:rPr>
        <w:t xml:space="preserve">The people who know things have never had a trusted, private way to connect with the people who need to know things. Until now.</w:t>
      </w:r>
    </w:p>
    <w:p>
      <w:pPr>
        <w:spacing w:after="0" w:before="0"/>
      </w:pPr>
      <w:r>
        <w:rPr>
          <w:rFonts w:ascii="Calibri" w:cs="Calibri" w:eastAsia="Calibri" w:hAnsi="Calibri"/>
          <w:sz w:val="22"/>
          <w:szCs w:val="22"/>
        </w:rPr>
        <w:t xml:space="preserve">These three frictions are not separate problems. They are the same problem: an industry that runs on information asymmetry, with no infrastructure to resolve it privately, efficiently, and at scale. That infrastructure now exists.</w:t>
      </w:r>
    </w:p>
    <w:p>
      <w:pPr>
        <w:spacing w:after="0" w:before="0"/>
      </w:pPr>
      <w:r>
        <w:br w:type="page"/>
      </w:r>
    </w:p>
    <w:p>
      <w:pPr>
        <w:spacing w:after="60" w:before="0"/>
      </w:pPr>
      <w:r>
        <w:rPr>
          <w:rFonts w:ascii="Calibri" w:cs="Calibri" w:eastAsia="Calibri" w:hAnsi="Calibri"/>
          <w:b/>
          <w:bCs/>
          <w:color w:val="B8860B"/>
          <w:spacing w:val="100"/>
          <w:sz w:val="17"/>
          <w:szCs w:val="17"/>
        </w:rPr>
        <w:t xml:space="preserve">SECTION 2</w:t>
      </w:r>
    </w:p>
    <w:p>
      <w:pPr>
        <w:spacing w:after="160" w:before="0"/>
      </w:pPr>
      <w:r>
        <w:rPr>
          <w:rFonts w:ascii="Georgia" w:cs="Georgia" w:eastAsia="Georgia" w:hAnsi="Georgia"/>
          <w:b/>
          <w:bCs/>
          <w:color w:val="0D2D52"/>
          <w:sz w:val="48"/>
          <w:szCs w:val="48"/>
        </w:rPr>
        <w:t xml:space="preserve">Quantitative Foundations</w:t>
      </w:r>
    </w:p>
    <w:p>
      <w:pPr>
        <w:pBdr>
          <w:bottom w:val="single" w:color="B8860B" w:sz="8" w:space="1"/>
        </w:pBdr>
        <w:spacing w:after="0" w:before="0"/>
      </w:pPr>
    </w:p>
    <w:p>
      <w:pPr>
        <w:spacing w:after="120" w:before="0"/>
      </w:pPr>
    </w:p>
    <w:p>
      <w:pPr>
        <w:spacing w:after="160" w:before="0"/>
      </w:pPr>
      <w:r>
        <w:rPr>
          <w:rFonts w:ascii="Calibri" w:cs="Calibri" w:eastAsia="Calibri" w:hAnsi="Calibri"/>
          <w:sz w:val="22"/>
          <w:szCs w:val="22"/>
        </w:rPr>
        <w:t xml:space="preserve">Every output from the NEXUS engine is mathematically grounded and cross-validated. This section documents the quantitative methods underlying the platform. All numerical outputs are dual-path verified with convergence tolerance ε=1e-8. Divergence between validation paths triggers BFT escalation rather than output. The platform does not hallucinate — it either converges to a verified answer or escalates to human review.</w:t>
      </w:r>
    </w:p>
    <w:p>
      <w:pPr>
        <w:spacing w:after="120" w:before="200"/>
      </w:pPr>
      <w:r>
        <w:rPr>
          <w:rFonts w:ascii="Georgia" w:cs="Georgia" w:eastAsia="Georgia" w:hAnsi="Georgia"/>
          <w:b/>
          <w:bCs/>
          <w:color w:val="0D2D52"/>
          <w:sz w:val="34"/>
          <w:szCs w:val="34"/>
        </w:rPr>
        <w:t xml:space="preserve">2.1  XIRR with Irregular Cash Flows</w:t>
      </w:r>
    </w:p>
    <w:p>
      <w:pPr>
        <w:spacing w:after="80" w:before="0"/>
      </w:pPr>
      <w:r>
        <w:rPr>
          <w:rFonts w:ascii="Calibri" w:cs="Calibri" w:eastAsia="Calibri" w:hAnsi="Calibri"/>
          <w:sz w:val="22"/>
          <w:szCs w:val="22"/>
        </w:rPr>
        <w:t xml:space="preserve">CRE cash flows are non-periodic by nature: loan drawdowns, capital calls, preferred return distributions, disposition proceeds, and clawback adjustments all occur on irregular schedules. Standard IRR assumes periodic flows and produces systematically incorrect outputs for these structures. NEXUS uses XIRR throughout.</w:t>
      </w:r>
    </w:p>
    <w:p>
      <w:pPr>
        <w:spacing w:after="60" w:before="0"/>
      </w:pPr>
      <w:r>
        <w:rPr>
          <w:rFonts w:ascii="Calibri" w:cs="Calibri" w:eastAsia="Calibri" w:hAnsi="Calibri"/>
          <w:sz w:val="22"/>
          <w:szCs w:val="22"/>
        </w:rPr>
        <w:t xml:space="preserve">The XIRR formulation finds the rate r such that:</w:t>
      </w:r>
    </w:p>
    <w:p>
      <w:pPr>
        <w:shd w:fill="F5F7FA" w:val="clear"/>
        <w:spacing w:after="80" w:before="80"/>
        <w:ind w:left="720"/>
      </w:pPr>
      <w:r>
        <w:rPr>
          <w:rFonts w:ascii="Courier New" w:cs="Courier New" w:eastAsia="Courier New" w:hAnsi="Courier New"/>
          <w:color w:val="0D2D52"/>
          <w:sz w:val="21"/>
          <w:szCs w:val="21"/>
        </w:rPr>
        <w:t xml:space="preserve">NPV(r) = Σᵢ CFᵢ / (1 + r)^((dᵢ - d₀)/365) = 0</w:t>
      </w:r>
    </w:p>
    <w:p>
      <w:pPr>
        <w:spacing w:after="80" w:before="0"/>
      </w:pPr>
      <w:r>
        <w:rPr>
          <w:rFonts w:ascii="Calibri" w:cs="Calibri" w:eastAsia="Calibri" w:hAnsi="Calibri"/>
          <w:sz w:val="22"/>
          <w:szCs w:val="22"/>
        </w:rPr>
        <w:t xml:space="preserve">where CFᵢ are cash flows, dᵢ are the dates of each flow, and d₀ is the reference date. NEXUS solves this via Newton-Raphson as the primary path and Brent’s method as the cross-validation path. The two solutions must agree within ε=1e-8 or SHOFET-CRE issues a veto and the output is flagged for review.</w:t>
      </w:r>
    </w:p>
    <w:p>
      <w:pPr>
        <w:spacing w:after="0" w:before="0"/>
      </w:pPr>
      <w:r>
        <w:rPr>
          <w:rFonts w:ascii="Calibri" w:cs="Calibri" w:eastAsia="Calibri" w:hAnsi="Calibri"/>
          <w:sz w:val="22"/>
          <w:szCs w:val="22"/>
        </w:rPr>
        <w:t xml:space="preserve">For fund-level waterfalls with lookback provisions and clawback mechanics, NEXUS models the full promote structure as a DAG of conditional distributions, solving XIRR at each tier with the same dual-path convergence requirement.</w:t>
      </w:r>
    </w:p>
    <w:p>
      <w:pPr>
        <w:spacing w:after="120" w:before="200"/>
      </w:pPr>
      <w:r>
        <w:rPr>
          <w:rFonts w:ascii="Georgia" w:cs="Georgia" w:eastAsia="Georgia" w:hAnsi="Georgia"/>
          <w:b/>
          <w:bCs/>
          <w:color w:val="0D2D52"/>
          <w:sz w:val="34"/>
          <w:szCs w:val="34"/>
        </w:rPr>
        <w:t xml:space="preserve">2.2  GNN-Based Cap Rate Estimation</w:t>
      </w:r>
    </w:p>
    <w:p>
      <w:pPr>
        <w:spacing w:after="80" w:before="0"/>
      </w:pPr>
      <w:r>
        <w:rPr>
          <w:rFonts w:ascii="Calibri" w:cs="Calibri" w:eastAsia="Calibri" w:hAnsi="Calibri"/>
          <w:sz w:val="22"/>
          <w:szCs w:val="22"/>
        </w:rPr>
        <w:t xml:space="preserve">Cap rate selection is the single most influential assumption in a CRE DCF model. Analyst-selected cap rates based on rule-of-thumb or stale published indices introduce systematic error. NEXUS uses a Graph Neural Network trained on verified comparable transactions to produce submarket-specific, property-type-specific cap rate estimates.</w:t>
      </w:r>
    </w:p>
    <w:p>
      <w:pPr>
        <w:spacing w:after="60" w:before="0"/>
      </w:pPr>
      <w:r>
        <w:rPr>
          <w:rFonts w:ascii="Calibri" w:cs="Calibri" w:eastAsia="Calibri" w:hAnsi="Calibri"/>
          <w:sz w:val="22"/>
          <w:szCs w:val="22"/>
        </w:rPr>
        <w:t xml:space="preserve">The GNN represents each property as a node in a transaction graph, with edges weighted by semantic similarity between deal characteristics. For a target property t and comparable set K:</w:t>
      </w:r>
    </w:p>
    <w:p>
      <w:pPr>
        <w:shd w:fill="F5F7FA" w:val="clear"/>
        <w:spacing w:after="80" w:before="80"/>
        <w:ind w:left="720"/>
      </w:pPr>
      <w:r>
        <w:rPr>
          <w:rFonts w:ascii="Courier New" w:cs="Courier New" w:eastAsia="Courier New" w:hAnsi="Courier New"/>
          <w:color w:val="0D2D52"/>
          <w:sz w:val="21"/>
          <w:szCs w:val="21"/>
        </w:rPr>
        <w:t xml:space="preserve">sim(t, cₖ) = cos(h_t, h_cₖ)  where h = GNN embedding</w:t>
      </w:r>
    </w:p>
    <w:p>
      <w:pPr>
        <w:shd w:fill="F5F7FA" w:val="clear"/>
        <w:spacing w:after="80" w:before="80"/>
        <w:ind w:left="720"/>
      </w:pPr>
      <w:r>
        <w:rPr>
          <w:rFonts w:ascii="Courier New" w:cs="Courier New" w:eastAsia="Courier New" w:hAnsi="Courier New"/>
          <w:color w:val="0D2D52"/>
          <w:sz w:val="21"/>
          <w:szCs w:val="21"/>
        </w:rPr>
        <w:t xml:space="preserve">wₖ = exp(-||h_t - h_cₖ||² / 2σ²)  [RBF kernel weighting]</w:t>
      </w:r>
    </w:p>
    <w:p>
      <w:pPr>
        <w:shd w:fill="F5F7FA" w:val="clear"/>
        <w:spacing w:after="80" w:before="80"/>
        <w:ind w:left="720"/>
      </w:pPr>
      <w:r>
        <w:rPr>
          <w:rFonts w:ascii="Courier New" w:cs="Courier New" w:eastAsia="Courier New" w:hAnsi="Courier New"/>
          <w:color w:val="0D2D52"/>
          <w:sz w:val="21"/>
          <w:szCs w:val="21"/>
        </w:rPr>
        <w:t xml:space="preserve">E[c_exit] = Σₖ wₖ · cₖ / Σₖ wₖ  [weighted comparable estimate]</w:t>
      </w:r>
    </w:p>
    <w:p>
      <w:pPr>
        <w:spacing w:after="80" w:before="0"/>
      </w:pPr>
      <w:r>
        <w:rPr>
          <w:rFonts w:ascii="Calibri" w:cs="Calibri" w:eastAsia="Calibri" w:hAnsi="Calibri"/>
          <w:sz w:val="22"/>
          <w:szCs w:val="22"/>
        </w:rPr>
        <w:t xml:space="preserve">The GNN embedding space captures asset class, vintage, location (encoded via PostGIS submarket polygons), leverage structure, and tenant credit quality. Comps submitted to the platform by verified users enrich the graph continuously — creating a data flywheel where platform participation directly improves model accuracy.</w:t>
      </w:r>
    </w:p>
    <w:p>
      <w:pPr>
        <w:spacing w:after="0" w:before="0"/>
      </w:pPr>
      <w:r>
        <w:rPr>
          <w:rFonts w:ascii="Calibri" w:cs="Calibri" w:eastAsia="Calibri" w:hAnsi="Calibri"/>
          <w:sz w:val="22"/>
          <w:szCs w:val="22"/>
        </w:rPr>
        <w:t xml:space="preserve">Cross-vertical applicability: The same GNN architecture applies to pharmaceutical trial comparables (molecule class, target indication, phase, sponsor), medical reimbursement benchmarks (procedure code, payer mix, geography), and legal precedent similarity (jurisdiction, cause of action, damages quantum). These are expressly covered in P-013.</w:t>
      </w:r>
    </w:p>
    <w:p>
      <w:pPr>
        <w:spacing w:after="120" w:before="200"/>
      </w:pPr>
      <w:r>
        <w:rPr>
          <w:rFonts w:ascii="Georgia" w:cs="Georgia" w:eastAsia="Georgia" w:hAnsi="Georgia"/>
          <w:b/>
          <w:bCs/>
          <w:color w:val="0D2D52"/>
          <w:sz w:val="34"/>
          <w:szCs w:val="34"/>
        </w:rPr>
        <w:t xml:space="preserve">2.3  LASSO Sensitivity Analysis</w:t>
      </w:r>
    </w:p>
    <w:p>
      <w:pPr>
        <w:spacing w:after="80" w:before="0"/>
      </w:pPr>
      <w:r>
        <w:rPr>
          <w:rFonts w:ascii="Calibri" w:cs="Calibri" w:eastAsia="Calibri" w:hAnsi="Calibri"/>
          <w:sz w:val="22"/>
          <w:szCs w:val="22"/>
        </w:rPr>
        <w:t xml:space="preserve">IRR models have dozens of inputs. Most of them barely matter. LASSO regression identifies the five to eight inputs that actually drive the output, enabling focused due diligence and scenario analysis.</w:t>
      </w:r>
    </w:p>
    <w:p>
      <w:pPr>
        <w:shd w:fill="F5F7FA" w:val="clear"/>
        <w:spacing w:after="80" w:before="80"/>
        <w:ind w:left="720"/>
      </w:pPr>
      <w:r>
        <w:rPr>
          <w:rFonts w:ascii="Courier New" w:cs="Courier New" w:eastAsia="Courier New" w:hAnsi="Courier New"/>
          <w:color w:val="0D2D52"/>
          <w:sz w:val="21"/>
          <w:szCs w:val="21"/>
        </w:rPr>
        <w:t xml:space="preserve">β* = argminβ { ||y - Xβ||² + λ||β||_1 }</w:t>
      </w:r>
    </w:p>
    <w:p>
      <w:pPr>
        <w:spacing w:after="80" w:before="0"/>
      </w:pPr>
      <w:r>
        <w:rPr>
          <w:rFonts w:ascii="Calibri" w:cs="Calibri" w:eastAsia="Calibri" w:hAnsi="Calibri"/>
          <w:sz w:val="22"/>
          <w:szCs w:val="22"/>
        </w:rPr>
        <w:t xml:space="preserve">where y is the vector of XIRR outputs across a Monte Carlo scenario set, X is the matrix of input perturbations (rent growth, vacancy, cap rate, leverage, exit timing, OpEx), and β* identifies the sparse set of drivers that explain variance. The L1 penalty forces non-important drivers to exactly zero, producing a clean sensitivity ranking.</w:t>
      </w:r>
    </w:p>
    <w:p>
      <w:pPr>
        <w:spacing w:after="0" w:before="0"/>
      </w:pPr>
      <w:r>
        <w:rPr>
          <w:rFonts w:ascii="Calibri" w:cs="Calibri" w:eastAsia="Calibri" w:hAnsi="Calibri"/>
          <w:sz w:val="22"/>
          <w:szCs w:val="22"/>
        </w:rPr>
        <w:t xml:space="preserve">NEXUS runs LASSO across 1,000-path Monte Carlo simulations per deal, producing a ranked sensitivity report that tells the analyst: “This deal’s IRR is primarily driven by exit cap rate (32%), Year 3 rent growth (21%), and initial vacancy burn-off timing (18%). Everything else is noise.” That is a materially different output than a traditional sensitivity table.</w:t>
      </w:r>
    </w:p>
    <w:p>
      <w:pPr>
        <w:spacing w:after="120" w:before="200"/>
      </w:pPr>
      <w:r>
        <w:rPr>
          <w:rFonts w:ascii="Georgia" w:cs="Georgia" w:eastAsia="Georgia" w:hAnsi="Georgia"/>
          <w:b/>
          <w:bCs/>
          <w:color w:val="0D2D52"/>
          <w:sz w:val="34"/>
          <w:szCs w:val="34"/>
        </w:rPr>
        <w:t xml:space="preserve">2.4  Markov Vacancy Model</w:t>
      </w:r>
    </w:p>
    <w:p>
      <w:pPr>
        <w:spacing w:after="80" w:before="0"/>
      </w:pPr>
      <w:r>
        <w:rPr>
          <w:rFonts w:ascii="Calibri" w:cs="Calibri" w:eastAsia="Calibri" w:hAnsi="Calibri"/>
          <w:sz w:val="22"/>
          <w:szCs w:val="22"/>
        </w:rPr>
        <w:t xml:space="preserve">Vacancy is not static and is not well-modeled by a single rate. NEXUS models vacancy as a Markov chain over tenant states (occupied, month-to-month, vacant, in-leasing, in-default) with submarket-calibrated transition probabilities.</w:t>
      </w:r>
    </w:p>
    <w:p>
      <w:pPr>
        <w:shd w:fill="F5F7FA" w:val="clear"/>
        <w:spacing w:after="80" w:before="80"/>
        <w:ind w:left="720"/>
      </w:pPr>
      <w:r>
        <w:rPr>
          <w:rFonts w:ascii="Courier New" w:cs="Courier New" w:eastAsia="Courier New" w:hAnsi="Courier New"/>
          <w:color w:val="0D2D52"/>
          <w:sz w:val="21"/>
          <w:szCs w:val="21"/>
        </w:rPr>
        <w:t xml:space="preserve">P(V_{t+1} = j | V_t = i) = M_{ij}</w:t>
      </w:r>
    </w:p>
    <w:p>
      <w:pPr>
        <w:shd w:fill="F5F7FA" w:val="clear"/>
        <w:spacing w:after="80" w:before="80"/>
        <w:ind w:left="720"/>
      </w:pPr>
      <w:r>
        <w:rPr>
          <w:rFonts w:ascii="Courier New" w:cs="Courier New" w:eastAsia="Courier New" w:hAnsi="Courier New"/>
          <w:color w:val="0D2D52"/>
          <w:sz w:val="21"/>
          <w:szCs w:val="21"/>
        </w:rPr>
        <w:t xml:space="preserve">E[NOI_t] = Σ_j P(V_t = j) · NOI_j(t)</w:t>
      </w:r>
    </w:p>
    <w:p>
      <w:pPr>
        <w:spacing w:after="0" w:before="0"/>
      </w:pPr>
      <w:r>
        <w:rPr>
          <w:rFonts w:ascii="Calibri" w:cs="Calibri" w:eastAsia="Calibri" w:hAnsi="Calibri"/>
          <w:sz w:val="22"/>
          <w:szCs w:val="22"/>
        </w:rPr>
        <w:t xml:space="preserve">The transition matrix M is calibrated by submarket, asset class, and lease structure using historical data from NEXUS’s verified comparable set. This produces expected NOI paths with proper uncertainty distributions rather than single-point vacancy assumptions.</w:t>
      </w:r>
    </w:p>
    <w:p>
      <w:pPr>
        <w:spacing w:after="120" w:before="200"/>
      </w:pPr>
      <w:r>
        <w:rPr>
          <w:rFonts w:ascii="Georgia" w:cs="Georgia" w:eastAsia="Georgia" w:hAnsi="Georgia"/>
          <w:b/>
          <w:bCs/>
          <w:color w:val="0D2D52"/>
          <w:sz w:val="34"/>
          <w:szCs w:val="34"/>
        </w:rPr>
        <w:t xml:space="preserve">2.5  ANFIS Intelligent Routing</w:t>
      </w:r>
    </w:p>
    <w:p>
      <w:pPr>
        <w:spacing w:after="80" w:before="0"/>
      </w:pPr>
      <w:r>
        <w:rPr>
          <w:rFonts w:ascii="Calibri" w:cs="Calibri" w:eastAsia="Calibri" w:hAnsi="Calibri"/>
          <w:sz w:val="22"/>
          <w:szCs w:val="22"/>
        </w:rPr>
        <w:t xml:space="preserve">The ANFIS (Adaptive Neuro-Fuzzy Inference System) router is the core cost-efficiency mechanism of the NEXUS engine. Rather than sending every query to a frontier LLM, ANFIS routes each task to the minimum-cost model capable of handling it reliably, based on task complexity, required accuracy, and output type.</w:t>
      </w:r>
    </w:p>
    <w:p>
      <w:pPr>
        <w:shd w:fill="F5F7FA" w:val="clear"/>
        <w:spacing w:after="80" w:before="80"/>
        <w:ind w:left="720"/>
      </w:pPr>
      <w:r>
        <w:rPr>
          <w:rFonts w:ascii="Courier New" w:cs="Courier New" w:eastAsia="Courier New" w:hAnsi="Courier New"/>
          <w:color w:val="0D2D52"/>
          <w:sz w:val="21"/>
          <w:szCs w:val="21"/>
        </w:rPr>
        <w:t xml:space="preserve">f(x) = Σᵢ wᵢ · fᵢ(x) / Σᵢ wᵢ</w:t>
      </w:r>
    </w:p>
    <w:p>
      <w:pPr>
        <w:spacing w:after="80" w:before="0"/>
      </w:pPr>
      <w:r>
        <w:rPr>
          <w:rFonts w:ascii="Calibri" w:cs="Calibri" w:eastAsia="Calibri" w:hAnsi="Calibri"/>
          <w:sz w:val="22"/>
          <w:szCs w:val="22"/>
        </w:rPr>
        <w:t xml:space="preserve">where fᵢ are the outputs of the participating linguistic rules (corresponding to routing tiers), and wᵢ are the firing strengths computed from Gaussian/bell membership functions over the input feature vector (task type, token count, required accuracy, previous error rate for this task class).</w:t>
      </w:r>
    </w:p>
    <w:p>
      <w:pPr>
        <w:spacing w:after="60" w:before="0"/>
      </w:pPr>
      <w:r>
        <w:rPr>
          <w:rFonts w:ascii="Calibri" w:cs="Calibri" w:eastAsia="Calibri" w:hAnsi="Calibri"/>
          <w:sz w:val="22"/>
          <w:szCs w:val="22"/>
        </w:rPr>
        <w:t xml:space="preserve">The three routing tiers and their confirmed cost profiles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160"/>
      </w:tblGrid>
      <w:tr>
        <w:tc>
          <w:tcPr>
            <w:tcW w:type="dxa" w:w="144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288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r>
              <w:rPr>
                <w:rFonts w:ascii="Calibri" w:cs="Calibri" w:eastAsia="Calibri" w:hAnsi="Calibri"/>
                <w:b/>
                <w:bCs/>
                <w:color w:val="FFFFFF"/>
                <w:sz w:val="20"/>
                <w:szCs w:val="20"/>
              </w:rPr>
              <w:t xml:space="preserve">Model Class</w:t>
            </w:r>
          </w:p>
        </w:tc>
        <w:tc>
          <w:tcPr>
            <w:tcW w:type="dxa" w:w="288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r>
              <w:rPr>
                <w:rFonts w:ascii="Calibri" w:cs="Calibri" w:eastAsia="Calibri" w:hAnsi="Calibri"/>
                <w:b/>
                <w:bCs/>
                <w:color w:val="FFFFFF"/>
                <w:sz w:val="20"/>
                <w:szCs w:val="20"/>
              </w:rPr>
              <w:t xml:space="preserve">Use Cases</w:t>
            </w:r>
          </w:p>
        </w:tc>
        <w:tc>
          <w:tcPr>
            <w:tcW w:type="dxa" w:w="216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r>
              <w:rPr>
                <w:rFonts w:ascii="Calibri" w:cs="Calibri" w:eastAsia="Calibri" w:hAnsi="Calibri"/>
                <w:b/>
                <w:bCs/>
                <w:color w:val="FFFFFF"/>
                <w:sz w:val="20"/>
                <w:szCs w:val="20"/>
              </w:rPr>
              <w:t xml:space="preserve">Cost / M tokens</w:t>
            </w:r>
          </w:p>
        </w:tc>
      </w:tr>
      <w:tr>
        <w:tc>
          <w:tcPr>
            <w:tcW w:type="dxa" w:w="144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r>
              <w:rPr>
                <w:rFonts w:ascii="Calibri" w:cs="Calibri" w:eastAsia="Calibri" w:hAnsi="Calibri"/>
                <w:b/>
                <w:bCs/>
                <w:color w:val="1A5C38"/>
                <w:sz w:val="20"/>
                <w:szCs w:val="20"/>
              </w:rPr>
              <w:t xml:space="preserve">Utility</w:t>
            </w:r>
          </w:p>
        </w:tc>
        <w:tc>
          <w:tcPr>
            <w:tcW w:type="dxa" w:w="288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r>
              <w:rPr>
                <w:rFonts w:ascii="Calibri" w:cs="Calibri" w:eastAsia="Calibri" w:hAnsi="Calibri"/>
                <w:color w:val="333333"/>
                <w:sz w:val="20"/>
                <w:szCs w:val="20"/>
              </w:rPr>
              <w:t xml:space="preserve">phi3_mini, Mistral 7B</w:t>
            </w:r>
          </w:p>
        </w:tc>
        <w:tc>
          <w:tcPr>
            <w:tcW w:type="dxa" w:w="288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r>
              <w:rPr>
                <w:rFonts w:ascii="Calibri" w:cs="Calibri" w:eastAsia="Calibri" w:hAnsi="Calibri"/>
                <w:color w:val="333333"/>
                <w:sz w:val="20"/>
                <w:szCs w:val="20"/>
              </w:rPr>
              <w:t xml:space="preserve">Extraction, classification, routing prep (~80% of volume)</w:t>
            </w:r>
          </w:p>
        </w:tc>
        <w:tc>
          <w:tcPr>
            <w:tcW w:type="dxa" w:w="216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r>
              <w:rPr>
                <w:rFonts w:ascii="Calibri" w:cs="Calibri" w:eastAsia="Calibri" w:hAnsi="Calibri"/>
                <w:b/>
                <w:bCs/>
                <w:color w:val="1A5C38"/>
                <w:sz w:val="20"/>
                <w:szCs w:val="20"/>
              </w:rPr>
              <w:t xml:space="preserve">~$0.27</w:t>
            </w:r>
          </w:p>
        </w:tc>
      </w:tr>
      <w:tr>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bCs/>
                <w:color w:val="0D2D52"/>
                <w:sz w:val="20"/>
                <w:szCs w:val="20"/>
              </w:rPr>
              <w:t xml:space="preserve">Standard</w:t>
            </w:r>
          </w:p>
        </w:tc>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Claude Sonnet, GPT-4o</w:t>
            </w:r>
          </w:p>
        </w:tc>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Structured financial reasoning, IC memos, comp analysis (~17%)</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bCs/>
                <w:color w:val="0D2D52"/>
                <w:sz w:val="20"/>
                <w:szCs w:val="20"/>
              </w:rPr>
              <w:t xml:space="preserve">~$2.75</w:t>
            </w:r>
          </w:p>
        </w:tc>
      </w:tr>
      <w:tr>
        <w:tc>
          <w:tcPr>
            <w:tcW w:type="dxa" w:w="144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r>
              <w:rPr>
                <w:rFonts w:ascii="Calibri" w:cs="Calibri" w:eastAsia="Calibri" w:hAnsi="Calibri"/>
                <w:b/>
                <w:bCs/>
                <w:color w:val="8B1A1A"/>
                <w:sz w:val="20"/>
                <w:szCs w:val="20"/>
              </w:rPr>
              <w:t xml:space="preserve">Frontier</w:t>
            </w:r>
          </w:p>
        </w:tc>
        <w:tc>
          <w:tcPr>
            <w:tcW w:type="dxa" w:w="288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r>
              <w:rPr>
                <w:rFonts w:ascii="Calibri" w:cs="Calibri" w:eastAsia="Calibri" w:hAnsi="Calibri"/>
                <w:color w:val="333333"/>
                <w:sz w:val="20"/>
                <w:szCs w:val="20"/>
              </w:rPr>
              <w:t xml:space="preserve">Claude Opus, GPT-4 Turbo</w:t>
            </w:r>
          </w:p>
        </w:tc>
        <w:tc>
          <w:tcPr>
            <w:tcW w:type="dxa" w:w="288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r>
              <w:rPr>
                <w:rFonts w:ascii="Calibri" w:cs="Calibri" w:eastAsia="Calibri" w:hAnsi="Calibri"/>
                <w:color w:val="333333"/>
                <w:sz w:val="20"/>
                <w:szCs w:val="20"/>
              </w:rPr>
              <w:t xml:space="preserve">Veto adjudication, complex legal/structure review (~3%)</w:t>
            </w:r>
          </w:p>
        </w:tc>
        <w:tc>
          <w:tcPr>
            <w:tcW w:type="dxa" w:w="216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r>
              <w:rPr>
                <w:rFonts w:ascii="Calibri" w:cs="Calibri" w:eastAsia="Calibri" w:hAnsi="Calibri"/>
                <w:b/>
                <w:bCs/>
                <w:color w:val="8B1A1A"/>
                <w:sz w:val="20"/>
                <w:szCs w:val="20"/>
              </w:rPr>
              <w:t xml:space="preserve">~$15.00</w:t>
            </w:r>
          </w:p>
        </w:tc>
      </w:tr>
    </w:tbl>
    <w:p>
      <w:pPr>
        <w:spacing w:after="80" w:before="0"/>
      </w:pPr>
    </w:p>
    <w:p>
      <w:pPr>
        <w:spacing w:after="0" w:before="0"/>
      </w:pPr>
      <w:r>
        <w:rPr>
          <w:rFonts w:ascii="Calibri" w:cs="Calibri" w:eastAsia="Calibri" w:hAnsi="Calibri"/>
          <w:i/>
          <w:iCs/>
          <w:color w:val="64748B"/>
          <w:sz w:val="21"/>
          <w:szCs w:val="21"/>
        </w:rPr>
        <w:t xml:space="preserve">Confirmed result: ANFIS routing achieves a 72.5% cost reduction versus naive frontier-LLM deployment across the same task set. This is a core patent claim in P-002.</w:t>
      </w:r>
    </w:p>
    <w:p>
      <w:pPr>
        <w:spacing w:after="120" w:before="200"/>
      </w:pPr>
      <w:r>
        <w:rPr>
          <w:rFonts w:ascii="Georgia" w:cs="Georgia" w:eastAsia="Georgia" w:hAnsi="Georgia"/>
          <w:b/>
          <w:bCs/>
          <w:color w:val="0D2D52"/>
          <w:sz w:val="34"/>
          <w:szCs w:val="34"/>
        </w:rPr>
        <w:t xml:space="preserve">2.6  Byzantine Fault-Tolerant Consensus</w:t>
      </w:r>
    </w:p>
    <w:p>
      <w:pPr>
        <w:spacing w:after="80" w:before="0"/>
      </w:pPr>
      <w:r>
        <w:rPr>
          <w:rFonts w:ascii="Calibri" w:cs="Calibri" w:eastAsia="Calibri" w:hAnsi="Calibri"/>
          <w:sz w:val="22"/>
          <w:szCs w:val="22"/>
        </w:rPr>
        <w:t xml:space="preserve">No single agent output is published without consensus. The NEXUS engine implements a BFT protocol across five validation agents, tolerating up to f=1 faulty or compromised agent while guaranteeing correct output. The minimum requirement for BFT is n ≥ 3f+1; with n=5 and f=1, the system requires 3-of-5 agreement.</w:t>
      </w:r>
    </w:p>
    <w:p>
      <w:pPr>
        <w:spacing w:after="80" w:before="0"/>
      </w:pPr>
      <w:r>
        <w:rPr>
          <w:rFonts w:ascii="Calibri" w:cs="Calibri" w:eastAsia="Calibri" w:hAnsi="Calibri"/>
          <w:sz w:val="22"/>
          <w:szCs w:val="22"/>
        </w:rPr>
        <w:t xml:space="preserve">For numerical outputs (XIRR, cap rate, NOI, DSCR), agreement is defined as all participating agents producing values within ε=1e-8 of the consensus value. For qualitative outputs (IC memo narrative, risk flags, structural recommendations), agreement is measured via semantic embedding cosine similarity with threshold 0.92.</w:t>
      </w:r>
    </w:p>
    <w:p>
      <w:pPr>
        <w:spacing w:after="0" w:before="0"/>
      </w:pPr>
      <w:r>
        <w:rPr>
          <w:rFonts w:ascii="Calibri" w:cs="Calibri" w:eastAsia="Calibri" w:hAnsi="Calibri"/>
          <w:sz w:val="22"/>
          <w:szCs w:val="22"/>
        </w:rPr>
        <w:t xml:space="preserve">The Pythagorean Comma Veto (P-004) adds a third-tier escalation layer: if the dissent confidence score of the minority agent exceeds 0.85 — meaning the dissenting agent is highly confident it is correct and the majority is wrong — SHOFET-CRE issues a veto and the output is escalated to human review rather than suppressed. This prevents confident-minority errors, which are the failure mode BFT alone cannot catch.</w:t>
      </w:r>
    </w:p>
    <w:p>
      <w:pPr>
        <w:spacing w:after="120" w:before="200"/>
      </w:pPr>
      <w:r>
        <w:rPr>
          <w:rFonts w:ascii="Georgia" w:cs="Georgia" w:eastAsia="Georgia" w:hAnsi="Georgia"/>
          <w:b/>
          <w:bCs/>
          <w:color w:val="0D2D52"/>
          <w:sz w:val="34"/>
          <w:szCs w:val="34"/>
        </w:rPr>
        <w:t xml:space="preserve">2.7  Zero-Knowledge Proof Architecture</w:t>
      </w:r>
    </w:p>
    <w:p>
      <w:pPr>
        <w:spacing w:after="80" w:before="0"/>
      </w:pPr>
      <w:r>
        <w:rPr>
          <w:rFonts w:ascii="Calibri" w:cs="Calibri" w:eastAsia="Calibri" w:hAnsi="Calibri"/>
          <w:sz w:val="22"/>
          <w:szCs w:val="22"/>
        </w:rPr>
        <w:t xml:space="preserve">Privacy on NMGDA is not a policy. It is mathematics. The ZK proof layer enables a party to prove a statement about their data without revealing the data itself:</w:t>
      </w:r>
    </w:p>
    <w:p>
      <w:pPr>
        <w:pStyle w:val="ListParagraph"/>
        <w:numPr>
          <w:ilvl w:val="0"/>
          <w:numId w:val="2"/>
        </w:numPr>
        <w:spacing w:after="80" w:before="0"/>
      </w:pPr>
      <w:r>
        <w:rPr>
          <w:rFonts w:ascii="Calibri" w:cs="Calibri" w:eastAsia="Calibri" w:hAnsi="Calibri"/>
          <w:b/>
          <w:bCs/>
          <w:color w:val="0D2D52"/>
          <w:sz w:val="21"/>
          <w:szCs w:val="21"/>
        </w:rPr>
        <w:t xml:space="preserve">Deal meets underwriting criteria (IRR &gt; threshold)</w:t>
      </w:r>
      <w:r>
        <w:rPr>
          <w:rFonts w:ascii="Calibri" w:cs="Calibri" w:eastAsia="Calibri" w:hAnsi="Calibri"/>
          <w:color w:val="333333"/>
          <w:sz w:val="21"/>
          <w:szCs w:val="21"/>
        </w:rPr>
        <w:t xml:space="preserve"> — without revealing the rent roll or financial model</w:t>
      </w:r>
    </w:p>
    <w:p>
      <w:pPr>
        <w:pStyle w:val="ListParagraph"/>
        <w:numPr>
          <w:ilvl w:val="0"/>
          <w:numId w:val="2"/>
        </w:numPr>
        <w:spacing w:after="80" w:before="0"/>
      </w:pPr>
      <w:r>
        <w:rPr>
          <w:rFonts w:ascii="Calibri" w:cs="Calibri" w:eastAsia="Calibri" w:hAnsi="Calibri"/>
          <w:b/>
          <w:bCs/>
          <w:color w:val="0D2D52"/>
          <w:sz w:val="21"/>
          <w:szCs w:val="21"/>
        </w:rPr>
        <w:t xml:space="preserve">Capital meets deal size requirements</w:t>
      </w:r>
      <w:r>
        <w:rPr>
          <w:rFonts w:ascii="Calibri" w:cs="Calibri" w:eastAsia="Calibri" w:hAnsi="Calibri"/>
          <w:color w:val="333333"/>
          <w:sz w:val="21"/>
          <w:szCs w:val="21"/>
        </w:rPr>
        <w:t xml:space="preserve"> — without revealing AUM or fund structure</w:t>
      </w:r>
    </w:p>
    <w:p>
      <w:pPr>
        <w:pStyle w:val="ListParagraph"/>
        <w:numPr>
          <w:ilvl w:val="0"/>
          <w:numId w:val="2"/>
        </w:numPr>
        <w:spacing w:after="80" w:before="0"/>
      </w:pPr>
      <w:r>
        <w:rPr>
          <w:rFonts w:ascii="Calibri" w:cs="Calibri" w:eastAsia="Calibri" w:hAnsi="Calibri"/>
          <w:b/>
          <w:bCs/>
          <w:color w:val="0D2D52"/>
          <w:sz w:val="21"/>
          <w:szCs w:val="21"/>
        </w:rPr>
        <w:t xml:space="preserve">RepID score exceeds minimum threshold</w:t>
      </w:r>
      <w:r>
        <w:rPr>
          <w:rFonts w:ascii="Calibri" w:cs="Calibri" w:eastAsia="Calibri" w:hAnsi="Calibri"/>
          <w:color w:val="333333"/>
          <w:sz w:val="21"/>
          <w:szCs w:val="21"/>
        </w:rPr>
        <w:t xml:space="preserve"> — without revealing transaction history</w:t>
      </w:r>
    </w:p>
    <w:p>
      <w:pPr>
        <w:pStyle w:val="ListParagraph"/>
        <w:numPr>
          <w:ilvl w:val="0"/>
          <w:numId w:val="2"/>
        </w:numPr>
        <w:spacing w:after="80" w:before="0"/>
      </w:pPr>
      <w:r>
        <w:rPr>
          <w:rFonts w:ascii="Calibri" w:cs="Calibri" w:eastAsia="Calibri" w:hAnsi="Calibri"/>
          <w:b/>
          <w:bCs/>
          <w:color w:val="0D2D52"/>
          <w:sz w:val="21"/>
          <w:szCs w:val="21"/>
        </w:rPr>
        <w:t xml:space="preserve">Comp falls within submarket boundary</w:t>
      </w:r>
      <w:r>
        <w:rPr>
          <w:rFonts w:ascii="Calibri" w:cs="Calibri" w:eastAsia="Calibri" w:hAnsi="Calibri"/>
          <w:color w:val="333333"/>
          <w:sz w:val="21"/>
          <w:szCs w:val="21"/>
        </w:rPr>
        <w:t xml:space="preserve"> — without revealing the property address</w:t>
      </w:r>
    </w:p>
    <w:p>
      <w:pPr>
        <w:spacing w:after="80" w:before="0"/>
      </w:pPr>
    </w:p>
    <w:p>
      <w:pPr>
        <w:spacing w:after="60" w:before="0"/>
      </w:pPr>
      <w:r>
        <w:rPr>
          <w:rFonts w:ascii="Calibri" w:cs="Calibri" w:eastAsia="Calibri" w:hAnsi="Calibri"/>
          <w:sz w:val="22"/>
          <w:szCs w:val="22"/>
        </w:rPr>
        <w:t xml:space="preserve">The ZK stack follows a three-phase progression aligned with the platform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Phase 1 (Sprint 2)</w:t>
            </w:r>
          </w:p>
        </w:tc>
        <w:tc>
          <w:tcPr>
            <w:tcW w:type="dxa" w:w="7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Plonky3 — primary ZK prover. Recursive STARKs for deal criteria proofs. Fast proof generation, EVM-compatible.</w:t>
            </w:r>
          </w:p>
        </w:tc>
      </w:tr>
      <w:tr>
        <w:tc>
          <w:tcPr>
            <w:tcW w:type="dxa" w:w="216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Phase 2 (Q3 2026)</w:t>
            </w:r>
          </w:p>
        </w:tc>
        <w:tc>
          <w:tcPr>
            <w:tcW w:type="dxa" w:w="7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zk-STARKs for portfolio waterfall proofs and multi-party matching. No trusted setup, quantum-resistant by design.</w:t>
            </w:r>
          </w:p>
        </w:tc>
      </w:tr>
      <w:tr>
        <w:tc>
          <w:tcPr>
            <w:tcW w:type="dxa" w:w="216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Phase 3 (Q4 2026)</w:t>
            </w:r>
          </w:p>
        </w:tc>
        <w:tc>
          <w:tcPr>
            <w:tcW w:type="dxa" w:w="72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CRYSTALS-Dilithium post-quantum signatures. Full quantum resistance for all signed commitments.</w:t>
            </w:r>
          </w:p>
        </w:tc>
      </w:tr>
    </w:tbl>
    <w:p>
      <w:pPr>
        <w:spacing w:after="80" w:before="0"/>
      </w:pPr>
    </w:p>
    <w:p>
      <w:pPr>
        <w:spacing w:after="0" w:before="0"/>
      </w:pPr>
      <w:r>
        <w:rPr>
          <w:rFonts w:ascii="Calibri" w:cs="Calibri" w:eastAsia="Calibri" w:hAnsi="Calibri"/>
          <w:sz w:val="22"/>
          <w:szCs w:val="22"/>
        </w:rPr>
        <w:t xml:space="preserve">The ZK architecture is the technical foundation that makes NMGDA’s privacy guarantees non-negotiable. Changing the privacy policy does not change the math. Data that has never been committed to a readable database cannot be extracted from it.</w:t>
      </w:r>
    </w:p>
    <w:p>
      <w:pPr>
        <w:spacing w:after="0" w:before="0"/>
      </w:pPr>
      <w:r>
        <w:br w:type="page"/>
      </w:r>
    </w:p>
    <w:p>
      <w:pPr>
        <w:spacing w:after="60" w:before="0"/>
      </w:pPr>
      <w:r>
        <w:rPr>
          <w:rFonts w:ascii="Calibri" w:cs="Calibri" w:eastAsia="Calibri" w:hAnsi="Calibri"/>
          <w:b/>
          <w:bCs/>
          <w:color w:val="B8860B"/>
          <w:spacing w:val="100"/>
          <w:sz w:val="17"/>
          <w:szCs w:val="17"/>
        </w:rPr>
        <w:t xml:space="preserve">SECTION 3</w:t>
      </w:r>
    </w:p>
    <w:p>
      <w:pPr>
        <w:spacing w:after="160" w:before="0"/>
      </w:pPr>
      <w:r>
        <w:rPr>
          <w:rFonts w:ascii="Georgia" w:cs="Georgia" w:eastAsia="Georgia" w:hAnsi="Georgia"/>
          <w:b/>
          <w:bCs/>
          <w:color w:val="0D2D52"/>
          <w:sz w:val="48"/>
          <w:szCs w:val="48"/>
        </w:rPr>
        <w:t xml:space="preserve">Platform Architecture</w:t>
      </w:r>
    </w:p>
    <w:p>
      <w:pPr>
        <w:pBdr>
          <w:bottom w:val="single" w:color="B8860B" w:sz="8" w:space="1"/>
        </w:pBdr>
        <w:spacing w:after="0" w:before="0"/>
      </w:pPr>
    </w:p>
    <w:p>
      <w:pPr>
        <w:spacing w:after="120" w:before="0"/>
      </w:pPr>
    </w:p>
    <w:p>
      <w:pPr>
        <w:spacing w:after="80" w:before="0"/>
      </w:pPr>
      <w:r>
        <w:rPr>
          <w:rFonts w:ascii="Calibri" w:cs="Calibri" w:eastAsia="Calibri" w:hAnsi="Calibri"/>
          <w:sz w:val="23"/>
          <w:szCs w:val="23"/>
        </w:rPr>
        <w:t xml:space="preserve">The NEXUS CRE engine is built on AI Trinity Symphony — a 12-agent neuromorphic architecture organized as a 3×3+3 structure modeled on the layered processing of biological neural systems. Three operational squads (sensory, interneuron, motor neuron) plus three orchestration agents provide full-stack coverage from data ingestion to verified output delivery.</w:t>
      </w:r>
    </w:p>
    <w:p>
      <w:pPr>
        <w:spacing w:after="160" w:before="0"/>
      </w:pPr>
      <w:r>
        <w:rPr>
          <w:rFonts w:ascii="Calibri" w:cs="Calibri" w:eastAsia="Calibri" w:hAnsi="Calibri"/>
          <w:sz w:val="22"/>
          <w:szCs w:val="22"/>
        </w:rPr>
        <w:t xml:space="preserve">The architecture is deployed on Railway with shared environment variables covering 18 LLM providers, backed by a Supabase PostgreSQL instance with 276 tables and 281,100 daily REST requests confirmed active, with Dragonfly DB and Upstash Redis for caching and message brokering.</w:t>
      </w:r>
    </w:p>
    <w:p>
      <w:pPr>
        <w:spacing w:after="120" w:before="200"/>
      </w:pPr>
      <w:r>
        <w:rPr>
          <w:rFonts w:ascii="Georgia" w:cs="Georgia" w:eastAsia="Georgia" w:hAnsi="Georgia"/>
          <w:b/>
          <w:bCs/>
          <w:color w:val="0D2D52"/>
          <w:sz w:val="34"/>
          <w:szCs w:val="34"/>
        </w:rPr>
        <w:t xml:space="preserve">3.1  Agent Roster: 3×3+3 Neuromorphic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r>
              <w:rPr>
                <w:rFonts w:ascii="Calibri" w:cs="Calibri" w:eastAsia="Calibri" w:hAnsi="Calibri"/>
                <w:b/>
                <w:bCs/>
                <w:color w:val="FFFFFF"/>
                <w:sz w:val="20"/>
                <w:szCs w:val="20"/>
              </w:rPr>
              <w:t xml:space="preserve">Squad</w:t>
            </w:r>
          </w:p>
        </w:tc>
        <w:tc>
          <w:tcPr>
            <w:tcW w:type="dxa" w:w="288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r>
              <w:rPr>
                <w:rFonts w:ascii="Calibri" w:cs="Calibri" w:eastAsia="Calibri" w:hAnsi="Calibri"/>
                <w:b/>
                <w:bCs/>
                <w:color w:val="FFFFFF"/>
                <w:sz w:val="20"/>
                <w:szCs w:val="20"/>
              </w:rPr>
              <w:t xml:space="preserve">Agents</w:t>
            </w:r>
          </w:p>
        </w:tc>
        <w:tc>
          <w:tcPr>
            <w:tcW w:type="dxa" w:w="504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r>
              <w:rPr>
                <w:rFonts w:ascii="Calibri" w:cs="Calibri" w:eastAsia="Calibri" w:hAnsi="Calibri"/>
                <w:b/>
                <w:bCs/>
                <w:color w:val="FFFFFF"/>
                <w:sz w:val="20"/>
                <w:szCs w:val="20"/>
              </w:rPr>
              <w:t xml:space="preserve">Function</w:t>
            </w:r>
          </w:p>
        </w:tc>
      </w:tr>
      <w:tr>
        <w:tc>
          <w:tcPr>
            <w:tcW w:type="dxa" w:w="144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ALPHA
(Sensory)</w:t>
            </w:r>
          </w:p>
        </w:tc>
        <w:tc>
          <w:tcPr>
            <w:tcW w:type="dxa" w:w="288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color w:val="333333"/>
                <w:sz w:val="20"/>
                <w:szCs w:val="20"/>
              </w:rPr>
              <w:t xml:space="preserve">INTAKE, MARKET, SENSOR</w:t>
            </w:r>
          </w:p>
        </w:tc>
        <w:tc>
          <w:tcPr>
            <w:tcW w:type="dxa" w:w="504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color w:val="333333"/>
                <w:sz w:val="20"/>
                <w:szCs w:val="20"/>
              </w:rPr>
              <w:t xml:space="preserve">Data ingestion layer. INTAKE: OCR + LLM extraction from rent rolls and OMs, &lt;90s. MARKET: Real-time pulls from CoStar, MSCI, FRED. SENSOR: Monitors actual vs. underwritten performance across live deals.</w:t>
            </w:r>
          </w:p>
        </w:tc>
      </w:tr>
      <w:tr>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BETA
(Interneuron)</w:t>
            </w:r>
          </w:p>
        </w:tc>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color w:val="333333"/>
                <w:sz w:val="20"/>
                <w:szCs w:val="20"/>
              </w:rPr>
              <w:t xml:space="preserve">SOPHIA, VERITAS, NEXUS</w:t>
            </w:r>
          </w:p>
        </w:tc>
        <w:tc>
          <w:tcPr>
            <w:tcW w:type="dxa" w:w="5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color w:val="333333"/>
                <w:sz w:val="20"/>
                <w:szCs w:val="20"/>
              </w:rPr>
              <w:t xml:space="preserve">Validation and reasoning layer. SOPHIA: Truth validation and hallucination detection. VERITAS: Dual-path mathematical cross-validation (ε=1e-8). NEXUS: GNN semantic graph for comparables and market intelligence.</w:t>
            </w:r>
          </w:p>
        </w:tc>
      </w:tr>
      <w:tr>
        <w:tc>
          <w:tcPr>
            <w:tcW w:type="dxa" w:w="144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GAMMA
(Motor Neuron)</w:t>
            </w:r>
          </w:p>
        </w:tc>
        <w:tc>
          <w:tcPr>
            <w:tcW w:type="dxa" w:w="288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color w:val="333333"/>
                <w:sz w:val="20"/>
                <w:szCs w:val="20"/>
              </w:rPr>
              <w:t xml:space="preserve">TORCH, STRUCTUR, HERALD</w:t>
            </w:r>
          </w:p>
        </w:tc>
        <w:tc>
          <w:tcPr>
            <w:tcW w:type="dxa" w:w="504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color w:val="333333"/>
                <w:sz w:val="20"/>
                <w:szCs w:val="20"/>
              </w:rPr>
              <w:t xml:space="preserve">Output generation layer. TORCH: IC memo and narrative report generation. STRUCTUR: Debt structure modeling (5–10 structures per deal). HERALD: DSCR threshold monitoring and lender alert system.</w:t>
            </w:r>
          </w:p>
        </w:tc>
      </w:tr>
      <w:tr>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ORCH (+3)</w:t>
            </w:r>
          </w:p>
        </w:tc>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color w:val="333333"/>
                <w:sz w:val="20"/>
                <w:szCs w:val="20"/>
              </w:rPr>
              <w:t xml:space="preserve">ORCH-CRE, SHOFET-CRE, W3C-CRE</w:t>
            </w:r>
          </w:p>
        </w:tc>
        <w:tc>
          <w:tcPr>
            <w:tcW w:type="dxa" w:w="5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color w:val="333333"/>
                <w:sz w:val="20"/>
                <w:szCs w:val="20"/>
              </w:rPr>
              <w:t xml:space="preserve">Orchestration layer. ORCH-CRE: Task routing and squad coordination. SHOFET-CRE: BFT adjudication and Pythagorean Comma Veto. W3C-CRE: ERC-8004 agent identity, x402 payment rails, RepID protocol.</w:t>
            </w:r>
          </w:p>
        </w:tc>
      </w:tr>
    </w:tbl>
    <w:p>
      <w:pPr>
        <w:spacing w:after="100" w:before="0"/>
      </w:pPr>
    </w:p>
    <w:p>
      <w:pPr>
        <w:spacing w:after="120" w:before="200"/>
      </w:pPr>
      <w:r>
        <w:rPr>
          <w:rFonts w:ascii="Georgia" w:cs="Georgia" w:eastAsia="Georgia" w:hAnsi="Georgia"/>
          <w:b/>
          <w:bCs/>
          <w:color w:val="0D2D52"/>
          <w:sz w:val="34"/>
          <w:szCs w:val="34"/>
        </w:rPr>
        <w:t xml:space="preserve">3.2  HyperDAG Workflow Engine</w:t>
      </w:r>
    </w:p>
    <w:p>
      <w:pPr>
        <w:spacing w:after="80" w:before="0"/>
      </w:pPr>
      <w:r>
        <w:rPr>
          <w:rFonts w:ascii="Calibri" w:cs="Calibri" w:eastAsia="Calibri" w:hAnsi="Calibri"/>
          <w:sz w:val="22"/>
          <w:szCs w:val="22"/>
        </w:rPr>
        <w:t xml:space="preserve">Agent tasks are organized as a Directed Acyclic Graph (DAG) rather than a sequential pipeline. This enables parallel execution of independent tasks (e.g., MARKET data pull runs simultaneously with INTAKE extraction), dependency tracking (VERITAS cannot run until both SOPHIA and NEXUS have completed), and conditional branching (SHOFET-CRE veto triggers a different DAG path than consensus approval).</w:t>
      </w:r>
    </w:p>
    <w:p>
      <w:pPr>
        <w:spacing w:after="0" w:before="0"/>
      </w:pPr>
      <w:r>
        <w:rPr>
          <w:rFonts w:ascii="Calibri" w:cs="Calibri" w:eastAsia="Calibri" w:hAnsi="Calibri"/>
          <w:sz w:val="22"/>
          <w:szCs w:val="22"/>
        </w:rPr>
        <w:t xml:space="preserve">The HyperDAG Protocol adds recursive proof generation: each DAG node can produce a ZK proof of its output, enabling downstream agents to verify upstream work without re-executing it. This is the technical foundation for P-011 (DAG workflow orchestration) and P-012 (verified data commerce).</w:t>
      </w:r>
    </w:p>
    <w:p>
      <w:pPr>
        <w:spacing w:after="120" w:before="200"/>
      </w:pPr>
      <w:r>
        <w:rPr>
          <w:rFonts w:ascii="Georgia" w:cs="Georgia" w:eastAsia="Georgia" w:hAnsi="Georgia"/>
          <w:b/>
          <w:bCs/>
          <w:color w:val="0D2D52"/>
          <w:sz w:val="34"/>
          <w:szCs w:val="34"/>
        </w:rPr>
        <w:t xml:space="preserve">3.3  Web3 Infrastructure: ERC-8004 &amp; x402</w:t>
      </w:r>
    </w:p>
    <w:p>
      <w:pPr>
        <w:spacing w:after="80" w:before="0"/>
      </w:pPr>
      <w:r>
        <w:rPr>
          <w:rFonts w:ascii="Calibri" w:cs="Calibri" w:eastAsia="Calibri" w:hAnsi="Calibri"/>
          <w:sz w:val="22"/>
          <w:szCs w:val="22"/>
        </w:rPr>
        <w:t xml:space="preserve">On-chain infrastructure operates on Base L2 (Coinbase’s Ethereum L2), providing EVM compatibility at significantly lower gas cost than mainnet. Two protocols govern agent identity and payment:</w:t>
      </w:r>
    </w:p>
    <w:p>
      <w:pPr>
        <w:spacing w:after="80" w:before="0"/>
      </w:pPr>
      <w:r>
        <w:rPr>
          <w:rFonts w:ascii="Calibri" w:cs="Calibri" w:eastAsia="Calibri" w:hAnsi="Calibri"/>
          <w:sz w:val="22"/>
          <w:szCs w:val="22"/>
        </w:rPr>
        <w:t xml:space="preserve">ERC-8004 (co-authored standard, with MetaMask, Ethereum Foundation, Google, and Coinbase contributions) provides on-chain identity and reputation for AI agents. Each of the 12 NEXUS agents has a registered ERC-8004 identity, enabling counterparties to verify which agents participated in a given analysis and what their consensus history is.</w:t>
      </w:r>
    </w:p>
    <w:p>
      <w:pPr>
        <w:spacing w:after="60" w:before="0"/>
      </w:pPr>
      <w:r>
        <w:rPr>
          <w:rFonts w:ascii="Calibri" w:cs="Calibri" w:eastAsia="Calibri" w:hAnsi="Calibri"/>
          <w:sz w:val="22"/>
          <w:szCs w:val="22"/>
        </w:rPr>
        <w:t xml:space="preserve">x402 is an HTTP-native micropayment protocol operating over the standard HTTP 402 status code. Every API endpoint on the NMGDA data marketplace is priced per-use: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/extract/rent-roll</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$0.25 per document</w:t>
            </w:r>
          </w:p>
        </w:tc>
      </w:tr>
      <w:tr>
        <w:tc>
          <w:tcPr>
            <w:tcW w:type="dxa" w:w="360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/model/dcf</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$0.15 per scenario</w:t>
            </w:r>
          </w:p>
        </w:tc>
      </w:tr>
      <w:tr>
        <w:tc>
          <w:tcPr>
            <w:tcW w:type="dxa" w:w="360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/report/ic-memo</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$2.50 per report</w:t>
            </w:r>
          </w:p>
        </w:tc>
      </w:tr>
      <w:tr>
        <w:tc>
          <w:tcPr>
            <w:tcW w:type="dxa" w:w="360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/data/comp-query</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$0.05–$2.00 per query (based on depth)</w:t>
            </w:r>
          </w:p>
        </w:tc>
      </w:tr>
      <w:tr>
        <w:tc>
          <w:tcPr>
            <w:tcW w:type="dxa" w:w="360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/verify/repid</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$0.03 per verification</w:t>
            </w:r>
          </w:p>
        </w:tc>
      </w:tr>
    </w:tbl>
    <w:p>
      <w:pPr>
        <w:spacing w:after="80" w:before="0"/>
      </w:pPr>
    </w:p>
    <w:p>
      <w:pPr>
        <w:spacing w:after="0" w:before="0"/>
      </w:pPr>
      <w:r>
        <w:rPr>
          <w:rFonts w:ascii="Calibri" w:cs="Calibri" w:eastAsia="Calibri" w:hAnsi="Calibri"/>
          <w:sz w:val="22"/>
          <w:szCs w:val="22"/>
        </w:rPr>
        <w:t xml:space="preserve">x402 payments are instant, programmable, and chain-native. There are no monthly billing cycles, no invoices, no accounts payable. A broker pays for exactly what they use. A fund manager pre-commits a usage budget. An API consumer pays per-call. This is the economic model P-012 protects.</w:t>
      </w:r>
    </w:p>
    <w:p>
      <w:pPr>
        <w:spacing w:after="120" w:before="200"/>
      </w:pPr>
      <w:r>
        <w:rPr>
          <w:rFonts w:ascii="Georgia" w:cs="Georgia" w:eastAsia="Georgia" w:hAnsi="Georgia"/>
          <w:b/>
          <w:bCs/>
          <w:color w:val="0D2D52"/>
          <w:sz w:val="34"/>
          <w:szCs w:val="34"/>
        </w:rPr>
        <w:t xml:space="preserve">3.4  RepID Protocol: ERC-5114 Soulbound Tokens</w:t>
      </w:r>
    </w:p>
    <w:p>
      <w:pPr>
        <w:spacing w:after="80" w:before="0"/>
      </w:pPr>
      <w:r>
        <w:rPr>
          <w:rFonts w:ascii="Calibri" w:cs="Calibri" w:eastAsia="Calibri" w:hAnsi="Calibri"/>
          <w:sz w:val="22"/>
          <w:szCs w:val="22"/>
        </w:rPr>
        <w:t xml:space="preserve">The RepID system builds verifiable, non-transferable professional reputation on-chain. Reputation cannot be purchased, transferred, or gamed — it can only be earned through verified platform activity. The mechanism uses ERC-5114 soulbound tokens (SBTs) with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SBT Type</w:t>
            </w:r>
          </w:p>
        </w:tc>
        <w:tc>
          <w:tcPr>
            <w:tcW w:type="dxa" w:w="684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Mechanism</w:t>
            </w:r>
          </w:p>
        </w:tc>
      </w:tr>
      <w:tr>
        <w:tc>
          <w:tcPr>
            <w:tcW w:type="dxa" w:w="252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Activity SBT (ABT)</w:t>
            </w:r>
          </w:p>
        </w:tc>
        <w:tc>
          <w:tcPr>
            <w:tcW w:type="dxa" w:w="684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Minted on each verified deal connection or validated comp submission. Non-transferable record of platform participation.</w:t>
            </w:r>
          </w:p>
        </w:tc>
      </w:tr>
      <w:tr>
        <w:tc>
          <w:tcPr>
            <w:tcW w:type="dxa" w:w="252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Reputation SBT (RBT)</w:t>
            </w:r>
          </w:p>
        </w:tc>
        <w:tc>
          <w:tcPr>
            <w:tcW w:type="dxa" w:w="684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Aggregated score computed from ABT history. Updated by BFT consensus across ALPHA squad agents. Reflects accuracy, closure rate, and contribution quality.</w:t>
            </w:r>
          </w:p>
        </w:tc>
      </w:tr>
      <w:tr>
        <w:tc>
          <w:tcPr>
            <w:tcW w:type="dxa" w:w="252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Credential SBT (CBT)</w:t>
            </w:r>
          </w:p>
        </w:tc>
        <w:tc>
          <w:tcPr>
            <w:tcW w:type="dxa" w:w="684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Threshold-gated badge. Issued when RBT exceeds defined score levels. Shareable to LinkedIn, CoStar profiles, email signatures.</w:t>
            </w:r>
          </w:p>
        </w:tc>
      </w:tr>
    </w:tbl>
    <w:p>
      <w:pPr>
        <w:spacing w:after="80" w:before="0"/>
      </w:pPr>
    </w:p>
    <w:p>
      <w:pPr>
        <w:spacing w:after="0" w:before="0"/>
      </w:pPr>
      <w:r>
        <w:rPr>
          <w:rFonts w:ascii="Calibri" w:cs="Calibri" w:eastAsia="Calibri" w:hAnsi="Calibri"/>
          <w:sz w:val="22"/>
          <w:szCs w:val="22"/>
        </w:rPr>
        <w:t xml:space="preserve">Staking: Users can stake their RepID on a market prediction or deal recommendation. If the prediction proves accurate (verified by the BFT consensus layer 90 days later), the RepID multiplier increases. If inaccurate, the RepID is slashed. Staking requires no financial commitment — only reputational skin in the game.</w:t>
      </w:r>
    </w:p>
    <w:p>
      <w:pPr>
        <w:spacing w:after="120" w:before="200"/>
      </w:pPr>
      <w:r>
        <w:rPr>
          <w:rFonts w:ascii="Georgia" w:cs="Georgia" w:eastAsia="Georgia" w:hAnsi="Georgia"/>
          <w:b/>
          <w:bCs/>
          <w:color w:val="0D2D52"/>
          <w:sz w:val="34"/>
          <w:szCs w:val="34"/>
        </w:rPr>
        <w:t xml:space="preserve">3.5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Layer</w:t>
            </w:r>
          </w:p>
        </w:tc>
        <w:tc>
          <w:tcPr>
            <w:tcW w:type="dxa" w:w="61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Technology</w:t>
            </w:r>
          </w:p>
        </w:tc>
      </w:tr>
      <w:tr>
        <w:tc>
          <w:tcPr>
            <w:tcW w:type="dxa" w:w="324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Financial Engine</w:t>
            </w:r>
          </w:p>
        </w:tc>
        <w:tc>
          <w:tcPr>
            <w:tcW w:type="dxa" w:w="61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Python: NumPy, SciPy, Pandas, Prophet</w:t>
            </w:r>
          </w:p>
        </w:tc>
      </w:tr>
      <w:tr>
        <w:tc>
          <w:tcPr>
            <w:tcW w:type="dxa" w:w="324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AI / ANFIS / GNN</w:t>
            </w:r>
          </w:p>
        </w:tc>
        <w:tc>
          <w:tcPr>
            <w:tcW w:type="dxa" w:w="61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PyTorch + LangGraph + scikit-learn</w:t>
            </w:r>
          </w:p>
        </w:tc>
      </w:tr>
      <w:tr>
        <w:tc>
          <w:tcPr>
            <w:tcW w:type="dxa" w:w="324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Agent Framework</w:t>
            </w:r>
          </w:p>
        </w:tc>
        <w:tc>
          <w:tcPr>
            <w:tcW w:type="dxa" w:w="61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FastAPI microservices + Go high-throughput services</w:t>
            </w:r>
          </w:p>
        </w:tc>
      </w:tr>
      <w:tr>
        <w:tc>
          <w:tcPr>
            <w:tcW w:type="dxa" w:w="324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x402 Payment Rails</w:t>
            </w:r>
          </w:p>
        </w:tc>
        <w:tc>
          <w:tcPr>
            <w:tcW w:type="dxa" w:w="61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TypeScript / Bun + Base L2 (Coinbase)</w:t>
            </w:r>
          </w:p>
        </w:tc>
      </w:tr>
      <w:tr>
        <w:tc>
          <w:tcPr>
            <w:tcW w:type="dxa" w:w="324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On-Chain Identity</w:t>
            </w:r>
          </w:p>
        </w:tc>
        <w:tc>
          <w:tcPr>
            <w:tcW w:type="dxa" w:w="61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Solidity (ERC-8004, ERC-5114) on Base Sepolia</w:t>
            </w:r>
          </w:p>
        </w:tc>
      </w:tr>
      <w:tr>
        <w:tc>
          <w:tcPr>
            <w:tcW w:type="dxa" w:w="324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Frontend</w:t>
            </w:r>
          </w:p>
        </w:tc>
        <w:tc>
          <w:tcPr>
            <w:tcW w:type="dxa" w:w="61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React + TypeScript + Tailwind CSS</w:t>
            </w:r>
          </w:p>
        </w:tc>
      </w:tr>
      <w:tr>
        <w:tc>
          <w:tcPr>
            <w:tcW w:type="dxa" w:w="324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Primary Database</w:t>
            </w:r>
          </w:p>
        </w:tc>
        <w:tc>
          <w:tcPr>
            <w:tcW w:type="dxa" w:w="61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PostgreSQL + Supabase (276 tables, 281K daily REST req)</w:t>
            </w:r>
          </w:p>
        </w:tc>
      </w:tr>
      <w:tr>
        <w:tc>
          <w:tcPr>
            <w:tcW w:type="dxa" w:w="324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Caching / Messaging</w:t>
            </w:r>
          </w:p>
        </w:tc>
        <w:tc>
          <w:tcPr>
            <w:tcW w:type="dxa" w:w="61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Dragonfly DB + Upstash Redis</w:t>
            </w:r>
          </w:p>
        </w:tc>
      </w:tr>
      <w:tr>
        <w:tc>
          <w:tcPr>
            <w:tcW w:type="dxa" w:w="324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ZK Engine</w:t>
            </w:r>
          </w:p>
        </w:tc>
        <w:tc>
          <w:tcPr>
            <w:tcW w:type="dxa" w:w="61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Plonky3 → zk-STARKs → CRYSTALS-Dilithium</w:t>
            </w:r>
          </w:p>
        </w:tc>
      </w:tr>
      <w:tr>
        <w:tc>
          <w:tcPr>
            <w:tcW w:type="dxa" w:w="324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Deployment</w:t>
            </w:r>
          </w:p>
        </w:tc>
        <w:tc>
          <w:tcPr>
            <w:tcW w:type="dxa" w:w="61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Railway (12 agents, shared environment, 53 env vars)</w:t>
            </w:r>
          </w:p>
        </w:tc>
      </w:tr>
      <w:tr>
        <w:tc>
          <w:tcPr>
            <w:tcW w:type="dxa" w:w="324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LLM Providers</w:t>
            </w:r>
          </w:p>
        </w:tc>
        <w:tc>
          <w:tcPr>
            <w:tcW w:type="dxa" w:w="61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18 providers via ANFIS router</w:t>
            </w:r>
          </w:p>
        </w:tc>
      </w:tr>
    </w:tbl>
    <w:p>
      <w:pPr>
        <w:spacing w:after="0" w:before="0"/>
      </w:pPr>
      <w:r>
        <w:br w:type="page"/>
      </w:r>
    </w:p>
    <w:p>
      <w:pPr>
        <w:spacing w:after="60" w:before="0"/>
      </w:pPr>
      <w:r>
        <w:rPr>
          <w:rFonts w:ascii="Calibri" w:cs="Calibri" w:eastAsia="Calibri" w:hAnsi="Calibri"/>
          <w:b/>
          <w:bCs/>
          <w:color w:val="B8860B"/>
          <w:spacing w:val="100"/>
          <w:sz w:val="17"/>
          <w:szCs w:val="17"/>
        </w:rPr>
        <w:t xml:space="preserve">SECTION 4</w:t>
      </w:r>
    </w:p>
    <w:p>
      <w:pPr>
        <w:spacing w:after="160" w:before="0"/>
      </w:pPr>
      <w:r>
        <w:rPr>
          <w:rFonts w:ascii="Georgia" w:cs="Georgia" w:eastAsia="Georgia" w:hAnsi="Georgia"/>
          <w:b/>
          <w:bCs/>
          <w:color w:val="0D2D52"/>
          <w:sz w:val="48"/>
          <w:szCs w:val="48"/>
        </w:rPr>
        <w:t xml:space="preserve">Marketplace &amp; RepID</w:t>
      </w:r>
    </w:p>
    <w:p>
      <w:pPr>
        <w:pBdr>
          <w:bottom w:val="single" w:color="B8860B" w:sz="8" w:space="1"/>
        </w:pBdr>
        <w:spacing w:after="0" w:before="0"/>
      </w:pPr>
    </w:p>
    <w:p>
      <w:pPr>
        <w:spacing w:after="120" w:before="0"/>
      </w:pPr>
    </w:p>
    <w:p>
      <w:pPr>
        <w:spacing w:after="160" w:before="0"/>
      </w:pPr>
      <w:r>
        <w:rPr>
          <w:rFonts w:ascii="Calibri" w:cs="Calibri" w:eastAsia="Calibri" w:hAnsi="Calibri"/>
          <w:sz w:val="23"/>
          <w:szCs w:val="23"/>
        </w:rPr>
        <w:t xml:space="preserve">The NMGDA marketplace is a private, ZK-matched deal-sourcing network. It is not a listing platform. It is not a CRM. It is not a data subscription. It is a connection layer — between verified deals and verified capital, between verified intelligence and the professionals who need it, between reputation earned and reputation recognized.</w:t>
      </w:r>
    </w:p>
    <w:p>
      <w:pPr>
        <w:spacing w:after="120" w:before="200"/>
      </w:pPr>
      <w:r>
        <w:rPr>
          <w:rFonts w:ascii="Georgia" w:cs="Georgia" w:eastAsia="Georgia" w:hAnsi="Georgia"/>
          <w:b/>
          <w:bCs/>
          <w:color w:val="0D2D52"/>
          <w:sz w:val="34"/>
          <w:szCs w:val="34"/>
        </w:rPr>
        <w:t xml:space="preserve">4.1  The Bumble Mechanic</w:t>
      </w:r>
    </w:p>
    <w:p>
      <w:pPr>
        <w:spacing w:after="80" w:before="0"/>
      </w:pPr>
      <w:r>
        <w:rPr>
          <w:rFonts w:ascii="Calibri" w:cs="Calibri" w:eastAsia="Calibri" w:hAnsi="Calibri"/>
          <w:sz w:val="22"/>
          <w:szCs w:val="22"/>
        </w:rPr>
        <w:t xml:space="preserve">Investor-side participants (capital deployers, private lenders) initiate introductions. Broker-side participants (deal originators, analysts) post. This asymmetry is structural and intentional: there will always be more deals looking for capital than capital looking for good deals. Putting the matching power on the scarce side reduces noise for everyone.</w:t>
      </w:r>
    </w:p>
    <w:p>
      <w:pPr>
        <w:spacing w:after="0" w:before="0"/>
      </w:pPr>
      <w:r>
        <w:rPr>
          <w:rFonts w:ascii="Calibri" w:cs="Calibri" w:eastAsia="Calibri" w:hAnsi="Calibri"/>
          <w:sz w:val="22"/>
          <w:szCs w:val="22"/>
        </w:rPr>
        <w:t xml:space="preserve">When a capital deployer’s posted criteria match a deal in the system, they see the deal’s characteristics — market, asset type, size, structure, target returns, AI verification status — but not the deal’s address, the broker’s name, or any identifying information. If they choose to connect, the broker receives a connection request. Only when the broker also accepts does the mutual introduction occur. Until then, both parties remain anonymous.</w:t>
      </w:r>
    </w:p>
    <w:p>
      <w:pPr>
        <w:spacing w:after="120" w:before="200"/>
      </w:pPr>
      <w:r>
        <w:rPr>
          <w:rFonts w:ascii="Georgia" w:cs="Georgia" w:eastAsia="Georgia" w:hAnsi="Georgia"/>
          <w:b/>
          <w:bCs/>
          <w:color w:val="0D2D52"/>
          <w:sz w:val="34"/>
          <w:szCs w:val="34"/>
        </w:rPr>
        <w:t xml:space="preserve">4.2  Posting Flow: Deals and Capital</w:t>
      </w:r>
    </w:p>
    <w:p>
      <w:pPr>
        <w:spacing w:after="80" w:before="0"/>
      </w:pPr>
      <w:r>
        <w:rPr>
          <w:rFonts w:ascii="Calibri" w:cs="Calibri" w:eastAsia="Calibri" w:hAnsi="Calibri"/>
          <w:sz w:val="22"/>
          <w:szCs w:val="22"/>
        </w:rPr>
        <w:t xml:space="preserve">Posting a deal requires no property address. A scenario post includes: submarket, asset type, deal size, financing structure, target return range, current occupancy band, and optionally an AI Verified badge (earned by submitting the rent roll, T-12, and OM for NEXUS engine verification). AI Verified listings receive priority placement in matching.</w:t>
      </w:r>
    </w:p>
    <w:p>
      <w:pPr>
        <w:spacing w:after="80" w:before="0"/>
      </w:pPr>
      <w:r>
        <w:rPr>
          <w:rFonts w:ascii="Calibri" w:cs="Calibri" w:eastAsia="Calibri" w:hAnsi="Calibri"/>
          <w:sz w:val="22"/>
          <w:szCs w:val="22"/>
        </w:rPr>
        <w:t xml:space="preserve">Posting capital criteria requires: asset class preferences, target market(s), deal size range, preferred structure (bridge, perm, mezz, preferred equity), target return band, and timeline. All criteria are stored under ZK commitment — the platform matches against them without reading them in cleartext.</w:t>
      </w:r>
    </w:p>
    <w:p>
      <w:pPr>
        <w:spacing w:after="0" w:before="0"/>
      </w:pPr>
      <w:r>
        <w:rPr>
          <w:rFonts w:ascii="Calibri" w:cs="Calibri" w:eastAsia="Calibri" w:hAnsi="Calibri"/>
          <w:sz w:val="22"/>
          <w:szCs w:val="22"/>
        </w:rPr>
        <w:t xml:space="preserve">Neither posting type requires a blockchain wallet. Account creation uses standard email and phone verification. The ZK layer operates transparently in the background. Users interact with a standard web interface.</w:t>
      </w:r>
    </w:p>
    <w:p>
      <w:pPr>
        <w:spacing w:after="120" w:before="200"/>
      </w:pPr>
      <w:r>
        <w:rPr>
          <w:rFonts w:ascii="Georgia" w:cs="Georgia" w:eastAsia="Georgia" w:hAnsi="Georgia"/>
          <w:b/>
          <w:bCs/>
          <w:color w:val="0D2D52"/>
          <w:sz w:val="34"/>
          <w:szCs w:val="34"/>
        </w:rPr>
        <w:t xml:space="preserve">4.3  Bird Dog Monetization</w:t>
      </w:r>
    </w:p>
    <w:p>
      <w:pPr>
        <w:spacing w:after="80" w:before="0"/>
      </w:pPr>
      <w:r>
        <w:rPr>
          <w:rFonts w:ascii="Calibri" w:cs="Calibri" w:eastAsia="Calibri" w:hAnsi="Calibri"/>
          <w:sz w:val="22"/>
          <w:szCs w:val="22"/>
        </w:rPr>
        <w:t xml:space="preserve">A bird dog on NMGDA is a verified platform participant who introduces a deal to a capital deployer outside their existing network. When that connection results in a closed transaction, the bird dog automatically receives a platform credit reward — posted in advance by the deal originator as a bounty.</w:t>
      </w:r>
    </w:p>
    <w:p>
      <w:pPr>
        <w:spacing w:after="80" w:before="0"/>
      </w:pPr>
      <w:r>
        <w:rPr>
          <w:rFonts w:ascii="Calibri" w:cs="Calibri" w:eastAsia="Calibri" w:hAnsi="Calibri"/>
          <w:sz w:val="22"/>
          <w:szCs w:val="22"/>
        </w:rPr>
        <w:t xml:space="preserve">Bird dogs stake their RepID on the quality of their introduction. A bird dog with a 90%+ accuracy rating on their historical introductions commands significantly higher bounties than a new participant with no track record. This creates the incentive structure for the network’s highest-quality participants to do their best work: reputation is the currency.</w:t>
      </w:r>
    </w:p>
    <w:p>
      <w:pPr>
        <w:spacing w:after="0" w:before="0"/>
      </w:pPr>
      <w:r>
        <w:rPr>
          <w:rFonts w:ascii="Calibri" w:cs="Calibri" w:eastAsia="Calibri" w:hAnsi="Calibri"/>
          <w:sz w:val="22"/>
          <w:szCs w:val="22"/>
        </w:rPr>
        <w:t xml:space="preserve">Platform credits are utility rewards for platform participation. They are not securities, do not represent investment interests, and are not redeemable for cash. They reduce future platform fees and unlock premium features.</w:t>
      </w:r>
    </w:p>
    <w:p>
      <w:pPr>
        <w:spacing w:after="120" w:before="200"/>
      </w:pPr>
      <w:r>
        <w:rPr>
          <w:rFonts w:ascii="Georgia" w:cs="Georgia" w:eastAsia="Georgia" w:hAnsi="Georgia"/>
          <w:b/>
          <w:bCs/>
          <w:color w:val="0D2D52"/>
          <w:sz w:val="34"/>
          <w:szCs w:val="34"/>
        </w:rPr>
        <w:t xml:space="preserve">4.4  Agentic AI Analyst</w:t>
      </w:r>
    </w:p>
    <w:p>
      <w:pPr>
        <w:spacing w:after="80" w:before="0"/>
      </w:pPr>
      <w:r>
        <w:rPr>
          <w:rFonts w:ascii="Calibri" w:cs="Calibri" w:eastAsia="Calibri" w:hAnsi="Calibri"/>
          <w:sz w:val="22"/>
          <w:szCs w:val="22"/>
        </w:rPr>
        <w:t xml:space="preserve">Participants can engage a private AI Analyst for research tasks that go beyond automated matching. Use cases include: deal verification for a specific property not yet on the platform, new submarket entry analysis, competitive set benchmarking, and custom sensitivity modeling for unusual deal structures.</w:t>
      </w:r>
    </w:p>
    <w:p>
      <w:pPr>
        <w:spacing w:after="0" w:before="0"/>
      </w:pPr>
      <w:r>
        <w:rPr>
          <w:rFonts w:ascii="Calibri" w:cs="Calibri" w:eastAsia="Calibri" w:hAnsi="Calibri"/>
          <w:sz w:val="22"/>
          <w:szCs w:val="22"/>
        </w:rPr>
        <w:t xml:space="preserve">The AI Analyst task is posted as a private, ZK-sealed research request. The NEXUS engine routes it through the appropriate agent squad, returns a verified report, and charges the applicable x402 micropayment. The research request and its findings are never visible to the platform or other participants.</w:t>
      </w:r>
    </w:p>
    <w:p>
      <w:pPr>
        <w:spacing w:after="0" w:before="0"/>
      </w:pPr>
      <w:r>
        <w:br w:type="page"/>
      </w:r>
    </w:p>
    <w:p>
      <w:pPr>
        <w:spacing w:after="60" w:before="0"/>
      </w:pPr>
      <w:r>
        <w:rPr>
          <w:rFonts w:ascii="Calibri" w:cs="Calibri" w:eastAsia="Calibri" w:hAnsi="Calibri"/>
          <w:b/>
          <w:bCs/>
          <w:color w:val="B8860B"/>
          <w:spacing w:val="100"/>
          <w:sz w:val="17"/>
          <w:szCs w:val="17"/>
        </w:rPr>
        <w:t xml:space="preserve">SECTION 5</w:t>
      </w:r>
    </w:p>
    <w:p>
      <w:pPr>
        <w:spacing w:after="160" w:before="0"/>
      </w:pPr>
      <w:r>
        <w:rPr>
          <w:rFonts w:ascii="Georgia" w:cs="Georgia" w:eastAsia="Georgia" w:hAnsi="Georgia"/>
          <w:b/>
          <w:bCs/>
          <w:color w:val="0D2D52"/>
          <w:sz w:val="48"/>
          <w:szCs w:val="48"/>
        </w:rPr>
        <w:t xml:space="preserve">Patent Portfolio &amp; Moats</w:t>
      </w:r>
    </w:p>
    <w:p>
      <w:pPr>
        <w:pBdr>
          <w:bottom w:val="single" w:color="B8860B" w:sz="8" w:space="1"/>
        </w:pBdr>
        <w:spacing w:after="0" w:before="0"/>
      </w:pPr>
    </w:p>
    <w:p>
      <w:pPr>
        <w:spacing w:after="120" w:before="0"/>
      </w:pPr>
    </w:p>
    <w:p>
      <w:pPr>
        <w:spacing w:after="80" w:before="0"/>
      </w:pPr>
      <w:r>
        <w:rPr>
          <w:rFonts w:ascii="Calibri" w:cs="Calibri" w:eastAsia="Calibri" w:hAnsi="Calibri"/>
          <w:sz w:val="23"/>
          <w:szCs w:val="23"/>
        </w:rPr>
        <w:t xml:space="preserve">The NMGDA / NEXUS CRE platform is protected by a portfolio of twelve provisional patent applications (P-002 through P-013) covering the methods, systems, and cross-vertical applications of the underlying technologies. Claims are written to protect the method, not the market — enabling licensing to any industry that requires grounded, privacy-preserving, reputation-verified intelligence at scale.</w:t>
      </w:r>
    </w:p>
    <w:p>
      <w:pPr>
        <w:spacing w:after="160" w:before="0"/>
      </w:pPr>
      <w:r>
        <w:rPr>
          <w:rFonts w:ascii="Calibri" w:cs="Calibri" w:eastAsia="Calibri" w:hAnsi="Calibri"/>
          <w:i/>
          <w:iCs/>
          <w:color w:val="8B1A1A"/>
          <w:sz w:val="22"/>
          <w:szCs w:val="22"/>
        </w:rPr>
        <w:t xml:space="preserve">The patent gate remains active: no public disclosure of the specific ANFIS parameter architecture, GNN training methodology, or BFT veto algorithm until non-provisional applications are filed. P-002 non-provisional deadline: August 17, 2026. Attorney engagement must begin no later than early June 2026.</w:t>
      </w:r>
    </w:p>
    <w:p>
      <w:pPr>
        <w:spacing w:after="120" w:before="200"/>
      </w:pPr>
      <w:r>
        <w:rPr>
          <w:rFonts w:ascii="Georgia" w:cs="Georgia" w:eastAsia="Georgia" w:hAnsi="Georgia"/>
          <w:b/>
          <w:bCs/>
          <w:color w:val="0D2D52"/>
          <w:sz w:val="34"/>
          <w:szCs w:val="34"/>
        </w:rPr>
        <w:t xml:space="preserve">5.1  Core Patent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4320"/>
        <w:gridCol w:w="1800"/>
      </w:tblGrid>
      <w:tr>
        <w:tc>
          <w:tcPr>
            <w:tcW w:type="dxa" w:w="72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52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r>
              <w:rPr>
                <w:rFonts w:ascii="Calibri" w:cs="Calibri" w:eastAsia="Calibri" w:hAnsi="Calibri"/>
                <w:b/>
                <w:bCs/>
                <w:color w:val="FFFFFF"/>
                <w:sz w:val="19"/>
                <w:szCs w:val="19"/>
              </w:rPr>
              <w:t xml:space="preserve">Title</w:t>
            </w:r>
          </w:p>
        </w:tc>
        <w:tc>
          <w:tcPr>
            <w:tcW w:type="dxa" w:w="432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r>
              <w:rPr>
                <w:rFonts w:ascii="Calibri" w:cs="Calibri" w:eastAsia="Calibri" w:hAnsi="Calibri"/>
                <w:b/>
                <w:bCs/>
                <w:color w:val="FFFFFF"/>
                <w:sz w:val="19"/>
                <w:szCs w:val="19"/>
              </w:rPr>
              <w:t xml:space="preserve">Core Claim</w:t>
            </w:r>
          </w:p>
        </w:tc>
        <w:tc>
          <w:tcPr>
            <w:tcW w:type="dxa" w:w="180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r>
              <w:rPr>
                <w:rFonts w:ascii="Calibri" w:cs="Calibri" w:eastAsia="Calibri" w:hAnsi="Calibri"/>
                <w:b/>
                <w:bCs/>
                <w:color w:val="FFFFFF"/>
                <w:sz w:val="19"/>
                <w:szCs w:val="19"/>
              </w:rPr>
              <w:t xml:space="preserve">Status / Deadline</w:t>
            </w:r>
          </w:p>
        </w:tc>
      </w:tr>
      <w:tr>
        <w:tc>
          <w:tcPr>
            <w:tcW w:type="dxa" w:w="72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P-002</w:t>
            </w:r>
          </w:p>
        </w:tc>
        <w:tc>
          <w:tcPr>
            <w:tcW w:type="dxa" w:w="252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Neuromorphic GNN + ANFIS ZKP System</w:t>
            </w:r>
          </w:p>
        </w:tc>
        <w:tc>
          <w:tcPr>
            <w:tcW w:type="dxa" w:w="432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color w:val="333333"/>
                <w:sz w:val="20"/>
                <w:szCs w:val="20"/>
              </w:rPr>
              <w:t xml:space="preserve">ANFIS routing achieving 72.5% cost reduction; multiplicative GNN with confirmed φ=1.61803398875 and ε=1e-8 in MultiplicativeConv layer; ZK proof generation for financial output verification</w:t>
            </w:r>
          </w:p>
        </w:tc>
        <w:tc>
          <w:tcPr>
            <w:tcW w:type="dxa" w:w="180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color w:val="64748B"/>
                <w:sz w:val="20"/>
                <w:szCs w:val="20"/>
              </w:rPr>
              <w:t xml:space="preserve">Non-prov due Aug 17, 2026 ⚠️</w:t>
            </w:r>
          </w:p>
        </w:tc>
      </w:tr>
      <w:tr>
        <w:tc>
          <w:tcPr>
            <w:tcW w:type="dxa" w:w="7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P-004</w:t>
            </w:r>
          </w:p>
        </w:tc>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Pythagorean Comma Veto Agent</w:t>
            </w:r>
          </w:p>
        </w:tc>
        <w:tc>
          <w:tcPr>
            <w:tcW w:type="dxa" w:w="4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color w:val="333333"/>
                <w:sz w:val="20"/>
                <w:szCs w:val="20"/>
              </w:rPr>
              <w:t xml:space="preserve">Three-tier BFT escalation with dissent-confidence veto; prevents confident-minority errors that standard BFT suppresses; applicable to any multi-agent consensus system</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color w:val="64748B"/>
                <w:sz w:val="20"/>
                <w:szCs w:val="20"/>
              </w:rPr>
              <w:t xml:space="preserve">File immediately</w:t>
            </w:r>
          </w:p>
        </w:tc>
      </w:tr>
      <w:tr>
        <w:tc>
          <w:tcPr>
            <w:tcW w:type="dxa" w:w="72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P-005</w:t>
            </w:r>
          </w:p>
        </w:tc>
        <w:tc>
          <w:tcPr>
            <w:tcW w:type="dxa" w:w="252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HIAS: Human Intuition Accuracy Scoring</w:t>
            </w:r>
          </w:p>
        </w:tc>
        <w:tc>
          <w:tcPr>
            <w:tcW w:type="dxa" w:w="432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color w:val="333333"/>
                <w:sz w:val="20"/>
                <w:szCs w:val="20"/>
              </w:rPr>
              <w:t xml:space="preserve">Adaptive Authority Governance system; on-chain scoring of human prediction accuracy against verified outcomes; staking/slashing mechanics for reputation credentialing</w:t>
            </w:r>
          </w:p>
        </w:tc>
        <w:tc>
          <w:tcPr>
            <w:tcW w:type="dxa" w:w="180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color w:val="64748B"/>
                <w:sz w:val="20"/>
                <w:szCs w:val="20"/>
              </w:rPr>
              <w:t xml:space="preserve">File immediately</w:t>
            </w:r>
          </w:p>
        </w:tc>
      </w:tr>
      <w:tr>
        <w:tc>
          <w:tcPr>
            <w:tcW w:type="dxa" w:w="7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P-011</w:t>
            </w:r>
          </w:p>
        </w:tc>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DAG Workflow Orchestration</w:t>
            </w:r>
          </w:p>
        </w:tc>
        <w:tc>
          <w:tcPr>
            <w:tcW w:type="dxa" w:w="4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color w:val="333333"/>
                <w:sz w:val="20"/>
                <w:szCs w:val="20"/>
              </w:rPr>
              <w:t xml:space="preserve">Directed acyclic graph agent task scheduling with recursive ZK proof generation at each node; dependency tracking with conditional branching on consensus failure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color w:val="64748B"/>
                <w:sz w:val="20"/>
                <w:szCs w:val="20"/>
              </w:rPr>
              <w:t xml:space="preserve">Q2 2026</w:t>
            </w:r>
          </w:p>
        </w:tc>
      </w:tr>
      <w:tr>
        <w:tc>
          <w:tcPr>
            <w:tcW w:type="dxa" w:w="72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P-012</w:t>
            </w:r>
          </w:p>
        </w:tc>
        <w:tc>
          <w:tcPr>
            <w:tcW w:type="dxa" w:w="252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ERC-8004 + x402 + ANFIS Data Commerce</w:t>
            </w:r>
          </w:p>
        </w:tc>
        <w:tc>
          <w:tcPr>
            <w:tcW w:type="dxa" w:w="432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color w:val="333333"/>
                <w:sz w:val="20"/>
                <w:szCs w:val="20"/>
              </w:rPr>
              <w:t xml:space="preserve">Agent-to-agent commerce protocol: ERC-8004 identity + x402 HTTP micropayments + ANFIS routing for verified data marketplace; per-use pricing with reputation-gated access tiers</w:t>
            </w:r>
          </w:p>
        </w:tc>
        <w:tc>
          <w:tcPr>
            <w:tcW w:type="dxa" w:w="180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vAlign w:val="top"/>
          </w:tcPr>
          <w:p>
            <w:r>
              <w:rPr>
                <w:rFonts w:ascii="Calibri" w:cs="Calibri" w:eastAsia="Calibri" w:hAnsi="Calibri"/>
                <w:color w:val="64748B"/>
                <w:sz w:val="20"/>
                <w:szCs w:val="20"/>
              </w:rPr>
              <w:t xml:space="preserve">File before launch</w:t>
            </w:r>
          </w:p>
        </w:tc>
      </w:tr>
      <w:tr>
        <w:tc>
          <w:tcPr>
            <w:tcW w:type="dxa" w:w="7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P-013</w:t>
            </w:r>
          </w:p>
        </w:tc>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b/>
                <w:bCs/>
                <w:color w:val="0D2D52"/>
                <w:sz w:val="20"/>
                <w:szCs w:val="20"/>
              </w:rPr>
              <w:t xml:space="preserve">Cross-Vertical ZK Intelligence Marketplace</w:t>
            </w:r>
          </w:p>
        </w:tc>
        <w:tc>
          <w:tcPr>
            <w:tcW w:type="dxa" w:w="4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color w:val="333333"/>
                <w:sz w:val="20"/>
                <w:szCs w:val="20"/>
              </w:rPr>
              <w:t xml:space="preserve">Methods and systems for privacy-preserving, reputation-verified intelligence matching across domains: pharma trial matching, medical record privacy, legal precedent marketplace, and analogous verticals requiring ZK-verified credentialing</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Calibri" w:cs="Calibri" w:eastAsia="Calibri" w:hAnsi="Calibri"/>
                <w:color w:val="64748B"/>
                <w:sz w:val="20"/>
                <w:szCs w:val="20"/>
              </w:rPr>
              <w:t xml:space="preserve">File Q2 2026</w:t>
            </w:r>
          </w:p>
        </w:tc>
      </w:tr>
    </w:tbl>
    <w:p>
      <w:pPr>
        <w:spacing w:after="120" w:before="0"/>
      </w:pPr>
    </w:p>
    <w:p>
      <w:pPr>
        <w:spacing w:after="120" w:before="200"/>
      </w:pPr>
      <w:r>
        <w:rPr>
          <w:rFonts w:ascii="Georgia" w:cs="Georgia" w:eastAsia="Georgia" w:hAnsi="Georgia"/>
          <w:b/>
          <w:bCs/>
          <w:color w:val="0D2D52"/>
          <w:sz w:val="34"/>
          <w:szCs w:val="34"/>
        </w:rPr>
        <w:t xml:space="preserve">5.2  Cross-Vertical Applicability</w:t>
      </w:r>
    </w:p>
    <w:p>
      <w:pPr>
        <w:spacing w:after="80" w:before="0"/>
      </w:pPr>
      <w:r>
        <w:rPr>
          <w:rFonts w:ascii="Calibri" w:cs="Calibri" w:eastAsia="Calibri" w:hAnsi="Calibri"/>
          <w:sz w:val="22"/>
          <w:szCs w:val="22"/>
        </w:rPr>
        <w:t xml:space="preserve">The methods protected in this portfolio are domain-agnostic. CRE is the proof-of-concept market — it has the data richness, deal velocity, and privacy requirements to validate the technology. The claims, however, describe the method, not the market.</w:t>
      </w:r>
    </w:p>
    <w:p>
      <w:pPr>
        <w:spacing w:after="100" w:before="160"/>
      </w:pPr>
      <w:r>
        <w:rPr>
          <w:rFonts w:ascii="Calibri" w:cs="Calibri" w:eastAsia="Calibri" w:hAnsi="Calibri"/>
          <w:b/>
          <w:bCs/>
          <w:color w:val="0D2D52"/>
          <w:sz w:val="26"/>
          <w:szCs w:val="26"/>
        </w:rPr>
        <w:t xml:space="preserve">Pharmaceutical Trial Matching</w:t>
      </w:r>
    </w:p>
    <w:p>
      <w:pPr>
        <w:spacing w:after="0" w:before="0"/>
      </w:pPr>
      <w:r>
        <w:rPr>
          <w:rFonts w:ascii="Calibri" w:cs="Calibri" w:eastAsia="Calibri" w:hAnsi="Calibri"/>
          <w:sz w:val="22"/>
          <w:szCs w:val="22"/>
        </w:rPr>
        <w:t xml:space="preserve">P-013 covers the application of ZK-matched intelligence to pharmaceutical trial recruitment and compound matching. The GNN architecture (P-002) maps molecular structure to trial eligibility criteria the same way it maps deal characteristics to investor criteria. ANFIS routing (P-002) selects the minimum-cost verification path for trial matching queries. RepID / HIAS (P-005) scores clinical site investigators by their historical trial completion accuracy, enabling sponsors to match with high-performing sites without exposing proprietary trial protocols.</w:t>
      </w:r>
    </w:p>
    <w:p>
      <w:pPr>
        <w:spacing w:after="100" w:before="160"/>
      </w:pPr>
      <w:r>
        <w:rPr>
          <w:rFonts w:ascii="Calibri" w:cs="Calibri" w:eastAsia="Calibri" w:hAnsi="Calibri"/>
          <w:b/>
          <w:bCs/>
          <w:color w:val="0D2D52"/>
          <w:sz w:val="26"/>
          <w:szCs w:val="26"/>
        </w:rPr>
        <w:t xml:space="preserve">Medical Record Privacy</w:t>
      </w:r>
    </w:p>
    <w:p>
      <w:pPr>
        <w:spacing w:after="0" w:before="0"/>
      </w:pPr>
      <w:r>
        <w:rPr>
          <w:rFonts w:ascii="Calibri" w:cs="Calibri" w:eastAsia="Calibri" w:hAnsi="Calibri"/>
          <w:sz w:val="22"/>
          <w:szCs w:val="22"/>
        </w:rPr>
        <w:t xml:space="preserve">EHR data sharing between providers is constrained by HIPAA and the practical impossibility of proving data access compliance without a ZK layer. The ZK architecture (P-002, P-013) enables a provider to prove a patient record meets consultation criteria without transmitting the record. The x402 micropayment rail (P-012) enables per-query billing for record access. The HIAS scoring system (P-005) provides a verifiable accuracy credential for diagnostic AI systems without exposing training data.</w:t>
      </w:r>
    </w:p>
    <w:p>
      <w:pPr>
        <w:spacing w:after="100" w:before="160"/>
      </w:pPr>
      <w:r>
        <w:rPr>
          <w:rFonts w:ascii="Calibri" w:cs="Calibri" w:eastAsia="Calibri" w:hAnsi="Calibri"/>
          <w:b/>
          <w:bCs/>
          <w:color w:val="0D2D52"/>
          <w:sz w:val="26"/>
          <w:szCs w:val="26"/>
        </w:rPr>
        <w:t xml:space="preserve">Legal Intelligence</w:t>
      </w:r>
    </w:p>
    <w:p>
      <w:pPr>
        <w:spacing w:after="80" w:before="0"/>
      </w:pPr>
      <w:r>
        <w:rPr>
          <w:rFonts w:ascii="Calibri" w:cs="Calibri" w:eastAsia="Calibri" w:hAnsi="Calibri"/>
          <w:sz w:val="22"/>
          <w:szCs w:val="22"/>
        </w:rPr>
        <w:t xml:space="preserve">Legal precedent search and case strategy development requires access to proprietary case data that firms will not share openly. The NMGDA marketplace model (P-012, P-013) enables a verified ZK precedent marketplace: a firm proves its case meets a jurisdictional and cause-of-action pattern without revealing case details; counterpart firms prove their precedent portfolio covers the pattern without revealing client matters. The GNN semantic graph (P-002) identifies precedent similarity across jurisdictions by semantic embedding rather than keyword match.</w:t>
      </w:r>
    </w:p>
    <w:p>
      <w:pPr>
        <w:pBdr>
          <w:left w:val="single" w:color="B8860B" w:sz="20" w:space="12"/>
        </w:pBdr>
        <w:spacing w:after="200" w:before="200"/>
        <w:ind w:left="580" w:right="580"/>
      </w:pPr>
      <w:r>
        <w:rPr>
          <w:rFonts w:ascii="Georgia" w:cs="Georgia" w:eastAsia="Georgia" w:hAnsi="Georgia"/>
          <w:b/>
          <w:bCs/>
          <w:i/>
          <w:iCs/>
          <w:color w:val="0D2D52"/>
          <w:sz w:val="26"/>
          <w:szCs w:val="26"/>
        </w:rPr>
        <w:t xml:space="preserve">The patent claims describe methods that protect any grounded, privacy-preserving, reputation-verified intelligence platform — in any industry where data has value and privacy has teeth.</w:t>
      </w:r>
    </w:p>
    <w:p>
      <w:pPr>
        <w:spacing w:after="120" w:before="200"/>
      </w:pPr>
      <w:r>
        <w:rPr>
          <w:rFonts w:ascii="Georgia" w:cs="Georgia" w:eastAsia="Georgia" w:hAnsi="Georgia"/>
          <w:b/>
          <w:bCs/>
          <w:color w:val="0D2D52"/>
          <w:sz w:val="34"/>
          <w:szCs w:val="34"/>
        </w:rPr>
        <w:t xml:space="preserve">5.3  Moat Analysis</w:t>
      </w:r>
    </w:p>
    <w:p>
      <w:pPr>
        <w:spacing w:after="80" w:before="0"/>
      </w:pPr>
      <w:r>
        <w:rPr>
          <w:rFonts w:ascii="Calibri" w:cs="Calibri" w:eastAsia="Calibri" w:hAnsi="Calibri"/>
          <w:sz w:val="22"/>
          <w:szCs w:val="22"/>
        </w:rPr>
        <w:t xml:space="preserve">The sustainable competitive advantages of NMGDA / NEXUS CRE compound over time in three distinct ways:</w:t>
      </w:r>
    </w:p>
    <w:p>
      <w:pPr>
        <w:spacing w:after="80" w:before="0"/>
      </w:pPr>
      <w:r>
        <w:rPr>
          <w:rFonts w:ascii="Calibri" w:cs="Calibri" w:eastAsia="Calibri" w:hAnsi="Calibri"/>
          <w:sz w:val="22"/>
          <w:szCs w:val="22"/>
        </w:rPr>
        <w:t xml:space="preserve">Data Network Effect: Every verified comparable submitted by a platform participant enriches the GNN training set. Every verified deal connection adds a data point to the submarket intelligence layer. The longer the platform operates, the more accurate its models become — and the larger the gap between NMGDA’s GNN-estimated cap rates and a new entrant’s analyst-estimated cap rates.</w:t>
      </w:r>
    </w:p>
    <w:p>
      <w:pPr>
        <w:spacing w:after="80" w:before="0"/>
      </w:pPr>
      <w:r>
        <w:rPr>
          <w:rFonts w:ascii="Calibri" w:cs="Calibri" w:eastAsia="Calibri" w:hAnsi="Calibri"/>
          <w:sz w:val="22"/>
          <w:szCs w:val="22"/>
        </w:rPr>
        <w:t xml:space="preserve">Reputation Lock-in: A participant’s RepID score is non-transferable by design. A broker with a 94% accuracy rating built over three years of verified platform activity cannot take that credential to a competitor. The credential’s value grows with time on the platform.</w:t>
      </w:r>
    </w:p>
    <w:p>
      <w:pPr>
        <w:spacing w:after="0" w:before="0"/>
      </w:pPr>
      <w:r>
        <w:rPr>
          <w:rFonts w:ascii="Calibri" w:cs="Calibri" w:eastAsia="Calibri" w:hAnsi="Calibri"/>
          <w:sz w:val="22"/>
          <w:szCs w:val="22"/>
        </w:rPr>
        <w:t xml:space="preserve">Patent Protection: The specific combination of ANFIS routing, BFT consensus, ZK proof generation, and ERC-8004 agent identity — integrated into a single workflow for grounded intelligence at scale — is protected as a method/system under the provisional portfolio. Any competitor replicating the architecture is replicating the claims.</w:t>
      </w:r>
    </w:p>
    <w:p>
      <w:pPr>
        <w:spacing w:after="0" w:before="0"/>
      </w:pPr>
      <w:r>
        <w:br w:type="page"/>
      </w:r>
    </w:p>
    <w:p>
      <w:pPr>
        <w:spacing w:after="60" w:before="0"/>
      </w:pPr>
      <w:r>
        <w:rPr>
          <w:rFonts w:ascii="Calibri" w:cs="Calibri" w:eastAsia="Calibri" w:hAnsi="Calibri"/>
          <w:b/>
          <w:bCs/>
          <w:color w:val="B8860B"/>
          <w:spacing w:val="100"/>
          <w:sz w:val="17"/>
          <w:szCs w:val="17"/>
        </w:rPr>
        <w:t xml:space="preserve">SECTION 6</w:t>
      </w:r>
    </w:p>
    <w:p>
      <w:pPr>
        <w:spacing w:after="160" w:before="0"/>
      </w:pPr>
      <w:r>
        <w:rPr>
          <w:rFonts w:ascii="Georgia" w:cs="Georgia" w:eastAsia="Georgia" w:hAnsi="Georgia"/>
          <w:b/>
          <w:bCs/>
          <w:color w:val="0D2D52"/>
          <w:sz w:val="48"/>
          <w:szCs w:val="48"/>
        </w:rPr>
        <w:t xml:space="preserve">Use Cases &amp; Return on Investment</w:t>
      </w:r>
    </w:p>
    <w:p>
      <w:pPr>
        <w:pBdr>
          <w:bottom w:val="single" w:color="B8860B" w:sz="8" w:space="1"/>
        </w:pBdr>
        <w:spacing w:after="0" w:before="0"/>
      </w:pPr>
    </w:p>
    <w:p>
      <w:pPr>
        <w:spacing w:after="120" w:before="0"/>
      </w:pPr>
    </w:p>
    <w:p>
      <w:pPr>
        <w:spacing w:after="120" w:before="200"/>
      </w:pPr>
      <w:r>
        <w:rPr>
          <w:rFonts w:ascii="Georgia" w:cs="Georgia" w:eastAsia="Georgia" w:hAnsi="Georgia"/>
          <w:b/>
          <w:bCs/>
          <w:color w:val="0D2D52"/>
          <w:sz w:val="34"/>
          <w:szCs w:val="34"/>
        </w:rPr>
        <w:t xml:space="preserve">6.1  Scenario: The Hard Money Broker</w:t>
      </w:r>
    </w:p>
    <w:p>
      <w:pPr>
        <w:spacing w:after="80" w:before="0"/>
      </w:pPr>
      <w:r>
        <w:rPr>
          <w:rFonts w:ascii="Calibri" w:cs="Calibri" w:eastAsia="Calibri" w:hAnsi="Calibri"/>
          <w:sz w:val="22"/>
          <w:szCs w:val="22"/>
        </w:rPr>
        <w:t xml:space="preserve">A commercial real estate broker has sourced a 48-unit multifamily value-add in a secondary market. The deal is real — strong in-place cash flow, below-market rents with clear path to market, motivated seller. But the deal size ($4.2M) and the market (Tier 3 MSA) put it outside the box of every conventional lender the broker knows.</w:t>
      </w:r>
    </w:p>
    <w:p>
      <w:pPr>
        <w:spacing w:after="80" w:before="0"/>
      </w:pPr>
      <w:r>
        <w:rPr>
          <w:rFonts w:ascii="Calibri" w:cs="Calibri" w:eastAsia="Calibri" w:hAnsi="Calibri"/>
          <w:sz w:val="22"/>
          <w:szCs w:val="22"/>
        </w:rPr>
        <w:t xml:space="preserve">Before NMGDA: The broker spends two weeks working the phone. Three lenders pass. One expresses interest but needs a full underwriting package the broker doesn’t have time to build. The seller is losing patience. The deal is in jeopardy.</w:t>
      </w:r>
    </w:p>
    <w:p>
      <w:pPr>
        <w:spacing w:after="80" w:before="0"/>
      </w:pPr>
      <w:r>
        <w:rPr>
          <w:rFonts w:ascii="Calibri" w:cs="Calibri" w:eastAsia="Calibri" w:hAnsi="Calibri"/>
          <w:sz w:val="22"/>
          <w:szCs w:val="22"/>
        </w:rPr>
        <w:t xml:space="preserve">With NMGDA: The broker posts the scenario (no address, no name) — market, asset type, size, structure, in-place yield. Uploads the rent roll for AI Verified status. In 27 minutes, NEXUS returns a verified underwriting package: XIRR at three leverage scenarios, LASSO sensitivity showing exit cap rate as the primary driver, GNN cap rate estimate from 14 verified comps in comparable Tier 3 markets, and a bank-ready IC memo. The broker posts the AI Verified listing. Three matching capital deployers receive notifications. Two request introduction within 24 hours. The deal closes in eleven days.</w:t>
      </w:r>
    </w:p>
    <w:p>
      <w:pPr>
        <w:spacing w:after="0" w:before="0"/>
      </w:pPr>
      <w:r>
        <w:rPr>
          <w:rFonts w:ascii="Calibri" w:cs="Calibri" w:eastAsia="Calibri" w:hAnsi="Calibri"/>
          <w:b/>
          <w:bCs/>
          <w:color w:val="0D2D52"/>
          <w:sz w:val="22"/>
          <w:szCs w:val="22"/>
        </w:rPr>
        <w:t xml:space="preserve">ROI: Time to viable capital match reduced from 14+ days to 24 hours. Underwriting package built in 27 minutes vs. 3–5 days. Platform fee: 1.5% of loan amount ($63,000). Broker’s commission preserved in full.</w:t>
      </w:r>
    </w:p>
    <w:p>
      <w:pPr>
        <w:spacing w:after="120" w:before="200"/>
      </w:pPr>
      <w:r>
        <w:rPr>
          <w:rFonts w:ascii="Georgia" w:cs="Georgia" w:eastAsia="Georgia" w:hAnsi="Georgia"/>
          <w:b/>
          <w:bCs/>
          <w:color w:val="0D2D52"/>
          <w:sz w:val="34"/>
          <w:szCs w:val="34"/>
        </w:rPr>
        <w:t xml:space="preserve">6.2  Scenario: The Capital Deployer</w:t>
      </w:r>
    </w:p>
    <w:p>
      <w:pPr>
        <w:spacing w:after="80" w:before="0"/>
      </w:pPr>
      <w:r>
        <w:rPr>
          <w:rFonts w:ascii="Calibri" w:cs="Calibri" w:eastAsia="Calibri" w:hAnsi="Calibri"/>
          <w:sz w:val="22"/>
          <w:szCs w:val="22"/>
        </w:rPr>
        <w:t xml:space="preserve">A private credit fund has $22M in committed capital to deploy into bridge loans on light industrial and flex industrial assets in three target MSAs. The fund manager’s team is stretched across existing portfolio monitoring. They are missing good deals because they cannot filter inbound deal flow fast enough.</w:t>
      </w:r>
    </w:p>
    <w:p>
      <w:pPr>
        <w:spacing w:after="80" w:before="0"/>
      </w:pPr>
      <w:r>
        <w:rPr>
          <w:rFonts w:ascii="Calibri" w:cs="Calibri" w:eastAsia="Calibri" w:hAnsi="Calibri"/>
          <w:sz w:val="22"/>
          <w:szCs w:val="22"/>
        </w:rPr>
        <w:t xml:space="preserve">Before NMGDA: The fund receives 40 inbound pitches per week. Fewer than 5 meet their criteria. The team spends 60% of their analysis time on deals that should have been screened out at the criteria-matching stage.</w:t>
      </w:r>
    </w:p>
    <w:p>
      <w:pPr>
        <w:spacing w:after="0" w:before="0"/>
      </w:pPr>
      <w:r>
        <w:rPr>
          <w:rFonts w:ascii="Calibri" w:cs="Calibri" w:eastAsia="Calibri" w:hAnsi="Calibri"/>
          <w:sz w:val="22"/>
          <w:szCs w:val="22"/>
        </w:rPr>
        <w:t xml:space="preserve">With NMGDA: The fund manager posts anonymous criteria. Target markets, asset classes, deal size range, structure, yield floor. AI Verified deals that match their criteria appear in their dashboard. Unverified deals matching their criteria are flagged but de-prioritized. The fund reviews 8 high-confidence matches per week instead of 40 unfiltered pitches. Allocation velocity improves by 3x in the first quarter.</w:t>
      </w:r>
    </w:p>
    <w:p>
      <w:pPr>
        <w:spacing w:after="120" w:before="200"/>
      </w:pPr>
      <w:r>
        <w:rPr>
          <w:rFonts w:ascii="Georgia" w:cs="Georgia" w:eastAsia="Georgia" w:hAnsi="Georgia"/>
          <w:b/>
          <w:bCs/>
          <w:color w:val="0D2D52"/>
          <w:sz w:val="34"/>
          <w:szCs w:val="34"/>
        </w:rPr>
        <w:t xml:space="preserve">6.3  Scenario: The Market Analyst</w:t>
      </w:r>
    </w:p>
    <w:p>
      <w:pPr>
        <w:spacing w:after="80" w:before="0"/>
      </w:pPr>
      <w:r>
        <w:rPr>
          <w:rFonts w:ascii="Calibri" w:cs="Calibri" w:eastAsia="Calibri" w:hAnsi="Calibri"/>
          <w:sz w:val="22"/>
          <w:szCs w:val="22"/>
        </w:rPr>
        <w:t xml:space="preserve">An analyst at a regional brokerage has a track record of calling submarket turns three to six months before published indices reflect them. Nobody outside their firm knows this. Their insights have no credential, no record, and no monetization path.</w:t>
      </w:r>
    </w:p>
    <w:p>
      <w:pPr>
        <w:spacing w:after="0" w:before="0"/>
      </w:pPr>
      <w:r>
        <w:rPr>
          <w:rFonts w:ascii="Calibri" w:cs="Calibri" w:eastAsia="Calibri" w:hAnsi="Calibri"/>
          <w:sz w:val="22"/>
          <w:szCs w:val="22"/>
        </w:rPr>
        <w:t xml:space="preserve">With NMGDA: The analyst posts their top submarket picks on RepID. Stakes their reputation on each prediction. Ninety days later, NEXUS’s SENSOR agent and MARKET agent pull the verified outcome data. The analyst’s RepID updates to reflect an 89% accuracy rate across 23 predictions over eight months. Fund managers on the platform with deal activity in those submarkets begin requesting introductions. The analyst is offered a consulting engagement — sourced entirely through their verified track record on the platform.</w:t>
      </w:r>
    </w:p>
    <w:p>
      <w:pPr>
        <w:spacing w:after="120" w:before="200"/>
      </w:pPr>
      <w:r>
        <w:rPr>
          <w:rFonts w:ascii="Georgia" w:cs="Georgia" w:eastAsia="Georgia" w:hAnsi="Georgia"/>
          <w:b/>
          <w:bCs/>
          <w:color w:val="0D2D52"/>
          <w:sz w:val="34"/>
          <w:szCs w:val="34"/>
        </w:rPr>
        <w:t xml:space="preserve">6.4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1800"/>
      </w:tblGrid>
      <w:tr>
        <w:tc>
          <w:tcPr>
            <w:tcW w:type="dxa" w:w="324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r>
              <w:rPr>
                <w:rFonts w:ascii="Calibri" w:cs="Calibri" w:eastAsia="Calibri" w:hAnsi="Calibri"/>
                <w:b/>
                <w:bCs/>
                <w:color w:val="FFFFFF"/>
                <w:sz w:val="19"/>
                <w:szCs w:val="19"/>
              </w:rPr>
              <w:t xml:space="preserve">Revenue Stream</w:t>
            </w:r>
          </w:p>
        </w:tc>
        <w:tc>
          <w:tcPr>
            <w:tcW w:type="dxa" w:w="216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Year 1 ARR</w:t>
            </w:r>
          </w:p>
        </w:tc>
        <w:tc>
          <w:tcPr>
            <w:tcW w:type="dxa" w:w="216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Year 3 ARR</w:t>
            </w:r>
          </w:p>
        </w:tc>
        <w:tc>
          <w:tcPr>
            <w:tcW w:type="dxa" w:w="180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Model</w:t>
            </w:r>
          </w:p>
        </w:tc>
      </w:tr>
      <w:tr>
        <w:tc>
          <w:tcPr>
            <w:tcW w:type="dxa" w:w="324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SaaS Subscriptions ($199–$999/mo)</w:t>
            </w:r>
          </w:p>
        </w:tc>
        <w:tc>
          <w:tcPr>
            <w:tcW w:type="dxa" w:w="216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0D2D52"/>
                <w:sz w:val="20"/>
                <w:szCs w:val="20"/>
              </w:rPr>
              <w:t xml:space="preserve">$1.9M</w:t>
            </w:r>
          </w:p>
        </w:tc>
        <w:tc>
          <w:tcPr>
            <w:tcW w:type="dxa" w:w="216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0D2D52"/>
                <w:sz w:val="20"/>
                <w:szCs w:val="20"/>
              </w:rPr>
              <w:t xml:space="preserve">$60M</w:t>
            </w:r>
          </w:p>
        </w:tc>
        <w:tc>
          <w:tcPr>
            <w:tcW w:type="dxa" w:w="180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3 tiers</w:t>
            </w:r>
          </w:p>
        </w:tc>
      </w:tr>
      <w:tr>
        <w:tc>
          <w:tcPr>
            <w:tcW w:type="dxa" w:w="3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x402 Metered Usage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D2D52"/>
                <w:sz w:val="20"/>
                <w:szCs w:val="20"/>
              </w:rPr>
              <w:t xml:space="preserve">$340K</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D2D52"/>
                <w:sz w:val="20"/>
                <w:szCs w:val="20"/>
              </w:rPr>
              <w:t xml:space="preserve">$18M</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Per-call</w:t>
            </w:r>
          </w:p>
        </w:tc>
      </w:tr>
      <w:tr>
        <w:tc>
          <w:tcPr>
            <w:tcW w:type="dxa" w:w="324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Marketplace Transaction Fees (5–15%)</w:t>
            </w:r>
          </w:p>
        </w:tc>
        <w:tc>
          <w:tcPr>
            <w:tcW w:type="dxa" w:w="216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0D2D52"/>
                <w:sz w:val="20"/>
                <w:szCs w:val="20"/>
              </w:rPr>
              <w:t xml:space="preserve">$220K</w:t>
            </w:r>
          </w:p>
        </w:tc>
        <w:tc>
          <w:tcPr>
            <w:tcW w:type="dxa" w:w="216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0D2D52"/>
                <w:sz w:val="20"/>
                <w:szCs w:val="20"/>
              </w:rPr>
              <w:t xml:space="preserve">$22M</w:t>
            </w:r>
          </w:p>
        </w:tc>
        <w:tc>
          <w:tcPr>
            <w:tcW w:type="dxa" w:w="180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Closing fee</w:t>
            </w:r>
          </w:p>
        </w:tc>
      </w:tr>
      <w:tr>
        <w:tc>
          <w:tcPr>
            <w:tcW w:type="dxa" w:w="3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RepID Staking (0.5% of staked value)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D2D52"/>
                <w:sz w:val="20"/>
                <w:szCs w:val="20"/>
              </w:rPr>
              <w:t xml:space="preserve">$85K</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D2D52"/>
                <w:sz w:val="20"/>
                <w:szCs w:val="20"/>
              </w:rPr>
              <w:t xml:space="preserve">$8M</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On-chain</w:t>
            </w:r>
          </w:p>
        </w:tc>
      </w:tr>
      <w:tr>
        <w:tc>
          <w:tcPr>
            <w:tcW w:type="dxa" w:w="324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Agent API Access</w:t>
            </w:r>
          </w:p>
        </w:tc>
        <w:tc>
          <w:tcPr>
            <w:tcW w:type="dxa" w:w="216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0D2D52"/>
                <w:sz w:val="20"/>
                <w:szCs w:val="20"/>
              </w:rPr>
              <w:t xml:space="preserve">$120K</w:t>
            </w:r>
          </w:p>
        </w:tc>
        <w:tc>
          <w:tcPr>
            <w:tcW w:type="dxa" w:w="216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pPr>
              <w:jc w:val="center"/>
            </w:pPr>
            <w:r>
              <w:rPr>
                <w:rFonts w:ascii="Calibri" w:cs="Calibri" w:eastAsia="Calibri" w:hAnsi="Calibri"/>
                <w:b w:val="false"/>
                <w:bCs w:val="false"/>
                <w:color w:val="0D2D52"/>
                <w:sz w:val="20"/>
                <w:szCs w:val="20"/>
              </w:rPr>
              <w:t xml:space="preserve">$12M</w:t>
            </w:r>
          </w:p>
        </w:tc>
        <w:tc>
          <w:tcPr>
            <w:tcW w:type="dxa" w:w="1800"/>
            <w:tcBorders>
              <w:top w:val="single" w:color="CCCCCC" w:sz="2"/>
              <w:left w:val="single" w:color="CCCCCC" w:sz="2"/>
              <w:bottom w:val="single" w:color="CCCCCC" w:sz="2"/>
              <w:right w:val="single" w:color="CCCCCC" w:sz="2"/>
            </w:tcBorders>
            <w:shd w:fill="F5F7FA"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Developer tier</w:t>
            </w:r>
          </w:p>
        </w:tc>
      </w:tr>
      <w:tr>
        <w:tc>
          <w:tcPr>
            <w:tcW w:type="dxa" w:w="3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Institutional Data Licensing</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D2D52"/>
                <w:sz w:val="20"/>
                <w:szCs w:val="20"/>
              </w:rPr>
              <w:t xml:space="preserve">$200K</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D2D52"/>
                <w:sz w:val="20"/>
                <w:szCs w:val="20"/>
              </w:rPr>
              <w:t xml:space="preserve">$15M</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Calibri" w:cs="Calibri" w:eastAsia="Calibri" w:hAnsi="Calibri"/>
                <w:color w:val="64748B"/>
                <w:sz w:val="20"/>
                <w:szCs w:val="20"/>
              </w:rPr>
              <w:t xml:space="preserve">Enterprise</w:t>
            </w:r>
          </w:p>
        </w:tc>
      </w:tr>
      <w:tr>
        <w:tc>
          <w:tcPr>
            <w:tcW w:type="dxa" w:w="324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r>
              <w:rPr>
                <w:rFonts w:ascii="Calibri" w:cs="Calibri" w:eastAsia="Calibri" w:hAnsi="Calibri"/>
                <w:b/>
                <w:bCs/>
                <w:color w:val="B8860B"/>
                <w:sz w:val="20"/>
                <w:szCs w:val="20"/>
              </w:rPr>
              <w:t xml:space="preserve">TOTAL</w:t>
            </w:r>
          </w:p>
        </w:tc>
        <w:tc>
          <w:tcPr>
            <w:tcW w:type="dxa" w:w="216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$2.9M</w:t>
            </w:r>
          </w:p>
        </w:tc>
        <w:tc>
          <w:tcPr>
            <w:tcW w:type="dxa" w:w="216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pPr>
              <w:jc w:val="center"/>
            </w:pPr>
            <w:r>
              <w:rPr>
                <w:rFonts w:ascii="Calibri" w:cs="Calibri" w:eastAsia="Calibri" w:hAnsi="Calibri"/>
                <w:b/>
                <w:bCs/>
                <w:color w:val="B8860B"/>
                <w:sz w:val="20"/>
                <w:szCs w:val="20"/>
              </w:rPr>
              <w:t xml:space="preserve">$135M</w:t>
            </w:r>
          </w:p>
        </w:tc>
        <w:tc>
          <w:tcPr>
            <w:tcW w:type="dxa" w:w="1800"/>
            <w:tcBorders>
              <w:top w:val="single" w:color="CCCCCC" w:sz="2"/>
              <w:left w:val="single" w:color="CCCCCC" w:sz="2"/>
              <w:bottom w:val="single" w:color="CCCCCC" w:sz="2"/>
              <w:right w:val="single" w:color="CCCCCC" w:sz="2"/>
            </w:tcBorders>
            <w:shd w:fill="0D2D52" w:val="clear"/>
            <w:tcMar>
              <w:top w:type="dxa" w:w="80"/>
              <w:left w:type="dxa" w:w="120"/>
              <w:bottom w:type="dxa" w:w="80"/>
              <w:right w:type="dxa" w:w="120"/>
            </w:tcMar>
          </w:tcPr>
          <w:p>
            <w:pPr>
              <w:jc w:val="center"/>
            </w:pPr>
            <w:r>
              <w:rPr>
                <w:rFonts w:ascii="Calibri" w:cs="Calibri" w:eastAsia="Calibri" w:hAnsi="Calibri"/>
                <w:color w:val="FFFFFF"/>
                <w:sz w:val="20"/>
                <w:szCs w:val="20"/>
              </w:rPr>
              <w:t xml:space="preserve"/>
            </w:r>
          </w:p>
        </w:tc>
      </w:tr>
    </w:tbl>
    <w:p>
      <w:pPr>
        <w:spacing w:after="80" w:before="0"/>
      </w:pPr>
    </w:p>
    <w:p>
      <w:pPr>
        <w:spacing w:after="0" w:before="0"/>
      </w:pPr>
      <w:r>
        <w:rPr>
          <w:rFonts w:ascii="Calibri" w:cs="Calibri" w:eastAsia="Calibri" w:hAnsi="Calibri"/>
          <w:i/>
          <w:iCs/>
          <w:color w:val="64748B"/>
          <w:sz w:val="21"/>
          <w:szCs w:val="21"/>
        </w:rPr>
        <w:t xml:space="preserve">TAM: $567M SaaS (Argus/CoStar replacement) + $5B data intelligence (street-level comp and lead data) + $120B annual CRE transaction volume (marketplace fee opportunity). Total addressable market: $5.6B+ with cross-vertical licensing optionality across pharma, medical, and legal verticals adding an estimated additional $12B+.</w:t>
      </w:r>
    </w:p>
    <w:p>
      <w:pPr>
        <w:spacing w:after="0" w:before="0"/>
      </w:pPr>
      <w:r>
        <w:br w:type="page"/>
      </w:r>
    </w:p>
    <w:p>
      <w:pPr>
        <w:spacing w:after="60" w:before="0"/>
      </w:pPr>
      <w:r>
        <w:rPr>
          <w:rFonts w:ascii="Calibri" w:cs="Calibri" w:eastAsia="Calibri" w:hAnsi="Calibri"/>
          <w:b/>
          <w:bCs/>
          <w:color w:val="B8860B"/>
          <w:spacing w:val="100"/>
          <w:sz w:val="17"/>
          <w:szCs w:val="17"/>
        </w:rPr>
        <w:t xml:space="preserve">SECTION 7</w:t>
      </w:r>
    </w:p>
    <w:p>
      <w:pPr>
        <w:spacing w:after="160" w:before="0"/>
      </w:pPr>
      <w:r>
        <w:rPr>
          <w:rFonts w:ascii="Georgia" w:cs="Georgia" w:eastAsia="Georgia" w:hAnsi="Georgia"/>
          <w:b/>
          <w:bCs/>
          <w:color w:val="0D2D52"/>
          <w:sz w:val="48"/>
          <w:szCs w:val="48"/>
        </w:rPr>
        <w:t xml:space="preserve">Roadmap &amp; Risk Management</w:t>
      </w:r>
    </w:p>
    <w:p>
      <w:pPr>
        <w:pBdr>
          <w:bottom w:val="single" w:color="B8860B" w:sz="8" w:space="1"/>
        </w:pBdr>
        <w:spacing w:after="0" w:before="0"/>
      </w:pPr>
    </w:p>
    <w:p>
      <w:pPr>
        <w:spacing w:after="120" w:before="0"/>
      </w:pPr>
    </w:p>
    <w:p>
      <w:pPr>
        <w:spacing w:after="120" w:before="200"/>
      </w:pPr>
      <w:r>
        <w:rPr>
          <w:rFonts w:ascii="Georgia" w:cs="Georgia" w:eastAsia="Georgia" w:hAnsi="Georgia"/>
          <w:b/>
          <w:bCs/>
          <w:color w:val="0D2D52"/>
          <w:sz w:val="34"/>
          <w:szCs w:val="34"/>
        </w:rPr>
        <w:t xml:space="preserve">7.1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Phase / Timeline</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Milestones</w:t>
            </w:r>
          </w:p>
        </w:tc>
      </w:tr>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Sprint 0 — Foundation (Complete)</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12 Railway agents deployed. Supabase 276-table schema live. 12 MetaMask EOA wallets funded on Base Sepolia. 53 shared env vars across 18 LLM providers. 4 GitHub repos active.</w:t>
            </w:r>
          </w:p>
        </w:tc>
      </w:tr>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Sprint 1 — Core Engine (Weeks 1–3)</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NEXUS engine live: INTAKE OCR, VERITAS dual-path math, NEXUS GNN, TORCH IC memo. x402 payment rails active. ERC-8004 agent identities registered. ANFIS router deployed with confirmed 72.5% cost reduction.</w:t>
            </w:r>
          </w:p>
        </w:tc>
      </w:tr>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Sprint 2 — ZK + Marketplace (Weeks 4–6)</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Plonky3 ZK proofs for deal criteria matching. Anonymous posting flow live. Bumble mechanic (investor-initiates). AI Verified badge. Beta cohort onboarding (20 founding firms, 3-month free access, case study rights).</w:t>
            </w:r>
          </w:p>
        </w:tc>
      </w:tr>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Sprint 3 — RepID + Bird Dog (Weeks 7–10)</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ERC-5114 SBT minting live. Staking and slashing mechanics. RepID badge generation and sharing (LinkedIn, CoStar, email). Bird dog bounty posting and settlement. Network credit system.</w:t>
            </w:r>
          </w:p>
        </w:tc>
      </w:tr>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Sprint 4 — Scale (Months 4–6)</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Public launch. Referral mechanics. 500 bird dogs onboarded. Institutional API access tier. Yardi/MRI integration planning. P-013 cross-vertical pilot (pharma TBD).</w:t>
            </w:r>
          </w:p>
        </w:tc>
      </w:tr>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Phase 2 — Quantum (Q4 2026)</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CRYSTALS-Dilithium post-quantum signatures. zk-STARK upgrade for portfolio-level proofs. Institutional data licensing tier. Cross-vertical licensing negotiations (P-013).</w:t>
            </w:r>
          </w:p>
        </w:tc>
      </w:tr>
    </w:tbl>
    <w:p>
      <w:pPr>
        <w:spacing w:after="80" w:before="0"/>
      </w:pPr>
    </w:p>
    <w:p>
      <w:pPr>
        <w:spacing w:after="120" w:before="200"/>
      </w:pPr>
      <w:r>
        <w:rPr>
          <w:rFonts w:ascii="Georgia" w:cs="Georgia" w:eastAsia="Georgia" w:hAnsi="Georgia"/>
          <w:b/>
          <w:bCs/>
          <w:color w:val="0D2D52"/>
          <w:sz w:val="34"/>
          <w:szCs w:val="34"/>
        </w:rPr>
        <w:t xml:space="preserve">7.2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Risk</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Mitigation</w:t>
            </w:r>
          </w:p>
        </w:tc>
      </w:tr>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Regulatory — platform misclassified as broker-dealer or securities intermediary</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Platform credits are utility rewards, not securities. Platform connects parties; does not execute transactions. W3C-CRE agent monitors regulatory developments. Legal review ongoing.</w:t>
            </w:r>
          </w:p>
        </w:tc>
      </w:tr>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Adoption — cold-start network effect challenge</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Beachhead strategy: hard money lending sector (7–14 day deal cycles, high pain, privacy-native). 20 founding firms on 3-month free access. Sean’s 30,000-person LinkedIn network as launch distribution channel.</w:t>
            </w:r>
          </w:p>
        </w:tc>
      </w:tr>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Technical — ZK proof latency in deal-matching critical path</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Plonky3 proof generation benchmarked at &lt;2 seconds for deal-criteria proofs. Async proof generation for non-blocking UX. Fallback to commitment-hash matching during proof computation.</w:t>
            </w:r>
          </w:p>
        </w:tc>
      </w:tr>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IP — patent applications not yet in non-provisional form</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Patent gate active. No public disclosure of specific ANFIS parameters, GNN architecture, or BFT veto algorithm until non-provisionals filed. P-002 attorney engagement must begin by June 2026.</w:t>
            </w:r>
          </w:p>
        </w:tc>
      </w:tr>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Competition — incumbent response (CoStar, Argus)</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Neither incumbent has ZK privacy, agent-to-agent commerce, or reputation staking. ANFIS routing patent (P-002) and BFT veto patent (P-004) are non-obvious combinations not present in either product. Network effect and RepID lock-in compound the moat over time.</w:t>
            </w:r>
          </w:p>
        </w:tc>
      </w:tr>
      <w:tr>
        <w:tc>
          <w:tcPr>
            <w:tcW w:type="dxa" w:w="2880"/>
            <w:tcBorders>
              <w:top w:val="single" w:color="CCCCCC" w:sz="2"/>
              <w:left w:val="single" w:color="CCCCCC" w:sz="2"/>
              <w:bottom w:val="single" w:color="CCCCCC" w:sz="2"/>
              <w:right w:val="single" w:color="CCCCCC" w:sz="2"/>
            </w:tcBorders>
            <w:shd w:fill="F5F7FA" w:val="clear"/>
            <w:tcMar>
              <w:top w:type="dxa" w:w="100"/>
              <w:left w:type="dxa" w:w="160"/>
              <w:bottom w:type="dxa" w:w="100"/>
              <w:right w:type="dxa" w:w="160"/>
            </w:tcMar>
          </w:tcPr>
          <w:p>
            <w:r>
              <w:rPr>
                <w:rFonts w:ascii="Calibri" w:cs="Calibri" w:eastAsia="Calibri" w:hAnsi="Calibri"/>
                <w:color w:val="333333"/>
                <w:sz w:val="21"/>
                <w:szCs w:val="21"/>
              </w:rPr>
              <w:t xml:space="preserve">Data quality — GNN accuracy dependent on verified comp volume</w:t>
            </w:r>
          </w:p>
        </w:tc>
        <w:tc>
          <w:tcPr>
            <w:tcW w:type="dxa" w:w="648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AI Verified badge incentivizes quality submissions. Founding cohort case study requirement creates initial dataset. SENSOR agent monitors and flags outlier comps for review.</w:t>
            </w:r>
          </w:p>
        </w:tc>
      </w:tr>
    </w:tbl>
    <w:p>
      <w:pPr>
        <w:spacing w:after="80" w:before="0"/>
      </w:pPr>
    </w:p>
    <w:p>
      <w:pPr>
        <w:spacing w:after="120" w:before="200"/>
      </w:pPr>
      <w:r>
        <w:rPr>
          <w:rFonts w:ascii="Georgia" w:cs="Georgia" w:eastAsia="Georgia" w:hAnsi="Georgia"/>
          <w:b/>
          <w:bCs/>
          <w:color w:val="0D2D52"/>
          <w:sz w:val="34"/>
          <w:szCs w:val="34"/>
        </w:rPr>
        <w:t xml:space="preserve">7.3  Team</w:t>
      </w:r>
    </w:p>
    <w:p>
      <w:pPr>
        <w:spacing w:after="80" w:before="0"/>
      </w:pPr>
      <w:r>
        <w:rPr>
          <w:rFonts w:ascii="Calibri" w:cs="Calibri" w:eastAsia="Calibri" w:hAnsi="Calibri"/>
          <w:sz w:val="22"/>
          <w:szCs w:val="22"/>
        </w:rPr>
        <w:t xml:space="preserve">Sean — Founder and Architect. Background: ANFIS/Neural Networks/Fuzzy Logic 2010–2015; Blockchain/DLTs/DAGs from 2016. Thesis: Trivergence (AI + Blockchain + Quantum) as the defining technology moment of the decade. Builder of the HyperDAG Protocol and AI Trinity Symphony multi-agent orchestration platform. 30,000-person LinkedIn network. Mission: helping people help people — the last, the lost, and the least.</w:t>
      </w:r>
    </w:p>
    <w:p>
      <w:pPr>
        <w:spacing w:after="160" w:before="0"/>
      </w:pPr>
      <w:r>
        <w:rPr>
          <w:rFonts w:ascii="Calibri" w:cs="Calibri" w:eastAsia="Calibri" w:hAnsi="Calibri"/>
          <w:sz w:val="22"/>
          <w:szCs w:val="22"/>
        </w:rPr>
        <w:t xml:space="preserve">AI Build Coordination: Gemini (Antigravity IDE) — sprint execution and codebase build. Grok — patent claim language and provisional drafting. Claude (AI Trinity Symphony architecture) — architecture strategy, cross-validation, documentation.</w:t>
      </w:r>
    </w:p>
    <w:p>
      <w:pPr>
        <w:pBdr>
          <w:bottom w:val="single" w:color="0D2D52" w:sz="8" w:space="1"/>
        </w:pBdr>
        <w:spacing w:after="0" w:before="0"/>
      </w:pPr>
    </w:p>
    <w:p>
      <w:pPr>
        <w:spacing w:after="120" w:before="0"/>
      </w:pPr>
    </w:p>
    <w:p>
      <w:pPr>
        <w:spacing w:after="80" w:before="0"/>
        <w:jc w:val="center"/>
      </w:pPr>
      <w:r>
        <w:rPr>
          <w:rFonts w:ascii="Georgia" w:cs="Georgia" w:eastAsia="Georgia" w:hAnsi="Georgia"/>
          <w:b/>
          <w:bCs/>
          <w:color w:val="0D2D52"/>
          <w:sz w:val="40"/>
          <w:szCs w:val="40"/>
        </w:rPr>
        <w:t xml:space="preserve">N</w:t>
      </w:r>
      <w:r>
        <w:rPr>
          <w:rFonts w:ascii="Georgia" w:cs="Georgia" w:eastAsia="Georgia" w:hAnsi="Georgia"/>
          <w:color w:val="0D2D52"/>
          <w:sz w:val="40"/>
          <w:szCs w:val="40"/>
        </w:rPr>
        <w:t xml:space="preserve">ever </w:t>
      </w:r>
      <w:r>
        <w:rPr>
          <w:rFonts w:ascii="Georgia" w:cs="Georgia" w:eastAsia="Georgia" w:hAnsi="Georgia"/>
          <w:b/>
          <w:bCs/>
          <w:color w:val="0D2D52"/>
          <w:sz w:val="40"/>
          <w:szCs w:val="40"/>
        </w:rPr>
        <w:t xml:space="preserve">M</w:t>
      </w:r>
      <w:r>
        <w:rPr>
          <w:rFonts w:ascii="Georgia" w:cs="Georgia" w:eastAsia="Georgia" w:hAnsi="Georgia"/>
          <w:color w:val="0D2D52"/>
          <w:sz w:val="40"/>
          <w:szCs w:val="40"/>
        </w:rPr>
        <w:t xml:space="preserve">iss a </w:t>
      </w:r>
      <w:r>
        <w:rPr>
          <w:rFonts w:ascii="Georgia" w:cs="Georgia" w:eastAsia="Georgia" w:hAnsi="Georgia"/>
          <w:b/>
          <w:bCs/>
          <w:color w:val="0D2D52"/>
          <w:sz w:val="40"/>
          <w:szCs w:val="40"/>
        </w:rPr>
        <w:t xml:space="preserve">G</w:t>
      </w:r>
      <w:r>
        <w:rPr>
          <w:rFonts w:ascii="Georgia" w:cs="Georgia" w:eastAsia="Georgia" w:hAnsi="Georgia"/>
          <w:color w:val="0D2D52"/>
          <w:sz w:val="40"/>
          <w:szCs w:val="40"/>
        </w:rPr>
        <w:t xml:space="preserve">ood </w:t>
      </w:r>
      <w:r>
        <w:rPr>
          <w:rFonts w:ascii="Georgia" w:cs="Georgia" w:eastAsia="Georgia" w:hAnsi="Georgia"/>
          <w:b/>
          <w:bCs/>
          <w:color w:val="0D2D52"/>
          <w:sz w:val="40"/>
          <w:szCs w:val="40"/>
        </w:rPr>
        <w:t xml:space="preserve">D</w:t>
      </w:r>
      <w:r>
        <w:rPr>
          <w:rFonts w:ascii="Georgia" w:cs="Georgia" w:eastAsia="Georgia" w:hAnsi="Georgia"/>
          <w:color w:val="0D2D52"/>
          <w:sz w:val="40"/>
          <w:szCs w:val="40"/>
        </w:rPr>
        <w:t xml:space="preserve">eal </w:t>
      </w:r>
      <w:r>
        <w:rPr>
          <w:rFonts w:ascii="Georgia" w:cs="Georgia" w:eastAsia="Georgia" w:hAnsi="Georgia"/>
          <w:b/>
          <w:bCs/>
          <w:color w:val="0D2D52"/>
          <w:sz w:val="40"/>
          <w:szCs w:val="40"/>
        </w:rPr>
        <w:t xml:space="preserve">A</w:t>
      </w:r>
      <w:r>
        <w:rPr>
          <w:rFonts w:ascii="Georgia" w:cs="Georgia" w:eastAsia="Georgia" w:hAnsi="Georgia"/>
          <w:color w:val="0D2D52"/>
          <w:sz w:val="40"/>
          <w:szCs w:val="40"/>
        </w:rPr>
        <w:t xml:space="preserve">gain</w:t>
      </w:r>
    </w:p>
    <w:p>
      <w:pPr>
        <w:spacing w:after="120" w:before="0"/>
        <w:jc w:val="center"/>
      </w:pPr>
      <w:r>
        <w:rPr>
          <w:rFonts w:ascii="Georgia" w:cs="Georgia" w:eastAsia="Georgia" w:hAnsi="Georgia"/>
          <w:b/>
          <w:bCs/>
          <w:i/>
          <w:iCs/>
          <w:color w:val="B8860B"/>
          <w:sz w:val="36"/>
          <w:szCs w:val="36"/>
        </w:rPr>
        <w:t xml:space="preserve">NMGDA.com</w:t>
      </w:r>
    </w:p>
    <w:p>
      <w:pPr>
        <w:spacing w:after="60" w:before="0"/>
        <w:jc w:val="center"/>
      </w:pPr>
      <w:r>
        <w:rPr>
          <w:rFonts w:ascii="Calibri" w:cs="Calibri" w:eastAsia="Calibri" w:hAnsi="Calibri"/>
          <w:color w:val="64748B"/>
          <w:sz w:val="20"/>
          <w:szCs w:val="20"/>
        </w:rPr>
        <w:t xml:space="preserve">Technical White Paper requests: tech@nmgda.com</w:t>
      </w:r>
    </w:p>
    <w:p>
      <w:pPr>
        <w:spacing w:after="60" w:before="0"/>
        <w:jc w:val="center"/>
      </w:pPr>
      <w:r>
        <w:rPr>
          <w:rFonts w:ascii="Calibri" w:cs="Calibri" w:eastAsia="Calibri" w:hAnsi="Calibri"/>
          <w:b/>
          <w:bCs/>
          <w:color w:val="1A56DB"/>
          <w:sz w:val="20"/>
          <w:szCs w:val="20"/>
        </w:rPr>
        <w:t xml:space="preserve">Early access: hello@nmgda.com  ·  NMGDA.com</w:t>
      </w:r>
    </w:p>
    <w:p>
      <w:pPr>
        <w:spacing w:after="80" w:before="0"/>
      </w:pPr>
    </w:p>
    <w:p>
      <w:pPr>
        <w:spacing w:after="0" w:before="0"/>
      </w:pPr>
      <w:r>
        <w:rPr>
          <w:rFonts w:ascii="Calibri" w:cs="Calibri" w:eastAsia="Calibri" w:hAnsi="Calibri"/>
          <w:i/>
          <w:iCs/>
          <w:color w:val="64748B"/>
          <w:sz w:val="16"/>
          <w:szCs w:val="16"/>
        </w:rPr>
        <w:t xml:space="preserve">Legal: NMGDA.com is a private deal-sourcing platform for commercial real estate professionals. The platform does not provide investment advice, broker-dealer services, or securities transaction facilitation. Platform credits are utility rewards for platform participation and do not represent investment interests or securities. Users are solely responsible for their own due diligence, compliance, and transaction decisions. Technology infrastructure protected by provisional patent applications P-002 through P-013. © 2026 NMGDA.com · NEXUS CRE Engine · HyperDAG Protocol.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F7FA" w:sz="4" w:space="6"/>
      </w:pBdr>
      <w:tabs>
        <w:tab w:val="right" w:pos="10080"/>
      </w:tabs>
      <w:spacing w:after="0" w:before="0"/>
    </w:pPr>
    <w:r>
      <w:rPr>
        <w:rFonts w:ascii="Calibri" w:cs="Calibri" w:eastAsia="Calibri" w:hAnsi="Calibri"/>
        <w:color w:val="64748B"/>
        <w:sz w:val="16"/>
        <w:szCs w:val="16"/>
      </w:rPr>
      <w:t xml:space="preserve">© 2026 NMGDA.com · Powered by NEXUS CRE Engine · HyperDAG Protocol</w:t>
    </w:r>
    <w:r>
      <w:rPr>
        <w:rFonts w:ascii="Calibri" w:cs="Calibri" w:eastAsia="Calibri" w:hAnsi="Calibri"/>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6"/>
      </w:pBdr>
      <w:tabs>
        <w:tab w:val="right" w:pos="10080"/>
      </w:tabs>
      <w:spacing w:after="0" w:before="0"/>
    </w:pPr>
    <w:r>
      <w:rPr>
        <w:rFonts w:ascii="Calibri" w:cs="Calibri" w:eastAsia="Calibri" w:hAnsi="Calibri"/>
        <w:color w:val="64748B"/>
        <w:sz w:val="17"/>
        <w:szCs w:val="17"/>
      </w:rPr>
      <w:t xml:space="preserve">NMGDA.com White Paper</w:t>
    </w:r>
    <w:r>
      <w:rPr>
        <w:rFonts w:ascii="Calibri" w:cs="Calibri" w:eastAsia="Calibri" w:hAnsi="Calibri"/>
        <w:sz w:val="17"/>
        <w:szCs w:val="17"/>
      </w:rPr>
      <w:t xml:space="preserve">	</w:t>
    </w:r>
    <w:r>
      <w:rPr>
        <w:rFonts w:ascii="Calibri" w:cs="Calibri" w:eastAsia="Calibri" w:hAnsi="Calibri"/>
        <w:b/>
        <w:bCs/>
        <w:color w:val="8B1A1A"/>
        <w:sz w:val="17"/>
        <w:szCs w:val="17"/>
      </w:rPr>
      <w:t xml:space="preserve">CONFIDENTIAL — Patent Gate Active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0"/>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2026-03-09T19:34:38.262Z</dcterms:created>
  <dcterms:modified xsi:type="dcterms:W3CDTF">2026-03-09T19:34:38.262Z</dcterms:modified>
</cp:coreProperties>
</file>

<file path=docProps/custom.xml><?xml version="1.0" encoding="utf-8"?>
<Properties xmlns="http://schemas.openxmlformats.org/officeDocument/2006/custom-properties" xmlns:vt="http://schemas.openxmlformats.org/officeDocument/2006/docPropsVTypes"/>
</file>