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 w:before="0"/>
      </w:pPr>
      <w:r>
        <w:rPr>
          <w:rFonts w:ascii="Georgia" w:cs="Georgia" w:eastAsia="Georgia" w:hAnsi="Georgia"/>
          <w:b/>
          <w:bCs/>
          <w:color w:val="0D2D52"/>
          <w:sz w:val="112"/>
          <w:szCs w:val="112"/>
        </w:rPr>
        <w:t xml:space="preserve">N</w:t>
      </w:r>
      <w:r>
        <w:rPr>
          <w:rFonts w:ascii="Georgia" w:cs="Georgia" w:eastAsia="Georgia" w:hAnsi="Georgia"/>
          <w:color w:val="0D2D52"/>
          <w:sz w:val="112"/>
          <w:szCs w:val="112"/>
        </w:rPr>
        <w:t xml:space="preserve">ever </w:t>
      </w:r>
      <w:r>
        <w:rPr>
          <w:rFonts w:ascii="Georgia" w:cs="Georgia" w:eastAsia="Georgia" w:hAnsi="Georgia"/>
          <w:b/>
          <w:bCs/>
          <w:color w:val="0D2D52"/>
          <w:sz w:val="112"/>
          <w:szCs w:val="112"/>
        </w:rPr>
        <w:t xml:space="preserve">M</w:t>
      </w:r>
      <w:r>
        <w:rPr>
          <w:rFonts w:ascii="Georgia" w:cs="Georgia" w:eastAsia="Georgia" w:hAnsi="Georgia"/>
          <w:color w:val="0D2D52"/>
          <w:sz w:val="112"/>
          <w:szCs w:val="112"/>
        </w:rPr>
        <w:t xml:space="preserve">iss a </w:t>
      </w:r>
      <w:r>
        <w:rPr>
          <w:rFonts w:ascii="Georgia" w:cs="Georgia" w:eastAsia="Georgia" w:hAnsi="Georgia"/>
          <w:b/>
          <w:bCs/>
          <w:color w:val="0D2D52"/>
          <w:sz w:val="112"/>
          <w:szCs w:val="112"/>
        </w:rPr>
        <w:t xml:space="preserve">G</w:t>
      </w:r>
      <w:r>
        <w:rPr>
          <w:rFonts w:ascii="Georgia" w:cs="Georgia" w:eastAsia="Georgia" w:hAnsi="Georgia"/>
          <w:color w:val="0D2D52"/>
          <w:sz w:val="112"/>
          <w:szCs w:val="112"/>
        </w:rPr>
        <w:t xml:space="preserve">ood </w:t>
      </w:r>
    </w:p>
    <w:p>
      <w:pPr>
        <w:spacing w:after="60" w:before="0"/>
      </w:pPr>
      <w:r>
        <w:rPr>
          <w:rFonts w:ascii="Georgia" w:cs="Georgia" w:eastAsia="Georgia" w:hAnsi="Georgia"/>
          <w:b/>
          <w:bCs/>
          <w:color w:val="0D2D52"/>
          <w:sz w:val="112"/>
          <w:szCs w:val="112"/>
        </w:rPr>
        <w:t xml:space="preserve">D</w:t>
      </w:r>
      <w:r>
        <w:rPr>
          <w:rFonts w:ascii="Georgia" w:cs="Georgia" w:eastAsia="Georgia" w:hAnsi="Georgia"/>
          <w:color w:val="0D2D52"/>
          <w:sz w:val="112"/>
          <w:szCs w:val="112"/>
        </w:rPr>
        <w:t xml:space="preserve">eal </w:t>
      </w:r>
      <w:r>
        <w:rPr>
          <w:rFonts w:ascii="Georgia" w:cs="Georgia" w:eastAsia="Georgia" w:hAnsi="Georgia"/>
          <w:b/>
          <w:bCs/>
          <w:color w:val="0D2D52"/>
          <w:sz w:val="112"/>
          <w:szCs w:val="112"/>
        </w:rPr>
        <w:t xml:space="preserve">A</w:t>
      </w:r>
      <w:r>
        <w:rPr>
          <w:rFonts w:ascii="Georgia" w:cs="Georgia" w:eastAsia="Georgia" w:hAnsi="Georgia"/>
          <w:color w:val="0D2D52"/>
          <w:sz w:val="112"/>
          <w:szCs w:val="112"/>
        </w:rPr>
        <w:t xml:space="preserve">gain</w:t>
      </w:r>
    </w:p>
    <w:p>
      <w:pPr>
        <w:pBdr>
          <w:bottom w:val="single" w:color="B8860B" w:sz="12" w:space="1"/>
        </w:pBdr>
        <w:spacing w:after="0" w:before="0"/>
      </w:pPr>
      <w:r>
        <w:rPr>
          <w:rFonts w:ascii="Georgia" w:cs="Georgia" w:eastAsia="Georgia" w:hAnsi="Georgia"/>
          <w:b/>
          <w:bCs/>
          <w:i/>
          <w:iCs/>
          <w:color w:val="B8860B"/>
          <w:sz w:val="80"/>
          <w:szCs w:val="80"/>
        </w:rPr>
        <w:t xml:space="preserve">NMGDA.com</w:t>
      </w:r>
    </w:p>
    <w:p>
      <w:pPr>
        <w:spacing w:after="160" w:before="0"/>
      </w:pPr>
    </w:p>
    <w:p>
      <w:pPr>
        <w:spacing w:after="40" w:before="0"/>
      </w:pPr>
      <w:r>
        <w:rPr>
          <w:rFonts w:ascii="Calibri" w:cs="Calibri" w:eastAsia="Calibri" w:hAnsi="Calibri"/>
          <w:color w:val="334155"/>
          <w:sz w:val="26"/>
          <w:szCs w:val="26"/>
        </w:rPr>
        <w:t xml:space="preserve">Technical White Paper  ·  Version 2.0  ·  March 2026</w:t>
      </w:r>
    </w:p>
    <w:p>
      <w:pPr>
        <w:spacing w:after="200" w:before="0"/>
      </w:pPr>
      <w:r>
        <w:rPr>
          <w:rFonts w:ascii="Calibri" w:cs="Calibri" w:eastAsia="Calibri" w:hAnsi="Calibri"/>
          <w:color w:val="64748B"/>
          <w:sz w:val="22"/>
          <w:szCs w:val="22"/>
        </w:rPr>
        <w:t xml:space="preserve">Powered by NEXUS CRE Engine  ·  HyperDAG Protocol  ·  AI Trinity Symphony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0D2D52" w:val="clear"/>
            <w:tcMar>
              <w:top w:type="dxa" w:w="200"/>
              <w:left w:type="dxa" w:w="280"/>
              <w:bottom w:type="dxa" w:w="200"/>
              <w:right w:type="dxa" w:w="280"/>
            </w:tcMar>
          </w:tcPr>
          <w:p>
            <w:pPr>
              <w:spacing w:after="60" w:before="0"/>
            </w:pPr>
            <w:r>
              <w:rPr>
                <w:rFonts w:ascii="Georgia" w:cs="Georgia" w:eastAsia="Georgia" w:hAnsi="Georgia"/>
                <w:b/>
                <w:bCs/>
                <w:color w:val="B8860B"/>
                <w:sz w:val="26"/>
                <w:szCs w:val="26"/>
              </w:rPr>
              <w:t xml:space="preserve">Abstract</w:t>
            </w:r>
          </w:p>
          <w:p>
            <w:pPr>
              <w:spacing w:after="80" w:before="0"/>
            </w:pPr>
            <w:r>
              <w:rPr>
                <w:rFonts w:ascii="Calibri" w:cs="Calibri" w:eastAsia="Calibri" w:hAnsi="Calibri"/>
                <w:color w:val="FFFFFF"/>
                <w:sz w:val="20"/>
                <w:szCs w:val="20"/>
              </w:rPr>
              <w:t xml:space="preserve">NMGDA.com is a private deal-sourcing platform for commercial real estate professionals — powered by the NEXUS CRE engine and HyperDAG Protocol. It solves three persistent frictions: slow underwriting, inaccessible street-level intelligence, and invisible capital. The underlying infrastructure is a 12-agent neuromorphic AI architecture (AI Trinity Symphony) with ANFIS intelligent routing delivering a confirmed 72.5% cost reduction, Byzantine Fault-Tolerant consensus requiring 3-of-5 agent agreement (ε=1e−8), and Zero-Knowledge privacy via Plonky3/STARK proofs with Dilithium post-quantum signatures. The marketplace runs on ERC-8004 agent identity and x402 micropayment rails on Base L2. RepID uses ERC-5114 soulbound tokens with cryptographic staking. Patent portfolio P-002 through P-013 protects methods and cross-vertical applicability across CRE, pharmaceutical trial matching, medical record privacy, and legal intelligence.</w:t>
            </w:r>
          </w:p>
          <w:p>
            <w:pPr>
              <w:spacing w:after="0" w:before="0"/>
            </w:pPr>
            <w:r>
              <w:rPr>
                <w:rFonts w:ascii="Calibri" w:cs="Calibri" w:eastAsia="Calibri" w:hAnsi="Calibri"/>
                <w:i/>
                <w:iCs/>
                <w:color w:val="B8860B"/>
                <w:sz w:val="18"/>
                <w:szCs w:val="18"/>
              </w:rPr>
              <w:t xml:space="preserve">CONFIDENTIAL — Provisional patents pending. Do not distribute without written consent.</w:t>
            </w:r>
          </w:p>
        </w:tc>
      </w:tr>
    </w:tbl>
    <w:p>
      <w:pPr>
        <w:spacing w:after="200" w:before="0"/>
      </w:pPr>
    </w:p>
    <w:p>
      <w:pPr>
        <w:spacing w:after="80" w:before="0"/>
      </w:pPr>
      <w:r>
        <w:rPr>
          <w:rFonts w:ascii="Georgia" w:cs="Georgia" w:eastAsia="Georgia" w:hAnsi="Georgia"/>
          <w:b/>
          <w:bCs/>
          <w:color w:val="0D2D52"/>
          <w:sz w:val="24"/>
          <w:szCs w:val="24"/>
        </w:rPr>
        <w:t xml:space="preserve">Reader’s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5200"/>
      </w:tblGrid>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
            </w:r>
          </w:p>
        </w:tc>
        <w:tc>
          <w:tcPr>
            <w:tcW w:type="dxa" w:w="3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Section</w:t>
            </w:r>
          </w:p>
        </w:tc>
        <w:tc>
          <w:tcPr>
            <w:tcW w:type="dxa" w:w="52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Primary Audience</w:t>
            </w:r>
          </w:p>
        </w:tc>
      </w:tr>
      <w:t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01</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The Problem: Three Frictions</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Brokers, Investors, Capital Deployers, Decision-Makers</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02</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Quantitative Foundations</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Quants, Data Scientists, Financial Engineers, Academics</w:t>
            </w:r>
          </w:p>
        </w:tc>
      </w:tr>
      <w:t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03</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Platform Architecture</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CTOs, Engineers, Technical Due Diligence Teams</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04</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Marketplace &amp; RepID</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CRE Professionals, Brokers, Analysts, Bird Dogs</w:t>
            </w:r>
          </w:p>
        </w:tc>
      </w:tr>
      <w:t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05</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DealPulse Notification Layer</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All Members — Operational Understanding</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06</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AI Safety &amp; Ethics</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Compliance, Institutional LPs, Governance Teams</w:t>
            </w:r>
          </w:p>
        </w:tc>
      </w:tr>
      <w:t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07</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Patent Portfolio &amp; Moats</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Legal Counsel, Licensing Partners</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08</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Use Cases &amp; ROI</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Business Development, Operators</w:t>
            </w:r>
          </w:p>
        </w:tc>
      </w:tr>
      <w:t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09</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Market Opportunity &amp; GTM</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Board, Strategic Partners</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10</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Roadmap &amp; Risk</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Technical Leadership, Board</w:t>
            </w:r>
          </w:p>
        </w:tc>
      </w:tr>
    </w:tbl>
    <w:p>
      <w:pPr>
        <w:spacing w:after="80" w:before="0"/>
      </w:pPr>
    </w:p>
    <w:p>
      <w:pPr>
        <w:spacing w:after="0" w:before="0"/>
      </w:pPr>
      <w:r>
        <w:rPr>
          <w:rFonts w:ascii="Calibri" w:cs="Calibri" w:eastAsia="Calibri" w:hAnsi="Calibri"/>
          <w:b/>
          <w:bCs/>
          <w:color w:val="1A56DB"/>
          <w:sz w:val="20"/>
          <w:szCs w:val="20"/>
        </w:rPr>
        <w:t xml:space="preserve">info@nmgda.com  ·  tech@nmgda.com  ·  NMGDA.com</w:t>
      </w:r>
    </w:p>
    <w:p>
      <w:pPr>
        <w:spacing w:after="0" w:before="0"/>
      </w:pPr>
      <w:r>
        <w:br w:type="page"/>
      </w:r>
    </w:p>
    <w:p>
      <w:pPr>
        <w:spacing w:after="60" w:before="360"/>
      </w:pPr>
      <w:r>
        <w:rPr>
          <w:rFonts w:ascii="Calibri" w:cs="Calibri" w:eastAsia="Calibri" w:hAnsi="Calibri"/>
          <w:b/>
          <w:bCs/>
          <w:color w:val="B8860B"/>
          <w:spacing w:val="120"/>
          <w:sz w:val="17"/>
          <w:szCs w:val="17"/>
        </w:rPr>
        <w:t xml:space="preserve">SECTION 01</w:t>
      </w:r>
    </w:p>
    <w:p>
      <w:pPr>
        <w:spacing w:after="120" w:before="0"/>
      </w:pPr>
      <w:r>
        <w:rPr>
          <w:rFonts w:ascii="Georgia" w:cs="Georgia" w:eastAsia="Georgia" w:hAnsi="Georgia"/>
          <w:b/>
          <w:bCs/>
          <w:color w:val="0D2D52"/>
          <w:sz w:val="52"/>
          <w:szCs w:val="52"/>
        </w:rPr>
        <w:t xml:space="preserve">The Problem: Three Frictions, Every Deal.</w:t>
      </w:r>
    </w:p>
    <w:p>
      <w:pPr>
        <w:pBdr>
          <w:bottom w:val="single" w:color="B8860B" w:sz="8" w:space="1"/>
        </w:pBdr>
        <w:spacing w:after="0" w:before="0"/>
      </w:pPr>
    </w:p>
    <w:p>
      <w:pPr>
        <w:spacing w:after="120" w:before="0"/>
      </w:pPr>
    </w:p>
    <w:p>
      <w:pPr>
        <w:spacing w:after="100" w:before="0"/>
      </w:pPr>
      <w:r>
        <w:rPr>
          <w:rFonts w:ascii="Calibri" w:cs="Calibri" w:eastAsia="Calibri" w:hAnsi="Calibri"/>
          <w:color w:val="1E293B"/>
          <w:sz w:val="23"/>
          <w:szCs w:val="23"/>
        </w:rPr>
        <w:t xml:space="preserve">You’ve already earned the intelligence, the network, and the track record. The infrastructure around you just hasn’t caught up. Commercial real estate runs on information asymmetry — and for three decades, the tools have gotten shinier without solving the friction that actually costs professionals the most.</w:t>
      </w:r>
    </w:p>
    <w:p>
      <w:pPr>
        <w:spacing w:after="160" w:before="0"/>
      </w:pPr>
      <w:r>
        <w:rPr>
          <w:rFonts w:ascii="Calibri" w:cs="Calibri" w:eastAsia="Calibri" w:hAnsi="Calibri"/>
          <w:color w:val="1E293B"/>
          <w:sz w:val="23"/>
          <w:szCs w:val="23"/>
        </w:rPr>
        <w:t xml:space="preserve">Every serious CRE professional has been in this position: the deal is real, the instinct is right, and the system — the data, the speed, the connection to the right capital — fails them at exactly the moment it matters. NMGDA was built for those moments.</w:t>
      </w:r>
    </w:p>
    <w:p>
      <w:pPr>
        <w:pBdr>
          <w:bottom w:val="single" w:color="B8860B" w:sz="3" w:space="4"/>
        </w:pBdr>
        <w:spacing w:after="100" w:before="220"/>
      </w:pPr>
      <w:r>
        <w:rPr>
          <w:rFonts w:ascii="Georgia" w:cs="Georgia" w:eastAsia="Georgia" w:hAnsi="Georgia"/>
          <w:b/>
          <w:bCs/>
          <w:color w:val="0D2D52"/>
          <w:sz w:val="32"/>
          <w:szCs w:val="32"/>
        </w:rPr>
        <w:t xml:space="preserve">1.1  You Can’t Move Fast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2D52" w:sz="8"/>
              <w:left w:val="single" w:color="0D2D52" w:sz="8"/>
              <w:bottom w:val="single" w:color="0D2D52" w:sz="8"/>
              <w:right w:val="single" w:color="0D2D52" w:sz="8"/>
            </w:tcBorders>
            <w:shd w:fill="F0FFF4" w:val="clear"/>
            <w:tcMar>
              <w:top w:type="dxa" w:w="160"/>
              <w:left w:type="dxa" w:w="200"/>
              <w:bottom w:type="dxa" w:w="160"/>
              <w:right w:type="dxa" w:w="200"/>
            </w:tcMar>
          </w:tcPr>
          <w:p>
            <w:pPr>
              <w:spacing w:after="40" w:before="0"/>
              <w:jc w:val="center"/>
            </w:pPr>
            <w:r>
              <w:rPr>
                <w:rFonts w:ascii="Georgia" w:cs="Georgia" w:eastAsia="Georgia" w:hAnsi="Georgia"/>
                <w:b/>
                <w:bCs/>
                <w:color w:val="8B1A1A"/>
                <w:sz w:val="72"/>
                <w:szCs w:val="72"/>
              </w:rPr>
              <w:t xml:space="preserve">72 hours</w:t>
            </w:r>
          </w:p>
          <w:p>
            <w:pPr>
              <w:spacing w:after="0" w:before="0"/>
              <w:jc w:val="center"/>
            </w:pPr>
            <w:r>
              <w:rPr>
                <w:rFonts w:ascii="Calibri" w:cs="Calibri" w:eastAsia="Calibri" w:hAnsi="Calibri"/>
                <w:color w:val="334155"/>
                <w:sz w:val="19"/>
                <w:szCs w:val="19"/>
              </w:rPr>
              <w:t xml:space="preserve">Average institutional underwriting time</w:t>
            </w:r>
          </w:p>
        </w:tc>
        <w:tc>
          <w:tcPr>
            <w:tcW w:type="dxa" w:w="4680"/>
            <w:tcBorders>
              <w:top w:val="single" w:color="0D2D52" w:sz="8"/>
              <w:left w:val="single" w:color="0D2D52" w:sz="8"/>
              <w:bottom w:val="single" w:color="0D2D52" w:sz="8"/>
              <w:right w:val="single" w:color="0D2D52" w:sz="8"/>
            </w:tcBorders>
            <w:shd w:fill="F0FFF4" w:val="clear"/>
            <w:tcMar>
              <w:top w:type="dxa" w:w="160"/>
              <w:left w:type="dxa" w:w="200"/>
              <w:bottom w:type="dxa" w:w="160"/>
              <w:right w:type="dxa" w:w="200"/>
            </w:tcMar>
          </w:tcPr>
          <w:p>
            <w:pPr>
              <w:spacing w:after="40" w:before="0"/>
              <w:jc w:val="center"/>
            </w:pPr>
            <w:r>
              <w:rPr>
                <w:rFonts w:ascii="Georgia" w:cs="Georgia" w:eastAsia="Georgia" w:hAnsi="Georgia"/>
                <w:b/>
                <w:bCs/>
                <w:color w:val="1A5C38"/>
                <w:sz w:val="72"/>
                <w:szCs w:val="72"/>
              </w:rPr>
              <w:t xml:space="preserve">27 minutes</w:t>
            </w:r>
          </w:p>
          <w:p>
            <w:pPr>
              <w:spacing w:after="0" w:before="0"/>
              <w:jc w:val="center"/>
            </w:pPr>
            <w:r>
              <w:rPr>
                <w:rFonts w:ascii="Calibri" w:cs="Calibri" w:eastAsia="Calibri" w:hAnsi="Calibri"/>
                <w:color w:val="334155"/>
                <w:sz w:val="19"/>
                <w:szCs w:val="19"/>
              </w:rPr>
              <w:t xml:space="preserve">NMGDA AI-verified analysis</w:t>
            </w:r>
          </w:p>
        </w:tc>
      </w:tr>
    </w:tbl>
    <w:p>
      <w:pPr>
        <w:spacing w:after="120" w:before="0"/>
      </w:pPr>
    </w:p>
    <w:p>
      <w:pPr>
        <w:spacing w:after="80" w:before="0"/>
      </w:pPr>
      <w:r>
        <w:rPr>
          <w:rFonts w:ascii="Calibri" w:cs="Calibri" w:eastAsia="Calibri" w:hAnsi="Calibri"/>
          <w:color w:val="1E293B"/>
          <w:sz w:val="22"/>
          <w:szCs w:val="22"/>
        </w:rPr>
        <w:t xml:space="preserve">The institutional standard for properly underwriting a commercial real estate deal — DCF modeling, waterfall analysis, rent roll verification, sensitivity testing — requires three to five business days. The best opportunities in private money CRE close in forty-eight hours or less. That gap is not a workflow problem. It is a technology gap. Manual data entry from rent rolls and T-12s introduces errors that cascade through models. Cap rate assumptions come from stale comparables or analyst memory. IRR projections are single-path, unverified, and siloed to one person’s spreadsheet.</w:t>
      </w:r>
    </w:p>
    <w:p>
      <w:pPr>
        <w:spacing w:after="0" w:before="0"/>
      </w:pPr>
      <w:r>
        <w:rPr>
          <w:rFonts w:ascii="Calibri" w:cs="Calibri" w:eastAsia="Calibri" w:hAnsi="Calibri"/>
          <w:color w:val="1E293B"/>
          <w:sz w:val="22"/>
          <w:szCs w:val="22"/>
        </w:rPr>
        <w:t xml:space="preserve">The NEXUS engine compresses this to 27 minutes through ANFIS routing, BFT consensus, and parallel agent execution — not shortcuts. Every output is dual-path verified. Every cap rate is GNN-grounded in verified comparable transactions. Every XIRR passes convergence tolerance ε=1e−8.</w:t>
      </w:r>
    </w:p>
    <w:p>
      <w:pPr>
        <w:pBdr>
          <w:bottom w:val="single" w:color="B8860B" w:sz="3" w:space="4"/>
        </w:pBdr>
        <w:spacing w:after="100" w:before="220"/>
      </w:pPr>
      <w:r>
        <w:rPr>
          <w:rFonts w:ascii="Georgia" w:cs="Georgia" w:eastAsia="Georgia" w:hAnsi="Georgia"/>
          <w:b/>
          <w:bCs/>
          <w:color w:val="0D2D52"/>
          <w:sz w:val="32"/>
          <w:szCs w:val="32"/>
        </w:rPr>
        <w:t xml:space="preserve">1.2  The Best Intelligence Isn’t For Sale</w:t>
      </w:r>
    </w:p>
    <w:p>
      <w:pPr>
        <w:spacing w:after="80" w:before="0"/>
      </w:pPr>
      <w:r>
        <w:rPr>
          <w:rFonts w:ascii="Calibri" w:cs="Calibri" w:eastAsia="Calibri" w:hAnsi="Calibri"/>
          <w:color w:val="1E293B"/>
          <w:sz w:val="22"/>
          <w:szCs w:val="22"/>
        </w:rPr>
        <w:t xml:space="preserve">The hard money lender who has closed forty deals in a single submarket knows which investors actually close on time, which brokers overstate rents, and what the real street-level cap rate is — not the published one. CoStar charges $50,000+ per year for data that experienced operators on the street already possess. That intelligence has always been worth more than any subscription — and it has never had a trusted, private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E8EDF8" w:val="clear"/>
            <w:tcMar>
              <w:top w:type="dxa" w:w="160"/>
              <w:left w:type="dxa" w:w="220"/>
              <w:bottom w:type="dxa" w:w="160"/>
              <w:right w:type="dxa" w:w="220"/>
            </w:tcMar>
          </w:tcPr>
          <w:p>
            <w:pPr>
              <w:spacing w:after="60" w:before="0"/>
            </w:pPr>
            <w:r>
              <w:rPr>
                <w:rFonts w:ascii="Georgia" w:cs="Georgia" w:eastAsia="Georgia" w:hAnsi="Georgia"/>
                <w:b/>
                <w:bCs/>
                <w:color w:val="0D2D52"/>
                <w:sz w:val="24"/>
                <w:szCs w:val="24"/>
              </w:rPr>
              <w:t xml:space="preserve">$50,000 / year</w:t>
            </w:r>
          </w:p>
          <w:p>
            <w:pPr>
              <w:spacing w:after="0" w:before="0"/>
            </w:pPr>
            <w:r>
              <w:rPr>
                <w:rFonts w:ascii="Calibri" w:cs="Calibri" w:eastAsia="Calibri" w:hAnsi="Calibri"/>
                <w:color w:val="1E293B"/>
                <w:sz w:val="21"/>
                <w:szCs w:val="21"/>
              </w:rPr>
              <w:t xml:space="preserve">Average annual CRE data subscription spend per professional. For market intelligence that experienced operators already possess — at street level, not published-index level. NMGDA lets operators monetize what they know, while buyers access GNN-verified intelligence at a fraction of the cost.</w:t>
            </w:r>
          </w:p>
        </w:tc>
      </w:tr>
    </w:tbl>
    <w:p>
      <w:pPr>
        <w:spacing w:after="120" w:before="0"/>
      </w:pPr>
    </w:p>
    <w:p>
      <w:pPr>
        <w:pBdr>
          <w:bottom w:val="single" w:color="B8860B" w:sz="3" w:space="4"/>
        </w:pBdr>
        <w:spacing w:after="100" w:before="220"/>
      </w:pPr>
      <w:r>
        <w:rPr>
          <w:rFonts w:ascii="Georgia" w:cs="Georgia" w:eastAsia="Georgia" w:hAnsi="Georgia"/>
          <w:b/>
          <w:bCs/>
          <w:color w:val="0D2D52"/>
          <w:sz w:val="32"/>
          <w:szCs w:val="32"/>
        </w:rPr>
        <w:t xml:space="preserve">1.3  The Right Capital Is Invisible</w:t>
      </w:r>
    </w:p>
    <w:p>
      <w:pPr>
        <w:spacing w:after="80" w:before="0"/>
      </w:pPr>
      <w:r>
        <w:rPr>
          <w:rFonts w:ascii="Calibri" w:cs="Calibri" w:eastAsia="Calibri" w:hAnsi="Calibri"/>
          <w:color w:val="1E293B"/>
          <w:sz w:val="22"/>
          <w:szCs w:val="22"/>
        </w:rPr>
        <w:t xml:space="preserve">Investors with serious private capital do not advertise that they are looking. The moment that becomes known, the calls are relentless — ninety percent of them from brokers who did not read their criteria. Capital sits quiet, waiting for the right deal to appear through the right relationship.</w:t>
      </w:r>
    </w:p>
    <w:p>
      <w:pPr>
        <w:spacing w:after="0" w:before="0"/>
      </w:pPr>
      <w:r>
        <w:rPr>
          <w:rFonts w:ascii="Calibri" w:cs="Calibri" w:eastAsia="Calibri" w:hAnsi="Calibri"/>
          <w:color w:val="1E293B"/>
          <w:sz w:val="22"/>
          <w:szCs w:val="22"/>
        </w:rPr>
        <w:t xml:space="preserve">On the other side, a broker with a genuine hard-money opportunity is running out of time and running out of network. Both sides want the same match. Neither has a safe, private way to find it without showing their hand. NMGDA’s ZK-matching layer solves this structurally: anonymous criteria posting, verified matching, mutual introduction only on mutual consent.</w:t>
      </w:r>
    </w:p>
    <w:p>
      <w:pPr>
        <w:pBdr>
          <w:left w:val="single" w:color="B8860B" w:sz="24" w:space="14"/>
        </w:pBdr>
        <w:spacing w:after="200" w:before="200"/>
        <w:ind w:left="640" w:right="640"/>
      </w:pPr>
      <w:r>
        <w:rPr>
          <w:rFonts w:ascii="Georgia" w:cs="Georgia" w:eastAsia="Georgia" w:hAnsi="Georgia"/>
          <w:b/>
          <w:bCs/>
          <w:i/>
          <w:iCs/>
          <w:color w:val="0D2D52"/>
          <w:sz w:val="26"/>
          <w:szCs w:val="26"/>
        </w:rPr>
        <w:t xml:space="preserve">“The professionals who know things have never had a trusted, private way to connect with the people who need to know things. Until now.”</w:t>
      </w:r>
    </w:p>
    <w:p>
      <w:pPr>
        <w:pBdr>
          <w:bottom w:val="single" w:color="B8860B" w:sz="3" w:space="4"/>
        </w:pBdr>
        <w:spacing w:after="100" w:before="220"/>
      </w:pPr>
      <w:r>
        <w:rPr>
          <w:rFonts w:ascii="Georgia" w:cs="Georgia" w:eastAsia="Georgia" w:hAnsi="Georgia"/>
          <w:b/>
          <w:bCs/>
          <w:color w:val="0D2D52"/>
          <w:sz w:val="32"/>
          <w:szCs w:val="32"/>
        </w:rPr>
        <w:t xml:space="preserve">1.4  Why Incumbents Cannot Solve This</w:t>
      </w:r>
    </w:p>
    <w:p>
      <w:pPr>
        <w:spacing w:after="100" w:before="0"/>
      </w:pPr>
      <w:r>
        <w:rPr>
          <w:rFonts w:ascii="Calibri" w:cs="Calibri" w:eastAsia="Calibri" w:hAnsi="Calibri"/>
          <w:color w:val="1E293B"/>
          <w:sz w:val="22"/>
          <w:szCs w:val="22"/>
        </w:rPr>
        <w:t xml:space="preserve">The problem is not lack of effort by the incumbents — it is lack of architecture. Privacy requires zero-knowledge cryptography that legacy platforms were not built with. Speed requires multi-agent parallel execution that monolithic SaaS cannot provide. Reputation requires on-chain non-transferable credentials that no incumbent has built. The table below maps each incumbent’s primary failure against the NMGDA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60"/>
        <w:gridCol w:w="2200"/>
        <w:gridCol w:w="2100"/>
        <w:gridCol w:w="900"/>
      </w:tblGrid>
      <w:tr>
        <w:tc>
          <w:tcPr>
            <w:tcW w:type="dxa" w:w="17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Incumbent</w:t>
            </w:r>
          </w:p>
        </w:tc>
        <w:tc>
          <w:tcPr>
            <w:tcW w:type="dxa" w:w="24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Job They’re Hired For</w:t>
            </w:r>
          </w:p>
        </w:tc>
        <w:tc>
          <w:tcPr>
            <w:tcW w:type="dxa" w:w="22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Primary Failure</w:t>
            </w:r>
          </w:p>
        </w:tc>
        <w:tc>
          <w:tcPr>
            <w:tcW w:type="dxa" w:w="21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NMGDA Resolution</w:t>
            </w:r>
          </w:p>
        </w:tc>
        <w:tc>
          <w:tcPr>
            <w:tcW w:type="dxa" w:w="9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CostΔ</w:t>
            </w:r>
          </w:p>
        </w:tc>
      </w:tr>
      <w:t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Argus Enterprise</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Model deals accurately (DCF/waterfall)</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3–5 days; $5K–15K/seat; manual errors; no verification layer</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27-min BFT-verified analysis; GNN-grounded cap rates; ε=1e−8 dual-path</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97%↓</w:t>
            </w:r>
          </w:p>
        </w:tc>
      </w:tr>
      <w:tr>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CoStar</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Access comparable transaction data fast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$50K+/yr; stale data; no privacy layer; lock-in model</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GNN comps via x402 (§ $0.05/query); ZK private comp submission</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99%↓</w:t>
            </w:r>
          </w:p>
        </w:tc>
      </w:tr>
      <w:t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LoopNet</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Expose listings and find matching deals</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Pay-to-be-seen; spammy leads; stale contacts; no verification</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ZK matching (no address required); AI Verified badge; Bumble mechanic</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100%↓</w:t>
            </w:r>
          </w:p>
        </w:tc>
      </w:tr>
      <w:tr>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CoreLogic</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Risk-assess a deal quickly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Enterprise pricing; mortgage-focused; not CRE-native</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ANFIS + Markov vacancy + BFT consensus; CRE-native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90%↓</w:t>
            </w:r>
          </w:p>
        </w:tc>
      </w:tr>
      <w:t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AppFolio</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Manage properties with AI automation</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No CRE investment analysis; no capital matching; no waterfall</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NEXUS DCF/waterfall engine; DealPulse capital matching</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N/A</w:t>
            </w:r>
          </w:p>
        </w:tc>
      </w:tr>
      <w:tr>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Zillow</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Find deals fast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Residential bias; 40–50% referral fees; no privacy</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ZK private matching; no referral cut; reputation-native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100%↓</w:t>
            </w:r>
          </w:p>
        </w:tc>
      </w:tr>
      <w:t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BlackKnight</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Loan compliance at scale</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Enterprise-only; mortgage-first; expensive</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W3C-CRE compliance agent; x402 micropayment; CRE-native</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85%↓</w:t>
            </w:r>
          </w:p>
        </w:tc>
      </w:tr>
    </w:tbl>
    <w:p>
      <w:pPr>
        <w:spacing w:after="80" w:before="0"/>
      </w:pPr>
    </w:p>
    <w:p>
      <w:pPr>
        <w:spacing w:after="140" w:before="0"/>
      </w:pPr>
      <w:r>
        <w:rPr>
          <w:rFonts w:ascii="Calibri" w:cs="Calibri" w:eastAsia="Calibri" w:hAnsi="Calibri"/>
          <w:i/>
          <w:iCs/>
          <w:color w:val="64748B"/>
          <w:sz w:val="18"/>
          <w:szCs w:val="18"/>
        </w:rPr>
        <w:t xml:space="preserve">CostΔ = cost reduction for equivalent capability vs. incumbent. 100%↓ = incumbent requires paid subscription; NMGDA equivalent is zero-subscription x402 micropayment.</w:t>
      </w:r>
    </w:p>
    <w:p>
      <w:pPr>
        <w:spacing w:after="0" w:before="0"/>
      </w:pPr>
      <w:r>
        <w:br w:type="page"/>
      </w:r>
    </w:p>
    <w:p>
      <w:pPr>
        <w:spacing w:after="60" w:before="360"/>
      </w:pPr>
      <w:r>
        <w:rPr>
          <w:rFonts w:ascii="Calibri" w:cs="Calibri" w:eastAsia="Calibri" w:hAnsi="Calibri"/>
          <w:b/>
          <w:bCs/>
          <w:color w:val="B8860B"/>
          <w:spacing w:val="120"/>
          <w:sz w:val="17"/>
          <w:szCs w:val="17"/>
        </w:rPr>
        <w:t xml:space="preserve">SECTION 02</w:t>
      </w:r>
    </w:p>
    <w:p>
      <w:pPr>
        <w:spacing w:after="120" w:before="0"/>
      </w:pPr>
      <w:r>
        <w:rPr>
          <w:rFonts w:ascii="Georgia" w:cs="Georgia" w:eastAsia="Georgia" w:hAnsi="Georgia"/>
          <w:b/>
          <w:bCs/>
          <w:color w:val="0D2D52"/>
          <w:sz w:val="52"/>
          <w:szCs w:val="52"/>
        </w:rPr>
        <w:t xml:space="preserve">Quantitative Foundations</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Every output from the NEXUS engine is mathematically grounded and dual-path verified. The platform does not hallucinate — it either converges to a verified answer within tolerance ε=1e−8, or escalates to human review rather than producing output. This section documents the full mathematical substrate. Quants and data scientists: this is what you should demand from any AI underwriting system before trusting it.</w:t>
      </w:r>
    </w:p>
    <w:p>
      <w:pPr>
        <w:pBdr>
          <w:bottom w:val="single" w:color="B8860B" w:sz="3" w:space="4"/>
        </w:pBdr>
        <w:spacing w:after="100" w:before="220"/>
      </w:pPr>
      <w:r>
        <w:rPr>
          <w:rFonts w:ascii="Georgia" w:cs="Georgia" w:eastAsia="Georgia" w:hAnsi="Georgia"/>
          <w:b/>
          <w:bCs/>
          <w:color w:val="0D2D52"/>
          <w:sz w:val="32"/>
          <w:szCs w:val="32"/>
        </w:rPr>
        <w:t xml:space="preserve">2.1  XIRR with Irregular Cash Flows</w:t>
      </w:r>
    </w:p>
    <w:p>
      <w:pPr>
        <w:spacing w:after="80" w:before="0"/>
      </w:pPr>
      <w:r>
        <w:rPr>
          <w:rFonts w:ascii="Calibri" w:cs="Calibri" w:eastAsia="Calibri" w:hAnsi="Calibri"/>
          <w:color w:val="1E293B"/>
          <w:sz w:val="22"/>
          <w:szCs w:val="22"/>
        </w:rPr>
        <w:t xml:space="preserve">Standard IRR assumes equal time periods. CRE deals have irregular acquisition, capex, and disposition dates. The NEXUS engine uses XIRR throughout — finding rate r such that net present value equals zero across all irregular cash flows:</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NPV(r) = Σᵢ CFᵢ / (1 + r)^((dᵢ − d₀) / 365) = 0</w:t>
      </w:r>
    </w:p>
    <w:p>
      <w:pPr>
        <w:spacing w:after="60" w:before="0"/>
      </w:pPr>
      <w:r>
        <w:rPr>
          <w:rFonts w:ascii="Calibri" w:cs="Calibri" w:eastAsia="Calibri" w:hAnsi="Calibri"/>
          <w:color w:val="1E293B"/>
          <w:sz w:val="22"/>
          <w:szCs w:val="22"/>
        </w:rPr>
        <w:t xml:space="preserve">where CFᵢ are cash flows, dᵢ are dates of each flow, and d₀ is the acquisition date. Solved via Newton-Raphson iteration:</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rₙ₊₁ = rₙ − NPV(rₙ) / NPV’(rₙ)</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NPV’(r) = −Σᵢ [(dᵢ−d₀)/365 · CFᵢ] / (1+r)^((dᵢ−d₀)/365 + 1)   |   ε = 1e−8</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E8EDF8" w:val="clear"/>
            <w:tcMar>
              <w:top w:type="dxa" w:w="160"/>
              <w:left w:type="dxa" w:w="220"/>
              <w:bottom w:type="dxa" w:w="160"/>
              <w:right w:type="dxa" w:w="220"/>
            </w:tcMar>
          </w:tcPr>
          <w:p>
            <w:pPr>
              <w:spacing w:after="60" w:before="0"/>
            </w:pPr>
            <w:r>
              <w:rPr>
                <w:rFonts w:ascii="Georgia" w:cs="Georgia" w:eastAsia="Georgia" w:hAnsi="Georgia"/>
                <w:b/>
                <w:bCs/>
                <w:color w:val="0D2D52"/>
                <w:sz w:val="24"/>
                <w:szCs w:val="24"/>
              </w:rPr>
              <w:t xml:space="preserve">Dual-Path BFT Guarantee</w:t>
            </w:r>
          </w:p>
          <w:p>
            <w:pPr>
              <w:spacing w:after="0" w:before="0"/>
            </w:pPr>
            <w:r>
              <w:rPr>
                <w:rFonts w:ascii="Calibri" w:cs="Calibri" w:eastAsia="Calibri" w:hAnsi="Calibri"/>
                <w:color w:val="1E293B"/>
                <w:sz w:val="21"/>
                <w:szCs w:val="21"/>
              </w:rPr>
              <w:t xml:space="preserve">NEXUS solves XIRR via Newton-Raphson AND via Brent’s method (guaranteed convergence on bracketed interval). If |r_NR − r_Brent| &gt; ε where ε = 1e−8, SHOFET-CRE issues a veto before any output is produced. For fund-level waterfalls with lookback provisions and clawback mechanics, NEXUS models the full promote structure as a DAG of conditional distributions, solving XIRR at each tier with the same convergence requirement.</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2.2  Probabilistic NOI with Markov Vacancy</w:t>
      </w:r>
    </w:p>
    <w:p>
      <w:pPr>
        <w:spacing w:after="80" w:before="0"/>
      </w:pPr>
      <w:r>
        <w:rPr>
          <w:rFonts w:ascii="Calibri" w:cs="Calibri" w:eastAsia="Calibri" w:hAnsi="Calibri"/>
          <w:color w:val="1E293B"/>
          <w:sz w:val="22"/>
          <w:szCs w:val="22"/>
        </w:rPr>
        <w:t xml:space="preserve">Argus models vacancy as a single flat rate. NEXUS models vacancy as a Markov chain over tenant states (occupied, month-to-month, vacant, in-leasing, in-default) with submarket-calibrated transition probabilities:</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P(Vₜ₊₁ = j | Vₜ = i) = Mᵢⱼ       where M = ⎡ 0.92  0.08 ⎤</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                                        ⎣ 0.65  0.35 ⎦</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E[NOIₜ] = Σⱼ P(Vₜ = j) · NOIⱼ(t) − CapExₜ</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P(Vₜ) = P(V₀) · Mᵗ   (matrix exponentiation, computed per tenant per lease term)</w:t>
      </w:r>
    </w:p>
    <w:p>
      <w:pPr>
        <w:spacing w:after="0" w:before="0"/>
      </w:pPr>
      <w:r>
        <w:rPr>
          <w:rFonts w:ascii="Calibri" w:cs="Calibri" w:eastAsia="Calibri" w:hAnsi="Calibri"/>
          <w:i/>
          <w:iCs/>
          <w:color w:val="334155"/>
          <w:sz w:val="21"/>
          <w:szCs w:val="21"/>
        </w:rPr>
        <w:t xml:space="preserve">Calibrated values above: occupied→vacant probability 8%, vacant→occupied probability 65% — submarket-specific and continuously updated from verified platform data. This produces expected NOI paths with proper uncertainty distributions, not single-point vacancy assumptions.</w:t>
      </w:r>
    </w:p>
    <w:p>
      <w:pPr>
        <w:pBdr>
          <w:bottom w:val="single" w:color="B8860B" w:sz="3" w:space="4"/>
        </w:pBdr>
        <w:spacing w:after="100" w:before="220"/>
      </w:pPr>
      <w:r>
        <w:rPr>
          <w:rFonts w:ascii="Georgia" w:cs="Georgia" w:eastAsia="Georgia" w:hAnsi="Georgia"/>
          <w:b/>
          <w:bCs/>
          <w:color w:val="0D2D52"/>
          <w:sz w:val="32"/>
          <w:szCs w:val="32"/>
        </w:rPr>
        <w:t xml:space="preserve">2.3  GNN-Based Cap Rate Estimation</w:t>
      </w:r>
    </w:p>
    <w:p>
      <w:pPr>
        <w:spacing w:after="80" w:before="0"/>
      </w:pPr>
      <w:r>
        <w:rPr>
          <w:rFonts w:ascii="Calibri" w:cs="Calibri" w:eastAsia="Calibri" w:hAnsi="Calibri"/>
          <w:color w:val="1E293B"/>
          <w:sz w:val="22"/>
          <w:szCs w:val="22"/>
        </w:rPr>
        <w:t xml:space="preserve">Cap rate selection is the single most influential assumption in a CRE DCF model. NEXUS uses a Graph Neural Network trained on verified comparable transactions. Each property is a node; edges are weighted by semantic similarity. Node embeddings propagate through the graph via:</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hᵥ⁺ ⁻ = σ(W⁺⁻ · CONCAT(hᵥ⁺⁻⁻¹, AGG({hᵤ⁺⁻⁻¹ : u ∈ N(v)})))</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sim(t, cₖ) = cos(hₜ, h_cₖ) = hₜ · h_cₖ / (||hₜ|| · ||h_cₖ||)</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wₖ = exp(−||hₜ − h_cₖ||  / 2σ )   [RBF kernel weighting]</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E[c_exit] = Σₖ wₖ · cₖ / Σₖ wₖ   [weighted comparable estimate]</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V_exit = NOIₜ₊₁ / c_exit ± zₐₙₐ/₂ · σₙ · NOIₜ₊₁ / c_exit²   [95% CI on exit value]</w:t>
      </w:r>
    </w:p>
    <w:p>
      <w:pPr>
        <w:spacing w:after="0" w:before="0"/>
      </w:pPr>
      <w:r>
        <w:rPr>
          <w:rFonts w:ascii="Calibri" w:cs="Calibri" w:eastAsia="Calibri" w:hAnsi="Calibri"/>
          <w:color w:val="1E293B"/>
          <w:sz w:val="22"/>
          <w:szCs w:val="22"/>
        </w:rPr>
        <w:t xml:space="preserve">GNN embedding features: submarket vector, property type, vintage, quality class, WALE, NOI per SF, cap rate. Every verified comparable submitted by a platform participant enriches the graph — a data flywheel where participation directly improves model accuracy.</w:t>
      </w:r>
    </w:p>
    <w:p>
      <w:pPr>
        <w:pBdr>
          <w:bottom w:val="single" w:color="B8860B" w:sz="3" w:space="4"/>
        </w:pBdr>
        <w:spacing w:after="100" w:before="220"/>
      </w:pPr>
      <w:r>
        <w:rPr>
          <w:rFonts w:ascii="Georgia" w:cs="Georgia" w:eastAsia="Georgia" w:hAnsi="Georgia"/>
          <w:b/>
          <w:bCs/>
          <w:color w:val="0D2D52"/>
          <w:sz w:val="32"/>
          <w:szCs w:val="32"/>
        </w:rPr>
        <w:t xml:space="preserve">2.4  LASSO Sensitivity Analysis</w:t>
      </w:r>
    </w:p>
    <w:p>
      <w:pPr>
        <w:spacing w:after="80" w:before="0"/>
      </w:pPr>
      <w:r>
        <w:rPr>
          <w:rFonts w:ascii="Calibri" w:cs="Calibri" w:eastAsia="Calibri" w:hAnsi="Calibri"/>
          <w:color w:val="1E293B"/>
          <w:sz w:val="22"/>
          <w:szCs w:val="22"/>
        </w:rPr>
        <w:t xml:space="preserve">IRR models have dozens of inputs. Most of them barely matter. LASSO regression (L1 regularization) identifies the five to eight inputs that actually drive the output. The L1 penalty forces non-material drivers to exactly zero, producing a clean sensitivity ranking that a quant committee can act on:</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β* = argminβ { ||y − Xβ||  + λ||β||_1 }</w:t>
      </w:r>
    </w:p>
    <w:p>
      <w:pPr>
        <w:spacing w:after="0" w:before="0"/>
      </w:pPr>
      <w:r>
        <w:rPr>
          <w:rFonts w:ascii="Calibri" w:cs="Calibri" w:eastAsia="Calibri" w:hAnsi="Calibri"/>
          <w:color w:val="1E293B"/>
          <w:sz w:val="22"/>
          <w:szCs w:val="22"/>
        </w:rPr>
        <w:t xml:space="preserve">where y is the vector of XIRR outputs across 1,000-path Monte Carlo scenarios, X is the matrix of input perturbations (rent growth, vacancy, cap rate, leverage, exit timing, OpEx), and β* identifies the sparse driver set. Example output to the analyst: “This deal’s IRR is primarily driven by exit cap rate (32%), Year 3 rent growth (21%), and initial vacancy burn-off timing (18%). Everything else is noise.”</w:t>
      </w:r>
    </w:p>
    <w:p>
      <w:pPr>
        <w:pBdr>
          <w:bottom w:val="single" w:color="B8860B" w:sz="3" w:space="4"/>
        </w:pBdr>
        <w:spacing w:after="100" w:before="220"/>
      </w:pPr>
      <w:r>
        <w:rPr>
          <w:rFonts w:ascii="Georgia" w:cs="Georgia" w:eastAsia="Georgia" w:hAnsi="Georgia"/>
          <w:b/>
          <w:bCs/>
          <w:color w:val="0D2D52"/>
          <w:sz w:val="32"/>
          <w:szCs w:val="32"/>
        </w:rPr>
        <w:t xml:space="preserve">2.5  ANFIS Intelligent Routing</w:t>
      </w:r>
    </w:p>
    <w:p>
      <w:pPr>
        <w:spacing w:after="80" w:before="0"/>
      </w:pPr>
      <w:r>
        <w:rPr>
          <w:rFonts w:ascii="Calibri" w:cs="Calibri" w:eastAsia="Calibri" w:hAnsi="Calibri"/>
          <w:color w:val="1E293B"/>
          <w:sz w:val="22"/>
          <w:szCs w:val="22"/>
        </w:rPr>
        <w:t xml:space="preserve">The ANFIS (Adaptive Neuro-Fuzzy Inference System) router is the cost-efficiency mechanism of the NEXUS engine. It routes each task to the minimum-cost model capable of handling it reliably, based on task complexity, required accuracy, and output type:</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f(x) = Σᵢ wᵢ · fᵢ(x) / Σᵢ wᵢ       where wᵢ = Πⱼ μ_Aᵢⱼ(xⱼ)</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μ_Aᵢⱼ(x) = 1 / [1 + |(x − cᵢⱼ) / aᵢⱼ|^(2bᵢⱼ)]   [generalized bell membership function]</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C_ANFIS = Σₜ [p_low(t)·c_SLM + p_mid(t)·c_sonnet + p_high(t)·c_opus]</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Savings% = (C_naive − C_ANFIS) / C_naive ≈ 72.5%   [φ = 1.61803398875 scaling factor]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60"/>
      </w:tblGrid>
      <w:tr>
        <w:tc>
          <w:tcPr>
            <w:tcW w:type="dxa" w:w="26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ANFIS Routing: Cost by Tier</w:t>
            </w:r>
          </w:p>
        </w:tc>
        <w:tc>
          <w:tcPr>
            <w:tcW w:type="dxa" w:w="54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Volume / Cost</w:t>
            </w:r>
          </w:p>
        </w:tc>
        <w:tc>
          <w:tcPr>
            <w:tcW w:type="dxa" w:w="136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pPr>
              <w:jc w:val="right"/>
            </w:pPr>
            <w:r>
              <w:rPr>
                <w:rFonts w:ascii="Calibri" w:cs="Calibri" w:eastAsia="Calibri" w:hAnsi="Calibri"/>
                <w:b/>
                <w:bCs/>
                <w:color w:val="FFFFFF"/>
                <w:sz w:val="19"/>
                <w:szCs w:val="19"/>
              </w:rPr>
              <w:t xml:space="preserve">Value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Utility (~80% volume)</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4160"/>
              <w:gridCol w:w="1040"/>
            </w:tblGrid>
            <w:tr>
              <w:tc>
                <w:tcPr>
                  <w:tcW w:type="dxa" w:w="4160"/>
                  <w:tcBorders>
                    <w:top w:val="none" w:color="FFFFFF" w:sz="0"/>
                    <w:left w:val="none" w:color="FFFFFF" w:sz="0"/>
                    <w:bottom w:val="none" w:color="FFFFFF" w:sz="0"/>
                    <w:right w:val="none" w:color="FFFFFF" w:sz="0"/>
                  </w:tcBorders>
                  <w:shd w:fill="1A5C38" w:val="clear"/>
                  <w:tcMar>
                    <w:top w:type="dxa" w:w="60"/>
                    <w:left w:type="dxa" w:w="0"/>
                    <w:bottom w:type="dxa" w:w="60"/>
                    <w:right w:type="dxa" w:w="0"/>
                  </w:tcMar>
                </w:tcPr>
                <w:p/>
              </w:tc>
              <w:tc>
                <w:tcPr>
                  <w:tcW w:type="dxa" w:w="1040"/>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1A5C38"/>
                <w:sz w:val="20"/>
                <w:szCs w:val="20"/>
              </w:rPr>
              <w:t xml:space="preserve">$0.27/M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Standard (~17% volume)</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884"/>
              <w:gridCol w:w="4316"/>
            </w:tblGrid>
            <w:tr>
              <w:tc>
                <w:tcPr>
                  <w:tcW w:type="dxa" w:w="884"/>
                  <w:tcBorders>
                    <w:top w:val="none" w:color="FFFFFF" w:sz="0"/>
                    <w:left w:val="none" w:color="FFFFFF" w:sz="0"/>
                    <w:bottom w:val="none" w:color="FFFFFF" w:sz="0"/>
                    <w:right w:val="none" w:color="FFFFFF" w:sz="0"/>
                  </w:tcBorders>
                  <w:shd w:fill="1A56DB" w:val="clear"/>
                  <w:tcMar>
                    <w:top w:type="dxa" w:w="60"/>
                    <w:left w:type="dxa" w:w="0"/>
                    <w:bottom w:type="dxa" w:w="60"/>
                    <w:right w:type="dxa" w:w="0"/>
                  </w:tcMar>
                </w:tcPr>
                <w:p/>
              </w:tc>
              <w:tc>
                <w:tcPr>
                  <w:tcW w:type="dxa" w:w="431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1A56DB"/>
                <w:sz w:val="20"/>
                <w:szCs w:val="20"/>
              </w:rPr>
              <w:t xml:space="preserve">$2.75/M</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Frontier (~3% volume)</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56"/>
              <w:gridCol w:w="5044"/>
            </w:tblGrid>
            <w:tr>
              <w:tc>
                <w:tcPr>
                  <w:tcW w:type="dxa" w:w="156"/>
                  <w:tcBorders>
                    <w:top w:val="none" w:color="FFFFFF" w:sz="0"/>
                    <w:left w:val="none" w:color="FFFFFF" w:sz="0"/>
                    <w:bottom w:val="none" w:color="FFFFFF" w:sz="0"/>
                    <w:right w:val="none" w:color="FFFFFF" w:sz="0"/>
                  </w:tcBorders>
                  <w:shd w:fill="8B1A1A" w:val="clear"/>
                  <w:tcMar>
                    <w:top w:type="dxa" w:w="60"/>
                    <w:left w:type="dxa" w:w="0"/>
                    <w:bottom w:type="dxa" w:w="60"/>
                    <w:right w:type="dxa" w:w="0"/>
                  </w:tcMar>
                </w:tcPr>
                <w:p/>
              </w:tc>
              <w:tc>
                <w:tcPr>
                  <w:tcW w:type="dxa" w:w="5044"/>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8B1A1A"/>
                <w:sz w:val="20"/>
                <w:szCs w:val="20"/>
              </w:rPr>
              <w:t xml:space="preserve">$15.00/M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Naive (all frontier)</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gridCol w:w="80"/>
            </w:tblGrid>
            <w:tr>
              <w:tc>
                <w:tcPr>
                  <w:tcW w:type="dxa" w:w="5200"/>
                  <w:tcBorders>
                    <w:top w:val="none" w:color="FFFFFF" w:sz="0"/>
                    <w:left w:val="none" w:color="FFFFFF" w:sz="0"/>
                    <w:bottom w:val="none" w:color="FFFFFF" w:sz="0"/>
                    <w:right w:val="none" w:color="FFFFFF" w:sz="0"/>
                  </w:tcBorders>
                  <w:shd w:fill="8B1A1A" w:val="clear"/>
                  <w:tcMar>
                    <w:top w:type="dxa" w:w="60"/>
                    <w:left w:type="dxa" w:w="0"/>
                    <w:bottom w:type="dxa" w:w="60"/>
                    <w:right w:type="dxa" w:w="0"/>
                  </w:tcMar>
                </w:tcP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8B1A1A"/>
                <w:sz w:val="20"/>
                <w:szCs w:val="20"/>
              </w:rPr>
              <w:t xml:space="preserve">$15.00/M</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2.6  Byzantine Fault-Tolerant Consensus</w:t>
      </w:r>
    </w:p>
    <w:p>
      <w:pPr>
        <w:spacing w:after="80" w:before="0"/>
      </w:pPr>
      <w:r>
        <w:rPr>
          <w:rFonts w:ascii="Calibri" w:cs="Calibri" w:eastAsia="Calibri" w:hAnsi="Calibri"/>
          <w:color w:val="1E293B"/>
          <w:sz w:val="22"/>
          <w:szCs w:val="22"/>
        </w:rPr>
        <w:t xml:space="preserve">No single agent output is published without consensus. NEXUS implements BFT across five validation agents, tolerating f≤1 faulty or hallucinating agent. The mathematical requirement:</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n ≥ 3f + 1   →   n=5, f=1   →   minimum 3-of-5 agreement required</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output_VALID  iff  |{aᵢ : agree(aᵢ, v)}| &gt; ⌊(n+f)/2⌋ = ⌊(5+1)/2⌋ = 3</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VETO  iff  ∃ aᵢ : dissent(aᵢ) ∧ confidence(aᵢ) &gt; θ_veto = 0.85</w:t>
      </w:r>
    </w:p>
    <w:p>
      <w:pPr>
        <w:spacing w:after="0" w:before="0"/>
      </w:pPr>
      <w:r>
        <w:rPr>
          <w:rFonts w:ascii="Calibri" w:cs="Calibri" w:eastAsia="Calibri" w:hAnsi="Calibri"/>
          <w:color w:val="1E293B"/>
          <w:sz w:val="21"/>
          <w:szCs w:val="21"/>
        </w:rPr>
        <w:t xml:space="preserve">The Pythagorean Comma Veto (θ=0.85) adds a third escalation tier: if a dissenting agent is highly confident it is correct and the majority is wrong, SHOFET-CRE issues a veto and the output escalates to human review rather than being suppressed. This prevents confident-minority errors — the failure mode where standard BFT alone would incorrectly suppress a correct outlier. Named for the Pythagorean comma: the harmonic “rounding error” that compounds into catastrophic discord.</w:t>
      </w:r>
    </w:p>
    <w:p>
      <w:pPr>
        <w:pBdr>
          <w:bottom w:val="single" w:color="B8860B" w:sz="3" w:space="4"/>
        </w:pBdr>
        <w:spacing w:after="100" w:before="220"/>
      </w:pPr>
      <w:r>
        <w:rPr>
          <w:rFonts w:ascii="Georgia" w:cs="Georgia" w:eastAsia="Georgia" w:hAnsi="Georgia"/>
          <w:b/>
          <w:bCs/>
          <w:color w:val="0D2D52"/>
          <w:sz w:val="32"/>
          <w:szCs w:val="32"/>
        </w:rPr>
        <w:t xml:space="preserve">2.7  Zero-Knowledge Proof Architecture</w:t>
      </w:r>
    </w:p>
    <w:p>
      <w:pPr>
        <w:spacing w:after="80" w:before="0"/>
      </w:pPr>
      <w:r>
        <w:rPr>
          <w:rFonts w:ascii="Calibri" w:cs="Calibri" w:eastAsia="Calibri" w:hAnsi="Calibri"/>
          <w:color w:val="1E293B"/>
          <w:sz w:val="22"/>
          <w:szCs w:val="22"/>
        </w:rPr>
        <w:t xml:space="preserve">Privacy on NMGDA is not a policy. It is mathematics. The ZK layer enables a party to prove a statement about their data without revealing the data. Formally:</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Prove: ∃ w s.t. C(x, w) = 1   where C = arithmetic circuit encoding DCF computation</w:t>
      </w:r>
    </w:p>
    <w:p>
      <w:pPr>
        <w:pBdr>
          <w:left w:val="single" w:color="1A56DB" w:sz="16" w:space="8"/>
        </w:pBdr>
        <w:shd w:fill="F8FAFC" w:val="clear"/>
        <w:spacing w:after="80" w:before="80"/>
        <w:ind w:left="680"/>
      </w:pPr>
      <w:r>
        <w:rPr>
          <w:rFonts w:ascii="Courier New" w:cs="Courier New" w:eastAsia="Courier New" w:hAnsi="Courier New"/>
          <w:color w:val="0D2D52"/>
          <w:sz w:val="21"/>
          <w:szCs w:val="21"/>
        </w:rPr>
        <w:t xml:space="preserve">x = public (IRR threshold, property class)   |   w = private (assumptions, rent roll, debt terms)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2760"/>
        <w:gridCol w:w="1000"/>
      </w:tblGrid>
      <w:tr>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ZK Type</w:t>
            </w:r>
          </w:p>
        </w:tc>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Proof Size</w:t>
            </w:r>
          </w:p>
        </w:tc>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Gen Time</w:t>
            </w:r>
          </w:p>
        </w:tc>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Quantum Safe</w:t>
            </w:r>
          </w:p>
        </w:tc>
        <w:tc>
          <w:tcPr>
            <w:tcW w:type="dxa" w:w="27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Best CRE Use Case</w:t>
            </w:r>
          </w:p>
        </w:tc>
        <w:tc>
          <w:tcPr>
            <w:tcW w:type="dxa" w:w="1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Phase</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zk-SNARK</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288 bytes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~55ms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8B1A1A"/>
                <w:sz w:val="20"/>
                <w:szCs w:val="20"/>
              </w:rPr>
              <w:t xml:space="preserve">❌ ECC</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Single-asset DCF proof, cap rate attestation</w:t>
            </w:r>
          </w:p>
        </w:tc>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zk-STARK</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45–150 KB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~472ms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A5C38"/>
                <w:sz w:val="20"/>
                <w:szCs w:val="20"/>
              </w:rPr>
              <w:t xml:space="preserve">✅ hash</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Portfolio waterfall, bird dog lead privacy, LP data</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2</w:t>
            </w:r>
          </w:p>
        </w:tc>
      </w:tr>
      <w:t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Plonky3</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~1–5 KB</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~80ms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Partial</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Mid-complexity: lease abstracts, comp clusters</w:t>
            </w:r>
          </w:p>
        </w:tc>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w:t>
            </w:r>
          </w:p>
        </w:tc>
      </w:tr>
      <w:t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Plonky3 + Dilithium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~2–7 KB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~120ms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A5C38"/>
                <w:sz w:val="20"/>
                <w:szCs w:val="20"/>
              </w:rPr>
              <w:t xml:space="preserve">✅ lattice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Production institutional-grade (Phase 3+)</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3</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03</w:t>
      </w:r>
    </w:p>
    <w:p>
      <w:pPr>
        <w:spacing w:after="120" w:before="0"/>
      </w:pPr>
      <w:r>
        <w:rPr>
          <w:rFonts w:ascii="Georgia" w:cs="Georgia" w:eastAsia="Georgia" w:hAnsi="Georgia"/>
          <w:b/>
          <w:bCs/>
          <w:color w:val="0D2D52"/>
          <w:sz w:val="52"/>
          <w:szCs w:val="52"/>
        </w:rPr>
        <w:t xml:space="preserve">Platform Architecture</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The NEXUS CRE engine is built on AI Trinity Symphony — a 12-agent neuromorphic architecture organized as a 3×3+3 structure modeled on the layered processing of biological neural systems. Three operational squads provide sensory input, interneuron processing, and motor output; three orchestration agents coordinate, adjudicate, and settle. The architecture is deployed on Railway with 53 shared environment variables across 18 LLM providers, backed by Supabase PostgreSQL (276 tables, 281,100 daily REST requests confirmed active).</w:t>
      </w:r>
    </w:p>
    <w:p>
      <w:pPr>
        <w:pBdr>
          <w:bottom w:val="single" w:color="B8860B" w:sz="3" w:space="4"/>
        </w:pBdr>
        <w:spacing w:after="100" w:before="220"/>
      </w:pPr>
      <w:r>
        <w:rPr>
          <w:rFonts w:ascii="Georgia" w:cs="Georgia" w:eastAsia="Georgia" w:hAnsi="Georgia"/>
          <w:b/>
          <w:bCs/>
          <w:color w:val="0D2D52"/>
          <w:sz w:val="32"/>
          <w:szCs w:val="32"/>
        </w:rPr>
        <w:t xml:space="preserve">3.1  The 3×3+3 Neuromorphic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600"/>
      </w:tblGrid>
      <w:t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Squad</w:t>
            </w:r>
          </w:p>
        </w:tc>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Analogy</w:t>
            </w:r>
          </w:p>
        </w:tc>
        <w:tc>
          <w:tcPr>
            <w:tcW w:type="dxa" w:w="2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Agents</w:t>
            </w:r>
          </w:p>
        </w:tc>
        <w:tc>
          <w:tcPr>
            <w:tcW w:type="dxa" w:w="36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Primary Function</w:t>
            </w:r>
          </w:p>
        </w:tc>
      </w:tr>
      <w:t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ALPHA</w:t>
            </w:r>
          </w:p>
        </w:tc>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Sensory Cortex</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INTAKE, MARKET, SENSOR</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INTAKE: OCR rent roll extraction &lt;90s, structured output. MARKET: Real-time CoStar, MSCI, FRED pulls. SENSOR: Live deal performance monitoring, actual vs. underwritten variance alerting.</w:t>
            </w:r>
          </w:p>
        </w:tc>
      </w:tr>
      <w:tr>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BETA</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Interneuron Layer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SOPHIA, VERITAS, NEXUS</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SOPHIA: Truth validation and hallucination detection. VERITAS: Dual-path mathematical cross-validation (ε=1e−8). NEXUS: GNN semantic comparable graph, submarket intelligence.</w:t>
            </w:r>
          </w:p>
        </w:tc>
      </w:tr>
      <w:t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GAMMA</w:t>
            </w:r>
          </w:p>
        </w:tc>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Motor Neuron Layer</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TORCH, STRUCTUR, HERALD</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TORCH: IC memo and investment narrative generation. STRUCTUR: Debt structure modeling (5–10 scenarios per deal). HERALD: DSCR threshold monitoring, lender alert distribution.</w:t>
            </w:r>
          </w:p>
        </w:tc>
      </w:tr>
      <w:tr>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ORCH +3</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Orchestration</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ORCH-CRE, SHOFET-CRE, W3C-CRE</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ORCH-CRE: Task routing and squad coordination via HyperDAG. SHOFET-CRE: BFT adjudication and Pythagorean Comma Veto. W3C-CRE: ERC-8004 identity, x402 payment rails, RepID protocol.</w:t>
            </w:r>
          </w:p>
        </w:tc>
      </w:tr>
    </w:tbl>
    <w:p>
      <w:pPr>
        <w:spacing w:after="100" w:before="0"/>
      </w:pPr>
    </w:p>
    <w:p>
      <w:pPr>
        <w:pBdr>
          <w:bottom w:val="single" w:color="B8860B" w:sz="3" w:space="4"/>
        </w:pBdr>
        <w:spacing w:after="100" w:before="220"/>
      </w:pPr>
      <w:r>
        <w:rPr>
          <w:rFonts w:ascii="Georgia" w:cs="Georgia" w:eastAsia="Georgia" w:hAnsi="Georgia"/>
          <w:b/>
          <w:bCs/>
          <w:color w:val="0D2D52"/>
          <w:sz w:val="32"/>
          <w:szCs w:val="32"/>
        </w:rPr>
        <w:t xml:space="preserve">3.2  HyperDAG Workflow Engine</w:t>
      </w:r>
    </w:p>
    <w:p>
      <w:pPr>
        <w:spacing w:after="80" w:before="0"/>
      </w:pPr>
      <w:r>
        <w:rPr>
          <w:rFonts w:ascii="Calibri" w:cs="Calibri" w:eastAsia="Calibri" w:hAnsi="Calibri"/>
          <w:color w:val="1E293B"/>
          <w:sz w:val="22"/>
          <w:szCs w:val="22"/>
        </w:rPr>
        <w:t xml:space="preserve">Agent tasks are organized as a Directed Acyclic Graph — not a sequential pipeline. This enables parallel execution of independent tasks, strict dependency tracking, and conditional branching when consensus fails. Each DAG node produces a ZK proof of its output, allowing downstream agents to verify upstream work without re-executing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single" w:color="1A56DB" w:sz="6"/>
              <w:right w:val="none" w:color="FFFFFF" w:sz="0"/>
            </w:tcBorders>
            <w:shd w:fill="F8FAFC" w:val="clear"/>
            <w:tcMar>
              <w:top w:type="dxa" w:w="140"/>
              <w:left w:type="dxa" w:w="200"/>
              <w:bottom w:type="dxa" w:w="140"/>
              <w:right w:type="dxa" w:w="200"/>
            </w:tcMar>
          </w:tcPr>
          <w:p>
            <w:pPr>
              <w:spacing w:after="20" w:before="0"/>
            </w:pPr>
            <w:r>
              <w:rPr>
                <w:rFonts w:ascii="Courier New" w:cs="Courier New" w:eastAsia="Courier New" w:hAnsi="Courier New"/>
                <w:color w:val="334155"/>
                <w:sz w:val="19"/>
                <w:szCs w:val="19"/>
              </w:rPr>
              <w:t xml:space="preserve">// HyperDAG node — each node produces a ZK proof on completion</w:t>
            </w:r>
          </w:p>
          <w:p>
            <w:pPr>
              <w:spacing w:after="20" w:before="0"/>
            </w:pPr>
            <w:r>
              <w:rPr>
                <w:rFonts w:ascii="Courier New" w:cs="Courier New" w:eastAsia="Courier New" w:hAnsi="Courier New"/>
                <w:color w:val="334155"/>
                <w:sz w:val="19"/>
                <w:szCs w:val="19"/>
              </w:rPr>
              <w:t xml:space="preserve">interface DAGNode {</w:t>
            </w:r>
          </w:p>
          <w:p>
            <w:pPr>
              <w:spacing w:after="20" w:before="0"/>
            </w:pPr>
            <w:r>
              <w:rPr>
                <w:rFonts w:ascii="Courier New" w:cs="Courier New" w:eastAsia="Courier New" w:hAnsi="Courier New"/>
                <w:color w:val="334155"/>
                <w:sz w:val="19"/>
                <w:szCs w:val="19"/>
              </w:rPr>
              <w:t xml:space="preserve">  agentId:          string;          // e.g. 'BETA-VERITAS'</w:t>
            </w:r>
          </w:p>
          <w:p>
            <w:pPr>
              <w:spacing w:after="20" w:before="0"/>
            </w:pPr>
            <w:r>
              <w:rPr>
                <w:rFonts w:ascii="Courier New" w:cs="Courier New" w:eastAsia="Courier New" w:hAnsi="Courier New"/>
                <w:color w:val="334155"/>
                <w:sz w:val="19"/>
                <w:szCs w:val="19"/>
              </w:rPr>
              <w:t xml:space="preserve">  task:             AnalysisTask;</w:t>
            </w:r>
          </w:p>
          <w:p>
            <w:pPr>
              <w:spacing w:after="20" w:before="0"/>
            </w:pPr>
            <w:r>
              <w:rPr>
                <w:rFonts w:ascii="Courier New" w:cs="Courier New" w:eastAsia="Courier New" w:hAnsi="Courier New"/>
                <w:color w:val="334155"/>
                <w:sz w:val="19"/>
                <w:szCs w:val="19"/>
              </w:rPr>
              <w:t xml:space="preserve">  dependencies:     string[];        // upstream node IDs must complete first</w:t>
            </w:r>
          </w:p>
          <w:p>
            <w:pPr>
              <w:spacing w:after="20" w:before="0"/>
            </w:pPr>
            <w:r>
              <w:rPr>
                <w:rFonts w:ascii="Courier New" w:cs="Courier New" w:eastAsia="Courier New" w:hAnsi="Courier New"/>
                <w:color w:val="334155"/>
                <w:sz w:val="19"/>
                <w:szCs w:val="19"/>
              </w:rPr>
              <w:t xml:space="preserve">  zkProof?:         PlonkyProof;     // proof generated on completion</w:t>
            </w:r>
          </w:p>
          <w:p>
            <w:pPr>
              <w:spacing w:after="20" w:before="0"/>
            </w:pPr>
            <w:r>
              <w:rPr>
                <w:rFonts w:ascii="Courier New" w:cs="Courier New" w:eastAsia="Courier New" w:hAnsi="Courier New"/>
                <w:color w:val="334155"/>
                <w:sz w:val="19"/>
                <w:szCs w:val="19"/>
              </w:rPr>
              <w:t xml:space="preserve">  consensusRequired:boolean;         // routes through BFT if true</w:t>
            </w:r>
          </w:p>
          <w:p>
            <w:pPr>
              <w:spacing w:after="20" w:before="0"/>
            </w:pPr>
            <w:r>
              <w:rPr>
                <w:rFonts w:ascii="Courier New" w:cs="Courier New" w:eastAsia="Courier New" w:hAnsi="Courier New"/>
                <w:color w:val="334155"/>
                <w:sz w:val="19"/>
                <w:szCs w:val="19"/>
              </w:rPr>
              <w:t xml:space="preserve">}</w:t>
            </w:r>
          </w:p>
          <w:p>
            <w:pPr>
              <w:spacing w:after="20" w:before="0"/>
            </w:pPr>
            <w:r>
              <w:rPr>
                <w:rFonts w:ascii="Courier New" w:cs="Courier New" w:eastAsia="Courier New" w:hAnsi="Courier New"/>
                <w:color w:val="334155"/>
                <w:sz w:val="19"/>
                <w:szCs w:val="19"/>
              </w:rPr>
              <w:t xml:space="preserve"/>
            </w:r>
          </w:p>
          <w:p>
            <w:pPr>
              <w:spacing w:after="20" w:before="0"/>
            </w:pPr>
            <w:r>
              <w:rPr>
                <w:rFonts w:ascii="Courier New" w:cs="Courier New" w:eastAsia="Courier New" w:hAnsi="Courier New"/>
                <w:color w:val="334155"/>
                <w:sz w:val="19"/>
                <w:szCs w:val="19"/>
              </w:rPr>
              <w:t xml:space="preserve">async function executeNode(node: DAGNode): Promise&lt;NodeResult&gt; {</w:t>
            </w:r>
          </w:p>
          <w:p>
            <w:pPr>
              <w:spacing w:after="20" w:before="0"/>
            </w:pPr>
            <w:r>
              <w:rPr>
                <w:rFonts w:ascii="Courier New" w:cs="Courier New" w:eastAsia="Courier New" w:hAnsi="Courier New"/>
                <w:color w:val="334155"/>
                <w:sz w:val="19"/>
                <w:szCs w:val="19"/>
              </w:rPr>
              <w:t xml:space="preserve">  await verifyUpstreamProofs(node.dependencies);  // verify, not re-execute</w:t>
            </w:r>
          </w:p>
          <w:p>
            <w:pPr>
              <w:spacing w:after="20" w:before="0"/>
            </w:pPr>
            <w:r>
              <w:rPr>
                <w:rFonts w:ascii="Courier New" w:cs="Courier New" w:eastAsia="Courier New" w:hAnsi="Courier New"/>
                <w:color w:val="334155"/>
                <w:sz w:val="19"/>
                <w:szCs w:val="19"/>
              </w:rPr>
              <w:t xml:space="preserve">  const result = await node.agent.run(node.task);</w:t>
            </w:r>
          </w:p>
          <w:p>
            <w:pPr>
              <w:spacing w:after="20" w:before="0"/>
            </w:pPr>
            <w:r>
              <w:rPr>
                <w:rFonts w:ascii="Courier New" w:cs="Courier New" w:eastAsia="Courier New" w:hAnsi="Courier New"/>
                <w:color w:val="334155"/>
                <w:sz w:val="19"/>
                <w:szCs w:val="19"/>
              </w:rPr>
              <w:t xml:space="preserve">  return { ...result, zkProof: await plonky3.prove(result) };</w:t>
            </w:r>
          </w:p>
          <w:p>
            <w:pPr>
              <w:spacing w:after="20" w:before="0"/>
            </w:pPr>
            <w:r>
              <w:rPr>
                <w:rFonts w:ascii="Courier New" w:cs="Courier New" w:eastAsia="Courier New" w:hAnsi="Courier New"/>
                <w:color w:val="334155"/>
                <w:sz w:val="19"/>
                <w:szCs w:val="19"/>
              </w:rPr>
              <w:t xml:space="preserve">}</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3.3  Web3 Infrastructure: ERC-8004 &amp; x402</w:t>
      </w:r>
    </w:p>
    <w:p>
      <w:pPr>
        <w:spacing w:after="80" w:before="0"/>
      </w:pPr>
      <w:r>
        <w:rPr>
          <w:rFonts w:ascii="Calibri" w:cs="Calibri" w:eastAsia="Calibri" w:hAnsi="Calibri"/>
          <w:color w:val="1E293B"/>
          <w:sz w:val="22"/>
          <w:szCs w:val="22"/>
        </w:rPr>
        <w:t xml:space="preserve">On-chain infrastructure runs on Base L2 (Coinbase’s Ethereum L2) for EVM compatibility at a fraction of mainnet gas cost. Two protocols govern agent identity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Protocol</w:t>
            </w:r>
          </w:p>
        </w:tc>
        <w:tc>
          <w:tcPr>
            <w:tcW w:type="dxa" w:w="75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Function</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ERC-8004</w:t>
            </w:r>
          </w:p>
        </w:tc>
        <w:tc>
          <w:tcPr>
            <w:tcW w:type="dxa" w:w="7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On-chain identity and reputation for AI agents. Each NEXUS agent carries a registered ERC-8004 identity — counterparties can verify which agents participated in an analysis, their consensus history, and their accuracy record, on-chain and independently auditable. Co-authored standard with MetaMask, Ethereum Foundation, Google, and Coinbase.</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x402</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HTTP-native micropayment protocol over standard HTTP 402 status. Every API endpoint is priced per-use. No monthly billing, no invoices, no accounts payable. A broker pays for exactly what they use via USDC on Base. ANFIS dynamically adjusts pricing at runtime based on load and model tier.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API Endpoint</w:t>
            </w:r>
          </w:p>
        </w:tc>
        <w:tc>
          <w:tcPr>
            <w:tcW w:type="dxa" w:w="20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Price</w:t>
            </w:r>
          </w:p>
        </w:tc>
        <w:tc>
          <w:tcPr>
            <w:tcW w:type="dxa" w:w="20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ZK Proof</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/extract/rent-roll</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$0.25 / document</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OCR + structured data extraction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/comps/submarket</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$0.005 / query</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Submarket comp fast query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/model/dcf/simple</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$0.02 / scenario</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Single DCF with XIRR</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Optional</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/model/dcf/waterfall</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$0.15 / scenario</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Full waterfall with BFT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Included</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/report/ic-memo</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$2.50 / report</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Bank-ready IC memo, full narrative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Included</w:t>
            </w:r>
          </w:p>
        </w:tc>
      </w:tr>
      <w:t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/verify/repid</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$0.03 / verification</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RepID threshold proof — ZK, no history revealed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Required</w:t>
            </w:r>
          </w:p>
        </w:tc>
      </w:tr>
      <w:t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/marketplace/comp</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$0.10 / access</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Verified comp data from GNN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Optional</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Layer</w:t>
            </w:r>
          </w:p>
        </w:tc>
        <w:tc>
          <w:tcPr>
            <w:tcW w:type="dxa" w:w="65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Technology</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Financial Engine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Python: NumPy, SciPy, Pandas, Prophet — XIRR, GNN, LASSO, Markov</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AI / ANFIS / GNN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PyTorch + LangGraph + scikit-learn — ANFIS routing, GNN embeddings, 18 LLM providers</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Agent Framework</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FastAPI microservices + Go high-throughput services — Railway deployment, 12 agents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x402 Payment Rails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TypeScript / Bun + Base L2 (Coinbase) — HTTP-native micropayments in USDC</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On-Chain Identity</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Solidity: ERC-8004 agent identity, ERC-5114 RepID SBTs — Base Sepolia</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Frontend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React + TypeScript + Tailwind CSS — mobile-first, no-wallet-required UX</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Primary Database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PostgreSQL + Supabase — 276 tables, 281K daily REST requests confirmed active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Caching / Messaging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Dragonfly DB + Upstash Redis — exponential backoff, Telegram alerting</w:t>
            </w:r>
          </w:p>
        </w:tc>
      </w:tr>
      <w:t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 Engine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Plonky3 (Phase 1) → zk-STARKs (Phase 2) → CRYSTALS-Dilithium (Phase 3)</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LLM Routing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18 providers via ANFIS router — 72.5% confirmed cost reduction vs. naive frontier</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04</w:t>
      </w:r>
    </w:p>
    <w:p>
      <w:pPr>
        <w:spacing w:after="120" w:before="0"/>
      </w:pPr>
      <w:r>
        <w:rPr>
          <w:rFonts w:ascii="Georgia" w:cs="Georgia" w:eastAsia="Georgia" w:hAnsi="Georgia"/>
          <w:b/>
          <w:bCs/>
          <w:color w:val="0D2D52"/>
          <w:sz w:val="52"/>
          <w:szCs w:val="52"/>
        </w:rPr>
        <w:t xml:space="preserve">Marketplace &amp; RepID</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NMGDA is not a listing platform. It is not a CRM. It is not a data subscription. It is a connection layer — between verified deals and verified capital, between verified intelligence and the professionals who need it, between reputation earned and reputation recognized. The marketplace is the infrastructure. RepID is what makes it trustworthy.</w:t>
      </w:r>
    </w:p>
    <w:p>
      <w:pPr>
        <w:pBdr>
          <w:bottom w:val="single" w:color="B8860B" w:sz="3" w:space="4"/>
        </w:pBdr>
        <w:spacing w:after="100" w:before="220"/>
      </w:pPr>
      <w:r>
        <w:rPr>
          <w:rFonts w:ascii="Georgia" w:cs="Georgia" w:eastAsia="Georgia" w:hAnsi="Georgia"/>
          <w:b/>
          <w:bCs/>
          <w:color w:val="0D2D52"/>
          <w:sz w:val="32"/>
          <w:szCs w:val="32"/>
        </w:rPr>
        <w:t xml:space="preserve">4.1  The Bumble Mechanic</w:t>
      </w:r>
    </w:p>
    <w:p>
      <w:pPr>
        <w:spacing w:after="80" w:before="0"/>
      </w:pPr>
      <w:r>
        <w:rPr>
          <w:rFonts w:ascii="Calibri" w:cs="Calibri" w:eastAsia="Calibri" w:hAnsi="Calibri"/>
          <w:color w:val="1E293B"/>
          <w:sz w:val="22"/>
          <w:szCs w:val="22"/>
        </w:rPr>
        <w:t xml:space="preserve">Capital-side participants initiate introductions. Deal-side participants post. This asymmetry is structural and intentional: there will always be more deals seeking capital than capital seeking deals. Putting matching power on the scarce side ensures every outreach a broker receives reflects genuine intent.</w:t>
      </w:r>
    </w:p>
    <w:p>
      <w:pPr>
        <w:spacing w:after="0" w:before="0"/>
      </w:pPr>
      <w:r>
        <w:rPr>
          <w:rFonts w:ascii="Calibri" w:cs="Calibri" w:eastAsia="Calibri" w:hAnsi="Calibri"/>
          <w:color w:val="1E293B"/>
          <w:sz w:val="22"/>
          <w:szCs w:val="22"/>
        </w:rPr>
        <w:t xml:space="preserve">When a capital deployer’s ZK-committed criteria match a deal in the system, they see the deal’s characteristics — market, asset type, size, structure, target returns, AI Verification status — but not the deal’s address, the broker’s name, or any identifying information. Only when both sides choose to connect does the mutual introduction occur. Until then, both parties remain anonymous.</w:t>
      </w:r>
    </w:p>
    <w:p>
      <w:pPr>
        <w:pBdr>
          <w:bottom w:val="single" w:color="B8860B" w:sz="3" w:space="4"/>
        </w:pBdr>
        <w:spacing w:after="100" w:before="220"/>
      </w:pPr>
      <w:r>
        <w:rPr>
          <w:rFonts w:ascii="Georgia" w:cs="Georgia" w:eastAsia="Georgia" w:hAnsi="Georgia"/>
          <w:b/>
          <w:bCs/>
          <w:color w:val="0D2D52"/>
          <w:sz w:val="32"/>
          <w:szCs w:val="32"/>
        </w:rPr>
        <w:t xml:space="preserve">4.2  The AI Verified Badge</w:t>
      </w:r>
    </w:p>
    <w:p>
      <w:pPr>
        <w:spacing w:after="0" w:before="0"/>
      </w:pPr>
      <w:r>
        <w:rPr>
          <w:rFonts w:ascii="Calibri" w:cs="Calibri" w:eastAsia="Calibri" w:hAnsi="Calibri"/>
          <w:color w:val="1E293B"/>
          <w:sz w:val="22"/>
          <w:szCs w:val="22"/>
        </w:rPr>
        <w:t xml:space="preserve">Earned by submitting a rent roll, T-12, and OM for NEXUS engine verification. The badge signals that the deal’s financial assumptions have passed BFT consensus, the cap rate estimate is GNN-grounded, and the XIRR has passed dual-path convergence. AI Verified listings receive priority placement in matching. For capital deployers reviewing 8–40 inbound pitches per week, the badge is the first filter: it means the numbers were checked by something other than the person who wants the check to clear.</w:t>
      </w:r>
    </w:p>
    <w:p>
      <w:pPr>
        <w:pBdr>
          <w:bottom w:val="single" w:color="B8860B" w:sz="3" w:space="4"/>
        </w:pBdr>
        <w:spacing w:after="100" w:before="220"/>
      </w:pPr>
      <w:r>
        <w:rPr>
          <w:rFonts w:ascii="Georgia" w:cs="Georgia" w:eastAsia="Georgia" w:hAnsi="Georgia"/>
          <w:b/>
          <w:bCs/>
          <w:color w:val="0D2D52"/>
          <w:sz w:val="32"/>
          <w:szCs w:val="32"/>
        </w:rPr>
        <w:t xml:space="preserve">4.3  Bird Dog Monetization &amp; Founding Cohort Multiplier</w:t>
      </w:r>
    </w:p>
    <w:p>
      <w:pPr>
        <w:spacing w:after="80" w:before="0"/>
      </w:pPr>
      <w:r>
        <w:rPr>
          <w:rFonts w:ascii="Calibri" w:cs="Calibri" w:eastAsia="Calibri" w:hAnsi="Calibri"/>
          <w:color w:val="1E293B"/>
          <w:sz w:val="22"/>
          <w:szCs w:val="22"/>
        </w:rPr>
        <w:t xml:space="preserve">A bird dog on NMGDA is a verified participant who introduces a deal to a capital deployer outside their existing network. When that connection results in a closed transaction, the bird dog automatically receives the platform credit bounty posted by the deal originator. Bird dogs stake their RepID on the quality of their introduction — a 90%+ accuracy rating commands significantly higher bounties than a new participant with no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FFF8E1" w:val="clear"/>
            <w:tcMar>
              <w:top w:type="dxa" w:w="160"/>
              <w:left w:type="dxa" w:w="220"/>
              <w:bottom w:type="dxa" w:w="160"/>
              <w:right w:type="dxa" w:w="220"/>
            </w:tcMar>
          </w:tcPr>
          <w:p>
            <w:pPr>
              <w:spacing w:after="60" w:before="0"/>
            </w:pPr>
            <w:r>
              <w:rPr>
                <w:rFonts w:ascii="Georgia" w:cs="Georgia" w:eastAsia="Georgia" w:hAnsi="Georgia"/>
                <w:b/>
                <w:bCs/>
                <w:color w:val="B8860B"/>
                <w:sz w:val="24"/>
                <w:szCs w:val="24"/>
              </w:rPr>
              <w:t xml:space="preserve">★ Founding Cohort: Lifetime 1.5× RepID Multiplier</w:t>
            </w:r>
          </w:p>
          <w:p>
            <w:pPr>
              <w:spacing w:after="0" w:before="0"/>
            </w:pPr>
            <w:r>
              <w:rPr>
                <w:rFonts w:ascii="Calibri" w:cs="Calibri" w:eastAsia="Calibri" w:hAnsi="Calibri"/>
                <w:color w:val="1E293B"/>
                <w:sz w:val="21"/>
                <w:szCs w:val="21"/>
              </w:rPr>
              <w:t xml:space="preserve">The first 200 verified members of NMGDA receive a permanent 1.5× RepID multiplier — meaning every verified connection, accurate prediction, and validated comp earns 50% more reputation weight than post-launch members. This multiplier compounds over the platform’s lifetime and cannot be replicated by later participants. Each founding member also receives 2 invitation slots, creating the viral loop that builds the first 600 members from exactly the right network segment.</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4.4  RepID Protocol: ERC-5114 Soulbound Tokens</w:t>
      </w:r>
    </w:p>
    <w:p>
      <w:pPr>
        <w:spacing w:after="80" w:before="0"/>
      </w:pPr>
      <w:r>
        <w:rPr>
          <w:rFonts w:ascii="Calibri" w:cs="Calibri" w:eastAsia="Calibri" w:hAnsi="Calibri"/>
          <w:color w:val="1E293B"/>
          <w:sz w:val="22"/>
          <w:szCs w:val="22"/>
        </w:rPr>
        <w:t xml:space="preserve">Reputation cannot be purchased, transferred, or gamed — it can only be earned through verified platform activity. The mechanism uses three soulbound token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880"/>
        <w:gridCol w:w="2640"/>
      </w:tblGrid>
      <w:t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Token</w:t>
            </w:r>
          </w:p>
        </w:tc>
        <w:tc>
          <w:tcPr>
            <w:tcW w:type="dxa" w:w="2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Minted When</w:t>
            </w:r>
          </w:p>
        </w:tc>
        <w:tc>
          <w:tcPr>
            <w:tcW w:type="dxa" w:w="2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What It Proves</w:t>
            </w:r>
          </w:p>
        </w:tc>
        <w:tc>
          <w:tcPr>
            <w:tcW w:type="dxa" w:w="26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Shareable</w:t>
            </w:r>
          </w:p>
        </w:tc>
      </w:tr>
      <w:t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ABT
Activity</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Verified deal connection or validated comp submission</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Non-transferable record of platform participation and contribution</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1A5C38"/>
                <w:sz w:val="20"/>
                <w:szCs w:val="20"/>
              </w:rPr>
              <w:t xml:space="preserve">On-chain, private</w:t>
            </w:r>
          </w:p>
        </w:tc>
      </w:tr>
      <w:tr>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RBT
Reputation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Aggregated from ABT history via BFT consensus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Accuracy, closure rate, and contribution quality — on-chain</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1A5C38"/>
                <w:sz w:val="20"/>
                <w:szCs w:val="20"/>
              </w:rPr>
              <w:t xml:space="preserve">Score visible on consent</w:t>
            </w:r>
          </w:p>
        </w:tc>
      </w:tr>
      <w:t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CBT
Credential</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Threshold-gated when RBT exceeds defined score levels</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Verifiable performance badge — not self-reported</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1A5C38"/>
                <w:sz w:val="20"/>
                <w:szCs w:val="20"/>
              </w:rPr>
              <w:t xml:space="preserve">LinkedIn, CoStar, email, deal decks</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4.5  Membership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400"/>
        <w:gridCol w:w="3720"/>
      </w:tblGrid>
      <w:t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Tier</w:t>
            </w:r>
          </w:p>
        </w:tc>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Price</w:t>
            </w:r>
          </w:p>
        </w:tc>
        <w:tc>
          <w:tcPr>
            <w:tcW w:type="dxa" w:w="2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Tag</w:t>
            </w:r>
          </w:p>
        </w:tc>
        <w:tc>
          <w:tcPr>
            <w:tcW w:type="dxa" w:w="372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Core Access</w:t>
            </w:r>
          </w:p>
        </w:tc>
      </w:tr>
      <w:t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DealPulse</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$97 / month</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Private matching</w:t>
            </w:r>
          </w:p>
        </w:tc>
        <w:tc>
          <w:tcPr>
            <w:tcW w:type="dxa" w:w="37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ZK-anonymous deal/capital posting, DealPulse alerts, RepID profile (auto-builds), mutual introduction on consent, first month free (founding cohort)</w:t>
            </w:r>
          </w:p>
        </w:tc>
      </w:tr>
      <w:tr>
        <w:tc>
          <w:tcPr>
            <w:tcW w:type="dxa" w:w="1440"/>
            <w:tcBorders>
              <w:top w:val="single" w:color="CBD5E1" w:sz="1"/>
              <w:left w:val="single" w:color="CBD5E1" w:sz="1"/>
              <w:bottom w:val="single" w:color="CBD5E1" w:sz="1"/>
              <w:right w:val="single" w:color="CBD5E1" w:sz="1"/>
            </w:tcBorders>
            <w:shd w:fill="1A56DB"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NEXUS
Verified</w:t>
            </w:r>
          </w:p>
        </w:tc>
        <w:tc>
          <w:tcPr>
            <w:tcW w:type="dxa" w:w="1800"/>
            <w:tcBorders>
              <w:top w:val="single" w:color="CBD5E1" w:sz="1"/>
              <w:left w:val="single" w:color="CBD5E1" w:sz="1"/>
              <w:bottom w:val="single" w:color="CBD5E1" w:sz="1"/>
              <w:right w:val="single" w:color="CBD5E1" w:sz="1"/>
            </w:tcBorders>
            <w:shd w:fill="E8EDF8"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$499 / month</w:t>
            </w:r>
          </w:p>
        </w:tc>
        <w:tc>
          <w:tcPr>
            <w:tcW w:type="dxa" w:w="2400"/>
            <w:tcBorders>
              <w:top w:val="single" w:color="CBD5E1" w:sz="1"/>
              <w:left w:val="single" w:color="CBD5E1" w:sz="1"/>
              <w:bottom w:val="single" w:color="CBD5E1" w:sz="1"/>
              <w:right w:val="single" w:color="CBD5E1" w:sz="1"/>
            </w:tcBorders>
            <w:shd w:fill="E8EDF8"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Full engine</w:t>
            </w:r>
          </w:p>
        </w:tc>
        <w:tc>
          <w:tcPr>
            <w:tcW w:type="dxa" w:w="3720"/>
            <w:tcBorders>
              <w:top w:val="single" w:color="CBD5E1" w:sz="1"/>
              <w:left w:val="single" w:color="CBD5E1" w:sz="1"/>
              <w:bottom w:val="single" w:color="CBD5E1" w:sz="1"/>
              <w:right w:val="single" w:color="CBD5E1" w:sz="1"/>
            </w:tcBorders>
            <w:shd w:fill="E8EDF8"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Everything in DealPulse + unlimited NEXUS AI underwriting, AI Verified badge, GNN cap rate + LASSO reports, full IC memo generation, RepID staking and 1.5× founding multiplier</w:t>
            </w:r>
          </w:p>
        </w:tc>
      </w:tr>
      <w:tr>
        <w:tc>
          <w:tcPr>
            <w:tcW w:type="dxa" w:w="1440"/>
            <w:tcBorders>
              <w:top w:val="single" w:color="CBD5E1" w:sz="1"/>
              <w:left w:val="single" w:color="CBD5E1" w:sz="1"/>
              <w:bottom w:val="single" w:color="CBD5E1" w:sz="1"/>
              <w:right w:val="single" w:color="CBD5E1" w:sz="1"/>
            </w:tcBorders>
            <w:shd w:fill="334155"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À La Carte</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$25–$199
per analysis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No subscription</w:t>
            </w:r>
          </w:p>
        </w:tc>
        <w:tc>
          <w:tcPr>
            <w:tcW w:type="dxa" w:w="37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Rent roll extraction $25 · DCF at 3 scenarios $75 · Complete IC memo $150 · Full bundle $199 · No commitment required</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05</w:t>
      </w:r>
    </w:p>
    <w:p>
      <w:pPr>
        <w:spacing w:after="120" w:before="0"/>
      </w:pPr>
      <w:r>
        <w:rPr>
          <w:rFonts w:ascii="Georgia" w:cs="Georgia" w:eastAsia="Georgia" w:hAnsi="Georgia"/>
          <w:b/>
          <w:bCs/>
          <w:color w:val="0D2D52"/>
          <w:sz w:val="52"/>
          <w:szCs w:val="52"/>
        </w:rPr>
        <w:t xml:space="preserve">DealPulse: Private Notification Infrastructure</w:t>
      </w:r>
    </w:p>
    <w:p>
      <w:pPr>
        <w:pBdr>
          <w:bottom w:val="single" w:color="B8860B" w:sz="8" w:space="1"/>
        </w:pBdr>
        <w:spacing w:after="0" w:before="0"/>
      </w:pPr>
    </w:p>
    <w:p>
      <w:pPr>
        <w:spacing w:after="120" w:before="0"/>
      </w:pPr>
    </w:p>
    <w:p>
      <w:pPr>
        <w:spacing w:after="80" w:before="0"/>
      </w:pPr>
      <w:r>
        <w:rPr>
          <w:rFonts w:ascii="Calibri" w:cs="Calibri" w:eastAsia="Calibri" w:hAnsi="Calibri"/>
          <w:color w:val="1E293B"/>
          <w:sz w:val="23"/>
          <w:szCs w:val="23"/>
        </w:rPr>
        <w:t xml:space="preserve">The best intelligence network in the world is worth nothing if the signal doesn’t reach the right person at the right moment. Check writers are out of the office. Decision-makers are in meetings, on flights, at dinner. The communication funnel that runs through assistants and front desks breaks down at exactly the moments when it matters most. DealPulse is the configurable private notification layer that closes that last mile.</w:t>
      </w:r>
    </w:p>
    <w:p>
      <w:pPr>
        <w:spacing w:after="160" w:before="0"/>
      </w:pPr>
      <w:r>
        <w:rPr>
          <w:rFonts w:ascii="Calibri" w:cs="Calibri" w:eastAsia="Calibri" w:hAnsi="Calibri"/>
          <w:color w:val="1E293B"/>
          <w:sz w:val="22"/>
          <w:szCs w:val="22"/>
        </w:rPr>
        <w:t xml:space="preserve">DealPulse is not a chat platform. It is not another inbox. It is a signal system — precision-tuned by each user to their role, their urgency thresholds, and their preferred channel — that fires only when something worth knowing has happened. Every notification is generated from a ZK-verified event.</w:t>
      </w:r>
    </w:p>
    <w:p>
      <w:pPr>
        <w:pBdr>
          <w:bottom w:val="single" w:color="B8860B" w:sz="3" w:space="4"/>
        </w:pBdr>
        <w:spacing w:after="100" w:before="220"/>
      </w:pPr>
      <w:r>
        <w:rPr>
          <w:rFonts w:ascii="Georgia" w:cs="Georgia" w:eastAsia="Georgia" w:hAnsi="Georgia"/>
          <w:b/>
          <w:bCs/>
          <w:color w:val="0D2D52"/>
          <w:sz w:val="32"/>
          <w:szCs w:val="32"/>
        </w:rPr>
        <w:t xml:space="preserve">5.1  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60"/>
        <w:gridCol w:w="3400"/>
      </w:tblGrid>
      <w:tr>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Channel</w:t>
            </w:r>
          </w:p>
        </w:tc>
        <w:tc>
          <w:tcPr>
            <w:tcW w:type="dxa" w:w="2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Context</w:t>
            </w:r>
          </w:p>
        </w:tc>
        <w:tc>
          <w:tcPr>
            <w:tcW w:type="dxa" w:w="21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Detail Level</w:t>
            </w:r>
          </w:p>
        </w:tc>
        <w:tc>
          <w:tcPr>
            <w:tcW w:type="dxa" w:w="3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Primary Use Case</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SMS / Text</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High urgency, mobile-first</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Single line + one-tap response</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Capital match confirmed, closing deadline alert, time-sensitive event</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Telegram Private Channel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Encrypted, grouped by category</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Configurable: summary or full detail</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Deal flow monitoring grouped by asset class or market</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Email</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Comprehensive, archivable</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Full reports, IC memos, match summaries</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IC memo delivery, weekly portfolio digest, due diligence packages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Dashboard Only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Maximum privacy</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Nothing leaves the platform</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Principals who log in on their own terms — no external signals</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5.2  Privacy by Design</w:t>
      </w:r>
    </w:p>
    <w:p>
      <w:pPr>
        <w:spacing w:after="80" w:before="0"/>
      </w:pPr>
      <w:r>
        <w:rPr>
          <w:rFonts w:ascii="Calibri" w:cs="Calibri" w:eastAsia="Calibri" w:hAnsi="Calibri"/>
          <w:color w:val="1E293B"/>
          <w:sz w:val="22"/>
          <w:szCs w:val="22"/>
        </w:rPr>
        <w:t xml:space="preserve">DealPulse notifications are generated from ZK-verified events — which means the notification can confirm that a match occurred, a threshold was crossed, or a deal closed, without revealing the underlying data to any party that has not been granted consent.</w:t>
      </w:r>
    </w:p>
    <w:p>
      <w:pPr>
        <w:spacing w:after="80" w:before="0"/>
      </w:pPr>
      <w:r>
        <w:rPr>
          <w:rFonts w:ascii="Calibri" w:cs="Calibri" w:eastAsia="Calibri" w:hAnsi="Calibri"/>
          <w:color w:val="1E293B"/>
          <w:sz w:val="22"/>
          <w:szCs w:val="22"/>
        </w:rPr>
        <w:t xml:space="preserve">A capital deployer receives a notification that a deal matching their criteria has been AI Verified — without knowing who posted it. A broker receives a notification that a qualifying capital deployer has reviewed their listing — without knowing who it is. Mutual introduction occurs only when both parties consent. The notification is proof of relevance. The data behind it remains private until both parties choose to unlock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E8EDF8" w:val="clear"/>
            <w:tcMar>
              <w:top w:type="dxa" w:w="160"/>
              <w:left w:type="dxa" w:w="220"/>
              <w:bottom w:type="dxa" w:w="160"/>
              <w:right w:type="dxa" w:w="220"/>
            </w:tcMar>
          </w:tcPr>
          <w:p>
            <w:pPr>
              <w:spacing w:after="60" w:before="0"/>
            </w:pPr>
            <w:r>
              <w:rPr>
                <w:rFonts w:ascii="Georgia" w:cs="Georgia" w:eastAsia="Georgia" w:hAnsi="Georgia"/>
                <w:b/>
                <w:bCs/>
                <w:color w:val="0D2D52"/>
                <w:sz w:val="24"/>
                <w:szCs w:val="24"/>
              </w:rPr>
              <w:t xml:space="preserve">Zero-Residual Data Architecture</w:t>
            </w:r>
          </w:p>
          <w:p>
            <w:pPr>
              <w:spacing w:after="0" w:before="0"/>
            </w:pPr>
            <w:r>
              <w:rPr>
                <w:rFonts w:ascii="Calibri" w:cs="Calibri" w:eastAsia="Calibri" w:hAnsi="Calibri"/>
                <w:color w:val="1E293B"/>
                <w:sz w:val="21"/>
                <w:szCs w:val="21"/>
              </w:rPr>
              <w:t xml:space="preserve">No DealPulse notification ever reaches a third-party advertising network. No notification data is used for targeting, profiling, or resale. The communication infrastructure is governed by the same ZK architecture that governs the matching layer. When a member leaves the platform, their notification configuration, match history, and criteria are cleared from the system. No residual records. No lock-in.</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06</w:t>
      </w:r>
    </w:p>
    <w:p>
      <w:pPr>
        <w:spacing w:after="120" w:before="0"/>
      </w:pPr>
      <w:r>
        <w:rPr>
          <w:rFonts w:ascii="Georgia" w:cs="Georgia" w:eastAsia="Georgia" w:hAnsi="Georgia"/>
          <w:b/>
          <w:bCs/>
          <w:color w:val="0D2D52"/>
          <w:sz w:val="52"/>
          <w:szCs w:val="52"/>
        </w:rPr>
        <w:t xml:space="preserve">AI Safety &amp; Ethics</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The financial stakes of commercial real estate mean that an AI system that is fast but wrong is worse than no AI at all. A model that hallucinates a cap rate by 75 basis points does not save time — it costs a deal, and potentially a fund’s reputation. NMGDA treats AI safety not as a compliance checkbox but as a core engineering constraint, embedded at every layer of the stack.</w:t>
      </w:r>
    </w:p>
    <w:p>
      <w:pPr>
        <w:pBdr>
          <w:bottom w:val="single" w:color="B8860B" w:sz="3" w:space="4"/>
        </w:pBdr>
        <w:spacing w:after="100" w:before="220"/>
      </w:pPr>
      <w:r>
        <w:rPr>
          <w:rFonts w:ascii="Georgia" w:cs="Georgia" w:eastAsia="Georgia" w:hAnsi="Georgia"/>
          <w:b/>
          <w:bCs/>
          <w:color w:val="0D2D52"/>
          <w:sz w:val="32"/>
          <w:szCs w:val="32"/>
        </w:rPr>
        <w:t xml:space="preserve">6.1  The Hallucination Problem in Financial AI</w:t>
      </w:r>
    </w:p>
    <w:p>
      <w:pPr>
        <w:spacing w:after="80" w:before="0"/>
      </w:pPr>
      <w:r>
        <w:rPr>
          <w:rFonts w:ascii="Calibri" w:cs="Calibri" w:eastAsia="Calibri" w:hAnsi="Calibri"/>
          <w:color w:val="1E293B"/>
          <w:sz w:val="22"/>
          <w:szCs w:val="22"/>
        </w:rPr>
        <w:t xml:space="preserve">Language models hallucinate. This is not a bug that will be patched — it is a structural property of probabilistic generation. For a system producing rent roll extractions, cap rate estimates, and IC memos that will be presented to institutional lenders, hallucination is not an acceptable failure mode.</w:t>
      </w:r>
    </w:p>
    <w:p>
      <w:pPr>
        <w:spacing w:after="0" w:before="0"/>
      </w:pPr>
      <w:r>
        <w:rPr>
          <w:rFonts w:ascii="Calibri" w:cs="Calibri" w:eastAsia="Calibri" w:hAnsi="Calibri"/>
          <w:color w:val="1E293B"/>
          <w:sz w:val="22"/>
          <w:szCs w:val="22"/>
        </w:rPr>
        <w:t xml:space="preserve">NMGDA’s response is architectural: no single model output is ever published to a user without passing through the BFT consensus layer. The Pythagorean Comma Veto provides a third escalation path that catches confident-minority errors. The consensus mechanism exists precisely because any individual model, however capable, can be wrong in ways it cannot self-detect.</w:t>
      </w:r>
    </w:p>
    <w:p>
      <w:pPr>
        <w:pBdr>
          <w:bottom w:val="single" w:color="B8860B" w:sz="3" w:space="4"/>
        </w:pBdr>
        <w:spacing w:after="100" w:before="220"/>
      </w:pPr>
      <w:r>
        <w:rPr>
          <w:rFonts w:ascii="Georgia" w:cs="Georgia" w:eastAsia="Georgia" w:hAnsi="Georgia"/>
          <w:b/>
          <w:bCs/>
          <w:color w:val="0D2D52"/>
          <w:sz w:val="32"/>
          <w:szCs w:val="32"/>
        </w:rPr>
        <w:t xml:space="preserve">6.2  Human-in-the-Loop (HITL) Governance</w:t>
      </w:r>
    </w:p>
    <w:p>
      <w:pPr>
        <w:spacing w:after="80" w:before="0"/>
      </w:pPr>
      <w:r>
        <w:rPr>
          <w:rFonts w:ascii="Calibri" w:cs="Calibri" w:eastAsia="Calibri" w:hAnsi="Calibri"/>
          <w:color w:val="1E293B"/>
          <w:sz w:val="22"/>
          <w:szCs w:val="22"/>
        </w:rPr>
        <w:t xml:space="preserve">The MEL agent manages the HITL queue — a structured escalation pathway ensuring human review occurs at defined thresholds. Human review is not a fallback of last resort. It is a designed element of the verification architecture. HITL is triggered when:</w:t>
      </w:r>
    </w:p>
    <w:p>
      <w:pPr>
        <w:pStyle w:val="ListParagraph"/>
        <w:numPr>
          <w:ilvl w:val="0"/>
          <w:numId w:val="2"/>
        </w:numPr>
        <w:spacing w:after="80" w:before="0"/>
      </w:pPr>
      <w:r>
        <w:rPr>
          <w:rFonts w:ascii="Calibri" w:cs="Calibri" w:eastAsia="Calibri" w:hAnsi="Calibri"/>
          <w:color w:val="1E293B"/>
          <w:sz w:val="21"/>
          <w:szCs w:val="21"/>
        </w:rPr>
        <w:t xml:space="preserve">BFT quorum fails — consensus cannot be reached among validation agents</w:t>
      </w:r>
    </w:p>
    <w:p>
      <w:pPr>
        <w:pStyle w:val="ListParagraph"/>
        <w:numPr>
          <w:ilvl w:val="0"/>
          <w:numId w:val="2"/>
        </w:numPr>
        <w:spacing w:after="80" w:before="0"/>
      </w:pPr>
      <w:r>
        <w:rPr>
          <w:rFonts w:ascii="Calibri" w:cs="Calibri" w:eastAsia="Calibri" w:hAnsi="Calibri"/>
          <w:color w:val="1E293B"/>
          <w:sz w:val="21"/>
          <w:szCs w:val="21"/>
        </w:rPr>
        <w:t xml:space="preserve">Pythagorean Comma Veto fires — minority agent confidence exceeds 0.85</w:t>
      </w:r>
    </w:p>
    <w:p>
      <w:pPr>
        <w:pStyle w:val="ListParagraph"/>
        <w:numPr>
          <w:ilvl w:val="0"/>
          <w:numId w:val="2"/>
        </w:numPr>
        <w:spacing w:after="80" w:before="0"/>
      </w:pPr>
      <w:r>
        <w:rPr>
          <w:rFonts w:ascii="Calibri" w:cs="Calibri" w:eastAsia="Calibri" w:hAnsi="Calibri"/>
          <w:color w:val="1E293B"/>
          <w:sz w:val="21"/>
          <w:szCs w:val="21"/>
        </w:rPr>
        <w:t xml:space="preserve">XIRR dual-path divergence exceeds ε=1e−8</w:t>
      </w:r>
    </w:p>
    <w:p>
      <w:pPr>
        <w:pStyle w:val="ListParagraph"/>
        <w:numPr>
          <w:ilvl w:val="0"/>
          <w:numId w:val="2"/>
        </w:numPr>
        <w:spacing w:after="80" w:before="0"/>
      </w:pPr>
      <w:r>
        <w:rPr>
          <w:rFonts w:ascii="Calibri" w:cs="Calibri" w:eastAsia="Calibri" w:hAnsi="Calibri"/>
          <w:color w:val="1E293B"/>
          <w:sz w:val="21"/>
          <w:szCs w:val="21"/>
        </w:rPr>
        <w:t xml:space="preserve">Output involves a novel deal structure not represented in the GNN training set</w:t>
      </w:r>
    </w:p>
    <w:p>
      <w:pPr>
        <w:pStyle w:val="ListParagraph"/>
        <w:numPr>
          <w:ilvl w:val="0"/>
          <w:numId w:val="2"/>
        </w:numPr>
        <w:spacing w:after="80" w:before="0"/>
      </w:pPr>
      <w:r>
        <w:rPr>
          <w:rFonts w:ascii="Calibri" w:cs="Calibri" w:eastAsia="Calibri" w:hAnsi="Calibri"/>
          <w:color w:val="1E293B"/>
          <w:sz w:val="21"/>
          <w:szCs w:val="21"/>
        </w:rPr>
        <w:t xml:space="preserve">User explicitly requests human review for any output</w:t>
      </w:r>
    </w:p>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6.3  Audit Trail &amp; Explainability</w:t>
      </w:r>
    </w:p>
    <w:p>
      <w:pPr>
        <w:spacing w:after="80" w:before="0"/>
      </w:pPr>
      <w:r>
        <w:rPr>
          <w:rFonts w:ascii="Calibri" w:cs="Calibri" w:eastAsia="Calibri" w:hAnsi="Calibri"/>
          <w:color w:val="1E293B"/>
          <w:sz w:val="22"/>
          <w:szCs w:val="22"/>
        </w:rPr>
        <w:t xml:space="preserve">Every analysis output is accompanied by a complete provenance record: which agents participated, what their individual outputs were, whether consensus was reached on the first pass, what comparable transactions grounded the cap rate estimate, and what the LASSO sensitivity ranking was for that specific deal. The output is not a black box — it is a documented, reproducible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6"/>
              <w:left w:val="single" w:color="1A56DB" w:sz="6"/>
              <w:bottom w:val="single" w:color="1A56DB" w:sz="6"/>
              <w:right w:val="none" w:color="FFFFFF" w:sz="0"/>
            </w:tcBorders>
            <w:shd w:fill="F8FAFC" w:val="clear"/>
            <w:tcMar>
              <w:top w:type="dxa" w:w="140"/>
              <w:left w:type="dxa" w:w="200"/>
              <w:bottom w:type="dxa" w:w="140"/>
              <w:right w:type="dxa" w:w="200"/>
            </w:tcMar>
          </w:tcPr>
          <w:p>
            <w:pPr>
              <w:spacing w:after="20" w:before="0"/>
            </w:pPr>
            <w:r>
              <w:rPr>
                <w:rFonts w:ascii="Courier New" w:cs="Courier New" w:eastAsia="Courier New" w:hAnsi="Courier New"/>
                <w:color w:val="334155"/>
                <w:sz w:val="19"/>
                <w:szCs w:val="19"/>
              </w:rPr>
              <w:t xml:space="preserve">// Every analysis output carries full provenance</w:t>
            </w:r>
          </w:p>
          <w:p>
            <w:pPr>
              <w:spacing w:after="20" w:before="0"/>
            </w:pPr>
            <w:r>
              <w:rPr>
                <w:rFonts w:ascii="Courier New" w:cs="Courier New" w:eastAsia="Courier New" w:hAnsi="Courier New"/>
                <w:color w:val="334155"/>
                <w:sz w:val="19"/>
                <w:szCs w:val="19"/>
              </w:rPr>
              <w:t xml:space="preserve">interface AnalysisOutput {</w:t>
            </w:r>
          </w:p>
          <w:p>
            <w:pPr>
              <w:spacing w:after="20" w:before="0"/>
            </w:pPr>
            <w:r>
              <w:rPr>
                <w:rFonts w:ascii="Courier New" w:cs="Courier New" w:eastAsia="Courier New" w:hAnsi="Courier New"/>
                <w:color w:val="334155"/>
                <w:sz w:val="19"/>
                <w:szCs w:val="19"/>
              </w:rPr>
              <w:t xml:space="preserve">  result:           FinancialAnalysis;</w:t>
            </w:r>
          </w:p>
          <w:p>
            <w:pPr>
              <w:spacing w:after="20" w:before="0"/>
            </w:pPr>
            <w:r>
              <w:rPr>
                <w:rFonts w:ascii="Courier New" w:cs="Courier New" w:eastAsia="Courier New" w:hAnsi="Courier New"/>
                <w:color w:val="334155"/>
                <w:sz w:val="19"/>
                <w:szCs w:val="19"/>
              </w:rPr>
              <w:t xml:space="preserve">  consensus: {</w:t>
            </w:r>
          </w:p>
          <w:p>
            <w:pPr>
              <w:spacing w:after="20" w:before="0"/>
            </w:pPr>
            <w:r>
              <w:rPr>
                <w:rFonts w:ascii="Courier New" w:cs="Courier New" w:eastAsia="Courier New" w:hAnsi="Courier New"/>
                <w:color w:val="334155"/>
                <w:sz w:val="19"/>
                <w:szCs w:val="19"/>
              </w:rPr>
              <w:t xml:space="preserve">    quorumReached:    boolean;</w:t>
            </w:r>
          </w:p>
          <w:p>
            <w:pPr>
              <w:spacing w:after="20" w:before="0"/>
            </w:pPr>
            <w:r>
              <w:rPr>
                <w:rFonts w:ascii="Courier New" w:cs="Courier New" w:eastAsia="Courier New" w:hAnsi="Courier New"/>
                <w:color w:val="334155"/>
                <w:sz w:val="19"/>
                <w:szCs w:val="19"/>
              </w:rPr>
              <w:t xml:space="preserve">    agentVotes:       AgentVote[];   // individual agent outputs</w:t>
            </w:r>
          </w:p>
          <w:p>
            <w:pPr>
              <w:spacing w:after="20" w:before="0"/>
            </w:pPr>
            <w:r>
              <w:rPr>
                <w:rFonts w:ascii="Courier New" w:cs="Courier New" w:eastAsia="Courier New" w:hAnsi="Courier New"/>
                <w:color w:val="334155"/>
                <w:sz w:val="19"/>
                <w:szCs w:val="19"/>
              </w:rPr>
              <w:t xml:space="preserve">    convergenceDelta: number;        // max divergence across agents</w:t>
            </w:r>
          </w:p>
          <w:p>
            <w:pPr>
              <w:spacing w:after="20" w:before="0"/>
            </w:pPr>
            <w:r>
              <w:rPr>
                <w:rFonts w:ascii="Courier New" w:cs="Courier New" w:eastAsia="Courier New" w:hAnsi="Courier New"/>
                <w:color w:val="334155"/>
                <w:sz w:val="19"/>
                <w:szCs w:val="19"/>
              </w:rPr>
              <w:t xml:space="preserve">    vetoFired:        boolean;</w:t>
            </w:r>
          </w:p>
          <w:p>
            <w:pPr>
              <w:spacing w:after="20" w:before="0"/>
            </w:pPr>
            <w:r>
              <w:rPr>
                <w:rFonts w:ascii="Courier New" w:cs="Courier New" w:eastAsia="Courier New" w:hAnsi="Courier New"/>
                <w:color w:val="334155"/>
                <w:sz w:val="19"/>
                <w:szCs w:val="19"/>
              </w:rPr>
              <w:t xml:space="preserve">    escalatedToHITL:  boolean;</w:t>
            </w:r>
          </w:p>
          <w:p>
            <w:pPr>
              <w:spacing w:after="20" w:before="0"/>
            </w:pPr>
            <w:r>
              <w:rPr>
                <w:rFonts w:ascii="Courier New" w:cs="Courier New" w:eastAsia="Courier New" w:hAnsi="Courier New"/>
                <w:color w:val="334155"/>
                <w:sz w:val="19"/>
                <w:szCs w:val="19"/>
              </w:rPr>
              <w:t xml:space="preserve">  };</w:t>
            </w:r>
          </w:p>
          <w:p>
            <w:pPr>
              <w:spacing w:after="20" w:before="0"/>
            </w:pPr>
            <w:r>
              <w:rPr>
                <w:rFonts w:ascii="Courier New" w:cs="Courier New" w:eastAsia="Courier New" w:hAnsi="Courier New"/>
                <w:color w:val="334155"/>
                <w:sz w:val="19"/>
                <w:szCs w:val="19"/>
              </w:rPr>
              <w:t xml:space="preserve">  comparables:      Comparable[];   // GNN-sourced, verifiable</w:t>
            </w:r>
          </w:p>
          <w:p>
            <w:pPr>
              <w:spacing w:after="20" w:before="0"/>
            </w:pPr>
            <w:r>
              <w:rPr>
                <w:rFonts w:ascii="Courier New" w:cs="Courier New" w:eastAsia="Courier New" w:hAnsi="Courier New"/>
                <w:color w:val="334155"/>
                <w:sz w:val="19"/>
                <w:szCs w:val="19"/>
              </w:rPr>
              <w:t xml:space="preserve">  sensitivityRank:  LassoResult[];  // top IRR drivers by weight</w:t>
            </w:r>
          </w:p>
          <w:p>
            <w:pPr>
              <w:spacing w:after="20" w:before="0"/>
            </w:pPr>
            <w:r>
              <w:rPr>
                <w:rFonts w:ascii="Courier New" w:cs="Courier New" w:eastAsia="Courier New" w:hAnsi="Courier New"/>
                <w:color w:val="334155"/>
                <w:sz w:val="19"/>
                <w:szCs w:val="19"/>
              </w:rPr>
              <w:t xml:space="preserve">  zkProof:          PlonkyProof;    // cryptographic output proof</w:t>
            </w:r>
          </w:p>
          <w:p>
            <w:pPr>
              <w:spacing w:after="20" w:before="0"/>
            </w:pPr>
            <w:r>
              <w:rPr>
                <w:rFonts w:ascii="Courier New" w:cs="Courier New" w:eastAsia="Courier New" w:hAnsi="Courier New"/>
                <w:color w:val="334155"/>
                <w:sz w:val="19"/>
                <w:szCs w:val="19"/>
              </w:rPr>
              <w:t xml:space="preserve">  auditTimestamp:   string;         // immutable, chain-anchored</w:t>
            </w:r>
          </w:p>
          <w:p>
            <w:pPr>
              <w:spacing w:after="20" w:before="0"/>
            </w:pPr>
            <w:r>
              <w:rPr>
                <w:rFonts w:ascii="Courier New" w:cs="Courier New" w:eastAsia="Courier New" w:hAnsi="Courier New"/>
                <w:color w:val="334155"/>
                <w:sz w:val="19"/>
                <w:szCs w:val="19"/>
              </w:rPr>
              <w:t xml:space="preserve">}</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6.4  Bias Mitigation in GNN Comparables</w:t>
      </w:r>
    </w:p>
    <w:p>
      <w:pPr>
        <w:spacing w:after="80" w:before="0"/>
      </w:pPr>
      <w:r>
        <w:rPr>
          <w:rFonts w:ascii="Calibri" w:cs="Calibri" w:eastAsia="Calibri" w:hAnsi="Calibri"/>
          <w:color w:val="1E293B"/>
          <w:sz w:val="22"/>
          <w:szCs w:val="22"/>
        </w:rPr>
        <w:t xml:space="preserve">The GNN cap rate model is only as good as its training data. NMGDA addresses this through three mechanisms: verified submission requirements (users who contribute comps must verify the transaction, not just report it), geographic coverage monitoring (the platform flags submarket gaps where comp density is insufficient for reliable estimation), and continuous recalibration (the model is retrained as new verified transactions enter the graph).</w:t>
      </w:r>
    </w:p>
    <w:p>
      <w:pPr>
        <w:spacing w:after="0" w:before="0"/>
      </w:pPr>
      <w:r>
        <w:rPr>
          <w:rFonts w:ascii="Calibri" w:cs="Calibri" w:eastAsia="Calibri" w:hAnsi="Calibri"/>
          <w:color w:val="1E293B"/>
          <w:sz w:val="22"/>
          <w:szCs w:val="22"/>
        </w:rPr>
        <w:t xml:space="preserve">When the GNN cannot produce a reliable estimate for a given property — because submarket comp density is insufficient — it says so. The output is a confidence interval with an explicit coverage warning, not a false precision number. Admitting uncertainty is a feature, not a failure.</w:t>
      </w:r>
    </w:p>
    <w:p>
      <w:pPr>
        <w:pBdr>
          <w:bottom w:val="single" w:color="B8860B" w:sz="3" w:space="4"/>
        </w:pBdr>
        <w:spacing w:after="100" w:before="220"/>
      </w:pPr>
      <w:r>
        <w:rPr>
          <w:rFonts w:ascii="Georgia" w:cs="Georgia" w:eastAsia="Georgia" w:hAnsi="Georgia"/>
          <w:b/>
          <w:bCs/>
          <w:color w:val="0D2D52"/>
          <w:sz w:val="32"/>
          <w:szCs w:val="32"/>
        </w:rPr>
        <w:t xml:space="preserve">6.5  Data Minimization &amp; Privacy Ethics</w:t>
      </w:r>
    </w:p>
    <w:p>
      <w:pPr>
        <w:spacing w:after="0" w:before="0"/>
      </w:pPr>
      <w:r>
        <w:rPr>
          <w:rFonts w:ascii="Calibri" w:cs="Calibri" w:eastAsia="Calibri" w:hAnsi="Calibri"/>
          <w:color w:val="1E293B"/>
          <w:sz w:val="22"/>
          <w:szCs w:val="22"/>
        </w:rPr>
        <w:t xml:space="preserve">NMGDA collects only the data required to produce a verified analysis or a verified match. Property addresses are never required for marketplace posting. Capital criteria are never stored in cleartext. Rent rolls submitted for analysis are processed, hashed, and cleared — not retained for training or resale. The ZK architecture is the technical implementation of a straightforward ethical position: the platform connects people. It does not need to own their data to do that.</w:t>
      </w:r>
    </w:p>
    <w:p>
      <w:pPr>
        <w:spacing w:after="0" w:before="0"/>
      </w:pPr>
      <w:r>
        <w:br w:type="page"/>
      </w:r>
    </w:p>
    <w:p>
      <w:pPr>
        <w:spacing w:after="60" w:before="360"/>
      </w:pPr>
      <w:r>
        <w:rPr>
          <w:rFonts w:ascii="Calibri" w:cs="Calibri" w:eastAsia="Calibri" w:hAnsi="Calibri"/>
          <w:b/>
          <w:bCs/>
          <w:color w:val="B8860B"/>
          <w:spacing w:val="120"/>
          <w:sz w:val="17"/>
          <w:szCs w:val="17"/>
        </w:rPr>
        <w:t xml:space="preserve">SECTION 07</w:t>
      </w:r>
    </w:p>
    <w:p>
      <w:pPr>
        <w:spacing w:after="120" w:before="0"/>
      </w:pPr>
      <w:r>
        <w:rPr>
          <w:rFonts w:ascii="Georgia" w:cs="Georgia" w:eastAsia="Georgia" w:hAnsi="Georgia"/>
          <w:b/>
          <w:bCs/>
          <w:color w:val="0D2D52"/>
          <w:sz w:val="52"/>
          <w:szCs w:val="52"/>
        </w:rPr>
        <w:t xml:space="preserve">Patent Portfolio &amp; Moats</w:t>
      </w:r>
    </w:p>
    <w:p>
      <w:pPr>
        <w:pBdr>
          <w:bottom w:val="single" w:color="B8860B" w:sz="8" w:space="1"/>
        </w:pBdr>
        <w:spacing w:after="0" w:before="0"/>
      </w:pPr>
    </w:p>
    <w:p>
      <w:pPr>
        <w:spacing w:after="120" w:before="0"/>
      </w:pPr>
    </w:p>
    <w:p>
      <w:pPr>
        <w:spacing w:after="80" w:before="0"/>
      </w:pPr>
      <w:r>
        <w:rPr>
          <w:rFonts w:ascii="Calibri" w:cs="Calibri" w:eastAsia="Calibri" w:hAnsi="Calibri"/>
          <w:color w:val="1E293B"/>
          <w:sz w:val="23"/>
          <w:szCs w:val="23"/>
        </w:rPr>
        <w:t xml:space="preserve">The NMGDA / NEXUS CRE platform is protected by twelve provisional patent applications (P-002 through P-013). Claims are written to protect the method, not the market — enabling licensing to any industry requiring grounded, privacy-preserving, reputation-verified intelligence at scale. The combination of ANFIS routing, BFT consensus, ZK proofs, and ERC-8004 agent identity in a single verified intelligence workflow is the non-obvious combination that defines the moat.</w:t>
      </w:r>
    </w:p>
    <w:p>
      <w:pPr>
        <w:spacing w:after="160" w:before="0"/>
      </w:pPr>
      <w:r>
        <w:rPr>
          <w:rFonts w:ascii="Calibri" w:cs="Calibri" w:eastAsia="Calibri" w:hAnsi="Calibri"/>
          <w:i/>
          <w:iCs/>
          <w:color w:val="8B1A1A"/>
          <w:sz w:val="21"/>
          <w:szCs w:val="21"/>
        </w:rPr>
        <w:t xml:space="preserve">⚠️  Patent gate remains active: no public disclosure of specific ANFIS parameter architecture, GNN training methodology, or BFT veto algorithm until non-provisional applications are filed. P-002 non-provisional deadline: August 17, 2026. Attorney engagement must begin no later than early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120"/>
        <w:gridCol w:w="3960"/>
        <w:gridCol w:w="1760"/>
        <w:gridCol w:w="880"/>
      </w:tblGrid>
      <w:tr>
        <w:tc>
          <w:tcPr>
            <w:tcW w:type="dxa" w:w="6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ID</w:t>
            </w:r>
          </w:p>
        </w:tc>
        <w:tc>
          <w:tcPr>
            <w:tcW w:type="dxa" w:w="212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Title</w:t>
            </w:r>
          </w:p>
        </w:tc>
        <w:tc>
          <w:tcPr>
            <w:tcW w:type="dxa" w:w="39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Core Claim</w:t>
            </w:r>
          </w:p>
        </w:tc>
        <w:tc>
          <w:tcPr>
            <w:tcW w:type="dxa" w:w="17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Status</w:t>
            </w:r>
          </w:p>
        </w:tc>
        <w:tc>
          <w:tcPr>
            <w:tcW w:type="dxa" w:w="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Priority</w:t>
            </w:r>
          </w:p>
        </w:tc>
      </w:tr>
      <w:tr>
        <w:tc>
          <w:tcPr>
            <w:tcW w:type="dxa" w:w="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P-002</w:t>
            </w:r>
          </w:p>
        </w:tc>
        <w:tc>
          <w:tcPr>
            <w:tcW w:type="dxa" w:w="21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Neuromorphic GNN + ANFIS ZKP System</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ANFIS routing with 72.5% cost reduction; multiplicative GNN (φ=1.61803398875, ε=1e−8 in MultiplicativeConv); ZK proof generation for financial output verification</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Non-prov due Aug 17, 2026 ⚠️</w:t>
            </w:r>
          </w:p>
        </w:tc>
        <w:tc>
          <w:tcPr>
            <w:tcW w:type="dxa" w:w="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8B1A1A"/>
                <w:sz w:val="20"/>
                <w:szCs w:val="20"/>
              </w:rPr>
              <w:t xml:space="preserve">★ URGENT</w:t>
            </w:r>
          </w:p>
        </w:tc>
      </w:tr>
      <w:tr>
        <w:tc>
          <w:tcPr>
            <w:tcW w:type="dxa" w:w="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P-004</w:t>
            </w:r>
          </w:p>
        </w:tc>
        <w:tc>
          <w:tcPr>
            <w:tcW w:type="dxa" w:w="2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Pythagorean Comma Veto Agent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Three-tier BFT escalation with dissent-confidence veto (θ=0.85); prevents confident-minority errors that standard BFT suppresses; applicable to any multi-agent consensus system</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immediately</w:t>
            </w:r>
          </w:p>
        </w:tc>
        <w:tc>
          <w:tcPr>
            <w:tcW w:type="dxa" w:w="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8B1A1A"/>
                <w:sz w:val="20"/>
                <w:szCs w:val="20"/>
              </w:rPr>
              <w:t xml:space="preserve">★ URGENT</w:t>
            </w:r>
          </w:p>
        </w:tc>
      </w:tr>
      <w:tr>
        <w:tc>
          <w:tcPr>
            <w:tcW w:type="dxa" w:w="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P-005</w:t>
            </w:r>
          </w:p>
        </w:tc>
        <w:tc>
          <w:tcPr>
            <w:tcW w:type="dxa" w:w="21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HIAS: Human Intuition Accuracy Scoring</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Adaptive Authority Governance: on-chain scoring of human prediction accuracy vs. verified outcomes; staking/slashing mechanics; feedback loop adjusting AI/human authority weighting</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immediately</w:t>
            </w:r>
          </w:p>
        </w:tc>
        <w:tc>
          <w:tcPr>
            <w:tcW w:type="dxa" w:w="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 HIGH</w:t>
            </w:r>
          </w:p>
        </w:tc>
      </w:tr>
      <w:tr>
        <w:tc>
          <w:tcPr>
            <w:tcW w:type="dxa" w:w="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P-011</w:t>
            </w:r>
          </w:p>
        </w:tc>
        <w:tc>
          <w:tcPr>
            <w:tcW w:type="dxa" w:w="2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DAG Workflow Orchestration</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Directed acyclic graph agent task scheduling with recursive ZK proof generation at each node; dependency tracking with conditional branching on consensus failure</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Q2 2026</w:t>
            </w:r>
          </w:p>
        </w:tc>
        <w:tc>
          <w:tcPr>
            <w:tcW w:type="dxa" w:w="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64748B"/>
                <w:sz w:val="20"/>
                <w:szCs w:val="20"/>
              </w:rPr>
              <w:t xml:space="preserve">MEDIUM</w:t>
            </w:r>
          </w:p>
        </w:tc>
      </w:tr>
      <w:tr>
        <w:tc>
          <w:tcPr>
            <w:tcW w:type="dxa" w:w="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P-012</w:t>
            </w:r>
          </w:p>
        </w:tc>
        <w:tc>
          <w:tcPr>
            <w:tcW w:type="dxa" w:w="21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ERC-8004 + x402 + ANFIS Data Commerce</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Agent-to-agent commerce: ERC-8004 identity + x402 HTTP micropayments + ANFIS routing for verified data marketplace; per-use pricing with reputation-gated access tiers</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before launch</w:t>
            </w:r>
          </w:p>
        </w:tc>
        <w:tc>
          <w:tcPr>
            <w:tcW w:type="dxa" w:w="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 HIGH</w:t>
            </w:r>
          </w:p>
        </w:tc>
      </w:tr>
      <w:tr>
        <w:tc>
          <w:tcPr>
            <w:tcW w:type="dxa" w:w="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P-013</w:t>
            </w:r>
          </w:p>
        </w:tc>
        <w:tc>
          <w:tcPr>
            <w:tcW w:type="dxa" w:w="2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Cross-Vertical ZK Intelligence Marketplace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Methods for privacy-preserving, reputation-verified intelligence matching across domains: pharma trial matching, medical records (HIPAA-compliant ZK), legal precedent marketplace, and analogous verticals</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Q2 2026</w:t>
            </w:r>
          </w:p>
        </w:tc>
        <w:tc>
          <w:tcPr>
            <w:tcW w:type="dxa" w:w="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64748B"/>
                <w:sz w:val="20"/>
                <w:szCs w:val="20"/>
              </w:rPr>
              <w:t xml:space="preserve">MEDIUM</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7.1  Cross-Vertical Applicability</w:t>
      </w:r>
    </w:p>
    <w:p>
      <w:pPr>
        <w:spacing w:after="60" w:before="0"/>
      </w:pPr>
      <w:r>
        <w:rPr>
          <w:rFonts w:ascii="Calibri" w:cs="Calibri" w:eastAsia="Calibri" w:hAnsi="Calibri"/>
          <w:color w:val="1E293B"/>
          <w:sz w:val="22"/>
          <w:szCs w:val="22"/>
        </w:rPr>
        <w:t xml:space="preserve">The methods in this portfolio are domain-agnostic. CRE is the proof-of-concept market. The claims describe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Vertical</w:t>
            </w:r>
          </w:p>
        </w:tc>
        <w:tc>
          <w:tcPr>
            <w:tcW w:type="dxa" w:w="34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NMGDA Method Applied</w:t>
            </w:r>
          </w:p>
        </w:tc>
        <w:tc>
          <w:tcPr>
            <w:tcW w:type="dxa" w:w="40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Value Delivered</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Pharma Trial Matching</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GNN maps molecule structure to trial eligibility (same as deal→investor criteria); ANFIS routes trial queries; HIAS scores clinical site investigators</w:t>
            </w:r>
          </w:p>
        </w:tc>
        <w:tc>
          <w:tcPr>
            <w:tcW w:type="dxa" w:w="4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Sponsors match with high-performing sites without exposing proprietary protocols</w:t>
            </w:r>
          </w:p>
        </w:tc>
      </w:tr>
      <w:t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Medical Records (HIPAA)</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ZK proofs: prove patient record meets consultation criteria without transmitting the record; x402 per-query billing for record access</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HIPAA-compliant provider-to-provider intelligence sharing without data transfer</w:t>
            </w:r>
          </w:p>
        </w:tc>
      </w:tr>
      <w:t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Legal Intelligence</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GNN semantic similarity for precedent matching across jurisdictions; ZK deal-match mechanic for case strategy without revealing client matters</w:t>
            </w:r>
          </w:p>
        </w:tc>
        <w:tc>
          <w:tcPr>
            <w:tcW w:type="dxa" w:w="4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Verified precedent marketplace: prove case pattern match without exposing client data</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08</w:t>
      </w:r>
    </w:p>
    <w:p>
      <w:pPr>
        <w:spacing w:after="120" w:before="0"/>
      </w:pPr>
      <w:r>
        <w:rPr>
          <w:rFonts w:ascii="Georgia" w:cs="Georgia" w:eastAsia="Georgia" w:hAnsi="Georgia"/>
          <w:b/>
          <w:bCs/>
          <w:color w:val="0D2D52"/>
          <w:sz w:val="52"/>
          <w:szCs w:val="52"/>
        </w:rPr>
        <w:t xml:space="preserve">Use Cases &amp; Return on Investment</w:t>
      </w:r>
    </w:p>
    <w:p>
      <w:pPr>
        <w:pBdr>
          <w:bottom w:val="single" w:color="B8860B" w:sz="8" w:space="1"/>
        </w:pBdr>
        <w:spacing w:after="0" w:before="0"/>
      </w:pPr>
    </w:p>
    <w:p>
      <w:pPr>
        <w:spacing w:after="120" w:before="0"/>
      </w:pPr>
    </w:p>
    <w:p>
      <w:pPr>
        <w:pBdr>
          <w:bottom w:val="single" w:color="B8860B" w:sz="3" w:space="4"/>
        </w:pBdr>
        <w:spacing w:after="100" w:before="220"/>
      </w:pPr>
      <w:r>
        <w:rPr>
          <w:rFonts w:ascii="Georgia" w:cs="Georgia" w:eastAsia="Georgia" w:hAnsi="Georgia"/>
          <w:b/>
          <w:bCs/>
          <w:color w:val="0D2D52"/>
          <w:sz w:val="32"/>
          <w:szCs w:val="32"/>
        </w:rPr>
        <w:t xml:space="preserve">8.1  The Broker Running Out of Runway</w:t>
      </w:r>
    </w:p>
    <w:p>
      <w:pPr>
        <w:spacing w:after="60" w:before="0"/>
      </w:pPr>
      <w:r>
        <w:rPr>
          <w:rFonts w:ascii="Calibri" w:cs="Calibri" w:eastAsia="Calibri" w:hAnsi="Calibri"/>
          <w:color w:val="1E293B"/>
          <w:sz w:val="22"/>
          <w:szCs w:val="22"/>
        </w:rPr>
        <w:t xml:space="preserve">A commercial broker has sourced a 48-unit multifamily value-add in a Tier 3 MSA. Deal size: $4.2M. Strong in-place cash flow, below-market rents, motivated seller. Three conventional lenders passed — not because the deal is bad, but because the market and size fall outside their current box.</w:t>
      </w:r>
    </w:p>
    <w:p>
      <w:pPr>
        <w:spacing w:after="60" w:before="0"/>
      </w:pPr>
      <w:r>
        <w:rPr>
          <w:rFonts w:ascii="Calibri" w:cs="Calibri" w:eastAsia="Calibri" w:hAnsi="Calibri"/>
          <w:color w:val="1E293B"/>
          <w:sz w:val="22"/>
          <w:szCs w:val="22"/>
        </w:rPr>
        <w:t xml:space="preserve">Without NMGDA: Two weeks of phone calls. One lender expresses interest but needs a full underwriting package the broker doesn’t have time to build. Seller is losing patience. Without NMGDA: deal dies.</w:t>
      </w:r>
    </w:p>
    <w:p>
      <w:pPr>
        <w:spacing w:after="80" w:before="0"/>
      </w:pPr>
      <w:r>
        <w:rPr>
          <w:rFonts w:ascii="Calibri" w:cs="Calibri" w:eastAsia="Calibri" w:hAnsi="Calibri"/>
          <w:color w:val="1E293B"/>
          <w:sz w:val="22"/>
          <w:szCs w:val="22"/>
        </w:rPr>
        <w:t xml:space="preserve">With NMGDA: Broker posts the scenario anonymously (market, asset type, size, structure, in-place yield). Uploads rent roll for AI Verified status. In 27 minutes, NEXUS returns a verified underwriting package: XIRR at three leverage scenarios, LASSO sensitivity showing exit cap rate as the primary driver, GNN cap rate estimate from 14 verified comps in comparable Tier 3 markets, and a bank-ready IC memo. Three matching capital deployers receive DealPulse notifications. Two request introduction within 24 hours. Deal closes in eleven days.</w:t>
      </w:r>
    </w:p>
    <w:p>
      <w:pPr>
        <w:spacing w:after="0" w:before="0"/>
      </w:pPr>
      <w:r>
        <w:rPr>
          <w:rFonts w:ascii="Calibri" w:cs="Calibri" w:eastAsia="Calibri" w:hAnsi="Calibri"/>
          <w:b/>
          <w:bCs/>
          <w:color w:val="0D2D52"/>
          <w:sz w:val="22"/>
          <w:szCs w:val="22"/>
        </w:rPr>
        <w:t xml:space="preserve">ROI: Time to viable capital match: 14+ days → 24 hours. Underwriting package: 3–5 days → 27 minutes. Broker commission preserved in full. Platform fee: 1.5% (§ $63,000). Net to broker: deal saved.</w:t>
      </w:r>
    </w:p>
    <w:p>
      <w:pPr>
        <w:pBdr>
          <w:bottom w:val="single" w:color="B8860B" w:sz="3" w:space="4"/>
        </w:pBdr>
        <w:spacing w:after="100" w:before="220"/>
      </w:pPr>
      <w:r>
        <w:rPr>
          <w:rFonts w:ascii="Georgia" w:cs="Georgia" w:eastAsia="Georgia" w:hAnsi="Georgia"/>
          <w:b/>
          <w:bCs/>
          <w:color w:val="0D2D52"/>
          <w:sz w:val="32"/>
          <w:szCs w:val="32"/>
        </w:rPr>
        <w:t xml:space="preserve">8.2  The Capital Deployer Without a Pipeline</w:t>
      </w:r>
    </w:p>
    <w:p>
      <w:pPr>
        <w:spacing w:after="60" w:before="0"/>
      </w:pPr>
      <w:r>
        <w:rPr>
          <w:rFonts w:ascii="Calibri" w:cs="Calibri" w:eastAsia="Calibri" w:hAnsi="Calibri"/>
          <w:color w:val="1E293B"/>
          <w:sz w:val="22"/>
          <w:szCs w:val="22"/>
        </w:rPr>
        <w:t xml:space="preserve">A private credit fund has $22M to deploy into bridge loans on light industrial in three target MSAs. The team is stretched across portfolio monitoring. They receive 40 inbound pitches per week. Fewer than 5 meet their criteria. The team spends 60% of analysis time on deals that should have been screened out at the criteria-matching stage.</w:t>
      </w:r>
    </w:p>
    <w:p>
      <w:pPr>
        <w:spacing w:after="0" w:before="0"/>
      </w:pPr>
      <w:r>
        <w:rPr>
          <w:rFonts w:ascii="Calibri" w:cs="Calibri" w:eastAsia="Calibri" w:hAnsi="Calibri"/>
          <w:color w:val="1E293B"/>
          <w:sz w:val="22"/>
          <w:szCs w:val="22"/>
        </w:rPr>
        <w:t xml:space="preserve">With NMGDA: The fund posts anonymous criteria. AI Verified deals matching their criteria appear in the dashboard. 8 high-confidence matches per week instead of 40 unfiltered pitches. Allocation velocity improves 3× in the first quarter.</w:t>
      </w:r>
    </w:p>
    <w:p>
      <w:pPr>
        <w:pBdr>
          <w:bottom w:val="single" w:color="B8860B" w:sz="3" w:space="4"/>
        </w:pBdr>
        <w:spacing w:after="100" w:before="220"/>
      </w:pPr>
      <w:r>
        <w:rPr>
          <w:rFonts w:ascii="Georgia" w:cs="Georgia" w:eastAsia="Georgia" w:hAnsi="Georgia"/>
          <w:b/>
          <w:bCs/>
          <w:color w:val="0D2D52"/>
          <w:sz w:val="32"/>
          <w:szCs w:val="32"/>
        </w:rPr>
        <w:t xml:space="preserve">8.3  The Analyst With Good Instincts and No Platform</w:t>
      </w:r>
    </w:p>
    <w:p>
      <w:pPr>
        <w:spacing w:after="60" w:before="0"/>
      </w:pPr>
      <w:r>
        <w:rPr>
          <w:rFonts w:ascii="Calibri" w:cs="Calibri" w:eastAsia="Calibri" w:hAnsi="Calibri"/>
          <w:color w:val="1E293B"/>
          <w:sz w:val="22"/>
          <w:szCs w:val="22"/>
        </w:rPr>
        <w:t xml:space="preserve">An analyst at a regional brokerage has called three submarket turns correctly in the past 18 months — 3–6 months before published indices caught up. Nobody outside their firm knows this. Their insights have no credential, no record, and no monetization path.</w:t>
      </w:r>
    </w:p>
    <w:p>
      <w:pPr>
        <w:spacing w:after="0" w:before="0"/>
      </w:pPr>
      <w:r>
        <w:rPr>
          <w:rFonts w:ascii="Calibri" w:cs="Calibri" w:eastAsia="Calibri" w:hAnsi="Calibri"/>
          <w:color w:val="1E293B"/>
          <w:sz w:val="22"/>
          <w:szCs w:val="22"/>
        </w:rPr>
        <w:t xml:space="preserve">With NMGDA: The analyst posts top picks on RepID. Stakes reputation on each prediction. 90 days later, SENSOR and MARKET agents pull verified outcome data. RepID updates to reflect 89% accuracy across 23 predictions over 8 months. Fund managers on the platform begin requesting introductions. The analyst is offered a consulting engagement sourced entirely through their verified track record.</w:t>
      </w:r>
    </w:p>
    <w:p>
      <w:pPr>
        <w:pBdr>
          <w:bottom w:val="single" w:color="B8860B" w:sz="3" w:space="4"/>
        </w:pBdr>
        <w:spacing w:after="100" w:before="220"/>
      </w:pPr>
      <w:r>
        <w:rPr>
          <w:rFonts w:ascii="Georgia" w:cs="Georgia" w:eastAsia="Georgia" w:hAnsi="Georgia"/>
          <w:b/>
          <w:bCs/>
          <w:color w:val="0D2D52"/>
          <w:sz w:val="32"/>
          <w:szCs w:val="32"/>
        </w:rPr>
        <w:t xml:space="preserve">8.4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c>
          <w:tcPr>
            <w:tcW w:type="dxa" w:w="32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Revenue Stream</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Yr 1 ARR</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Yr 3 ARR</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Model</w:t>
            </w:r>
          </w:p>
        </w:tc>
      </w:tr>
      <w:tr>
        <w:tc>
          <w:tcPr>
            <w:tcW w:type="dxa" w:w="32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SaaS Subscriptions ($97–$499/mo)</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$1.9M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$60M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3-tier membership</w:t>
            </w:r>
          </w:p>
        </w:tc>
      </w:tr>
      <w:tr>
        <w:tc>
          <w:tcPr>
            <w:tcW w:type="dxa" w:w="32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x402 Metered Usage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$340K</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$18M</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Per-call pricing</w:t>
            </w:r>
          </w:p>
        </w:tc>
      </w:tr>
      <w:tr>
        <w:tc>
          <w:tcPr>
            <w:tcW w:type="dxa" w:w="32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Marketplace Transaction Fees (5–15%)</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$220K</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$22M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Closing fee on matched deals</w:t>
            </w:r>
          </w:p>
        </w:tc>
      </w:tr>
      <w:tr>
        <w:tc>
          <w:tcPr>
            <w:tcW w:type="dxa" w:w="32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RepID Staking (0.5% of staked value)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$85K</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$8M</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On-chain settlement</w:t>
            </w:r>
          </w:p>
        </w:tc>
      </w:tr>
      <w:tr>
        <w:tc>
          <w:tcPr>
            <w:tcW w:type="dxa" w:w="32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Agent API + Institutional Data Licensing</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$320K</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$27M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Developer + enterprise tiers</w:t>
            </w:r>
          </w:p>
        </w:tc>
      </w:tr>
      <w:tr>
        <w:tc>
          <w:tcPr>
            <w:tcW w:type="dxa" w:w="32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B8860B"/>
                <w:sz w:val="20"/>
                <w:szCs w:val="20"/>
              </w:rPr>
              <w:t xml:space="preserve">TOTAL</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$2.9M</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B8860B"/>
                <w:sz w:val="20"/>
                <w:szCs w:val="20"/>
              </w:rPr>
              <w:t xml:space="preserve">$135M</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FFFFFF"/>
                <w:sz w:val="20"/>
                <w:szCs w:val="20"/>
              </w:rPr>
              <w:t xml:space="preserve"/>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09</w:t>
      </w:r>
    </w:p>
    <w:p>
      <w:pPr>
        <w:spacing w:after="120" w:before="0"/>
      </w:pPr>
      <w:r>
        <w:rPr>
          <w:rFonts w:ascii="Georgia" w:cs="Georgia" w:eastAsia="Georgia" w:hAnsi="Georgia"/>
          <w:b/>
          <w:bCs/>
          <w:color w:val="0D2D52"/>
          <w:sz w:val="52"/>
          <w:szCs w:val="52"/>
        </w:rPr>
        <w:t xml:space="preserve">Market Opportunity &amp; GTM</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NMGDA does not compete in a single product category. It is a displacement play — replacing three separate line items in a CRE professional’s budget (Argus or equivalent, CoStar or equivalent, and a fragmented capital-outreach workflow) with one integrated platform at a fraction of the cost. You’ve already earned access to the intelligence, the network, and the track record. NMGDA makes it visible, verifiable, and portable.</w:t>
      </w:r>
    </w:p>
    <w:p>
      <w:pPr>
        <w:pBdr>
          <w:bottom w:val="single" w:color="B8860B" w:sz="3" w:space="4"/>
        </w:pBdr>
        <w:spacing w:after="100" w:before="220"/>
      </w:pPr>
      <w:r>
        <w:rPr>
          <w:rFonts w:ascii="Georgia" w:cs="Georgia" w:eastAsia="Georgia" w:hAnsi="Georgia"/>
          <w:b/>
          <w:bCs/>
          <w:color w:val="0D2D52"/>
          <w:sz w:val="32"/>
          <w:szCs w:val="32"/>
        </w:rPr>
        <w:t xml:space="preserve">9.1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60"/>
      </w:tblGrid>
      <w:tr>
        <w:tc>
          <w:tcPr>
            <w:tcW w:type="dxa" w:w="26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Addressable Market ($B)</w:t>
            </w:r>
          </w:p>
        </w:tc>
        <w:tc>
          <w:tcPr>
            <w:tcW w:type="dxa" w:w="54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Volume / Cost</w:t>
            </w:r>
          </w:p>
        </w:tc>
        <w:tc>
          <w:tcPr>
            <w:tcW w:type="dxa" w:w="136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pPr>
              <w:jc w:val="right"/>
            </w:pPr>
            <w:r>
              <w:rPr>
                <w:rFonts w:ascii="Calibri" w:cs="Calibri" w:eastAsia="Calibri" w:hAnsi="Calibri"/>
                <w:b/>
                <w:bCs/>
                <w:color w:val="FFFFFF"/>
                <w:sz w:val="19"/>
                <w:szCs w:val="19"/>
              </w:rPr>
              <w:t xml:space="preserve">Value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CRE SaaS (Argus/CoStar replacement)</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5"/>
              <w:gridCol w:w="5175"/>
            </w:tblGrid>
            <w:tr>
              <w:tc>
                <w:tcPr>
                  <w:tcW w:type="dxa" w:w="25"/>
                  <w:tcBorders>
                    <w:top w:val="none" w:color="FFFFFF" w:sz="0"/>
                    <w:left w:val="none" w:color="FFFFFF" w:sz="0"/>
                    <w:bottom w:val="none" w:color="FFFFFF" w:sz="0"/>
                    <w:right w:val="none" w:color="FFFFFF" w:sz="0"/>
                  </w:tcBorders>
                  <w:shd w:fill="0D2D52" w:val="clear"/>
                  <w:tcMar>
                    <w:top w:type="dxa" w:w="60"/>
                    <w:left w:type="dxa" w:w="0"/>
                    <w:bottom w:type="dxa" w:w="60"/>
                    <w:right w:type="dxa" w:w="0"/>
                  </w:tcMar>
                </w:tcPr>
                <w:p/>
              </w:tc>
              <w:tc>
                <w:tcPr>
                  <w:tcW w:type="dxa" w:w="5175"/>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0D2D52"/>
                <w:sz w:val="20"/>
                <w:szCs w:val="20"/>
              </w:rPr>
              <w:t xml:space="preserve">$567M</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CRE Data Intelligence</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17"/>
              <w:gridCol w:w="4983"/>
            </w:tblGrid>
            <w:tr>
              <w:tc>
                <w:tcPr>
                  <w:tcW w:type="dxa" w:w="217"/>
                  <w:tcBorders>
                    <w:top w:val="none" w:color="FFFFFF" w:sz="0"/>
                    <w:left w:val="none" w:color="FFFFFF" w:sz="0"/>
                    <w:bottom w:val="none" w:color="FFFFFF" w:sz="0"/>
                    <w:right w:val="none" w:color="FFFFFF" w:sz="0"/>
                  </w:tcBorders>
                  <w:shd w:fill="1A56DB" w:val="clear"/>
                  <w:tcMar>
                    <w:top w:type="dxa" w:w="60"/>
                    <w:left w:type="dxa" w:w="0"/>
                    <w:bottom w:type="dxa" w:w="60"/>
                    <w:right w:type="dxa" w:w="0"/>
                  </w:tcMar>
                </w:tcPr>
                <w:p/>
              </w:tc>
              <w:tc>
                <w:tcPr>
                  <w:tcW w:type="dxa" w:w="4983"/>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1A56DB"/>
                <w:sz w:val="20"/>
                <w:szCs w:val="20"/>
              </w:rPr>
              <w:t xml:space="preserve">$5B</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Annual CRE Transaction Volume (fee)</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gridCol w:w="80"/>
            </w:tblGrid>
            <w:tr>
              <w:tc>
                <w:tcPr>
                  <w:tcW w:type="dxa" w:w="5200"/>
                  <w:tcBorders>
                    <w:top w:val="none" w:color="FFFFFF" w:sz="0"/>
                    <w:left w:val="none" w:color="FFFFFF" w:sz="0"/>
                    <w:bottom w:val="none" w:color="FFFFFF" w:sz="0"/>
                    <w:right w:val="none" w:color="FFFFFF" w:sz="0"/>
                  </w:tcBorders>
                  <w:shd w:fill="0F766E" w:val="clear"/>
                  <w:tcMar>
                    <w:top w:type="dxa" w:w="60"/>
                    <w:left w:type="dxa" w:w="0"/>
                    <w:bottom w:type="dxa" w:w="60"/>
                    <w:right w:type="dxa" w:w="0"/>
                  </w:tcMar>
                </w:tcPr>
                <w:p/>
              </w:tc>
              <w:tc>
                <w:tcPr>
                  <w:tcW w:type="dxa" w:w="80"/>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0F766E"/>
                <w:sz w:val="20"/>
                <w:szCs w:val="20"/>
              </w:rPr>
              <w:t xml:space="preserve">$120B</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Cross-Vertical Licensing (P-013)</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
              <w:gridCol w:w="4680"/>
            </w:tblGrid>
            <w:tr>
              <w:tc>
                <w:tcPr>
                  <w:tcW w:type="dxa" w:w="520"/>
                  <w:tcBorders>
                    <w:top w:val="none" w:color="FFFFFF" w:sz="0"/>
                    <w:left w:val="none" w:color="FFFFFF" w:sz="0"/>
                    <w:bottom w:val="none" w:color="FFFFFF" w:sz="0"/>
                    <w:right w:val="none" w:color="FFFFFF" w:sz="0"/>
                  </w:tcBorders>
                  <w:shd w:fill="5B21B6" w:val="clear"/>
                  <w:tcMar>
                    <w:top w:type="dxa" w:w="60"/>
                    <w:left w:type="dxa" w:w="0"/>
                    <w:bottom w:type="dxa" w:w="60"/>
                    <w:right w:type="dxa" w:w="0"/>
                  </w:tcMar>
                </w:tcPr>
                <w:p/>
              </w:tc>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5B21B6"/>
                <w:sz w:val="20"/>
                <w:szCs w:val="20"/>
              </w:rPr>
              <w:t xml:space="preserve">$12B+</w:t>
            </w:r>
          </w:p>
        </w:tc>
      </w:tr>
    </w:tbl>
    <w:p>
      <w:pPr>
        <w:spacing w:after="80" w:before="0"/>
      </w:pPr>
    </w:p>
    <w:p>
      <w:pPr>
        <w:spacing w:after="0" w:before="0"/>
      </w:pPr>
      <w:r>
        <w:rPr>
          <w:rFonts w:ascii="Calibri" w:cs="Calibri" w:eastAsia="Calibri" w:hAnsi="Calibri"/>
          <w:i/>
          <w:iCs/>
          <w:color w:val="334155"/>
          <w:sz w:val="21"/>
          <w:szCs w:val="21"/>
        </w:rPr>
        <w:t xml:space="preserve">Beachhead: CRE SaaS at $567M — replacing $5K–15K/yr Argus seats and $50K/yr CoStar subscriptions with $97–$499/mo platform membership. Break-even: Month 6. Year 1 ARR target: $2.9M. Year 3 ARR target: $135M.</w:t>
      </w:r>
    </w:p>
    <w:p>
      <w:pPr>
        <w:pBdr>
          <w:bottom w:val="single" w:color="B8860B" w:sz="3" w:space="4"/>
        </w:pBdr>
        <w:spacing w:after="100" w:before="220"/>
      </w:pPr>
      <w:r>
        <w:rPr>
          <w:rFonts w:ascii="Georgia" w:cs="Georgia" w:eastAsia="Georgia" w:hAnsi="Georgia"/>
          <w:b/>
          <w:bCs/>
          <w:color w:val="0D2D52"/>
          <w:sz w:val="32"/>
          <w:szCs w:val="32"/>
        </w:rPr>
        <w:t xml:space="preserve">9.2  GTM: The Hard Money Beachhead</w:t>
      </w:r>
    </w:p>
    <w:p>
      <w:pPr>
        <w:spacing w:after="80" w:before="0"/>
      </w:pPr>
      <w:r>
        <w:rPr>
          <w:rFonts w:ascii="Calibri" w:cs="Calibri" w:eastAsia="Calibri" w:hAnsi="Calibri"/>
          <w:color w:val="1E293B"/>
          <w:sz w:val="22"/>
          <w:szCs w:val="22"/>
        </w:rPr>
        <w:t xml:space="preserve">The initial target market is the hard money lending sector: deal cycles of 7–14 days, high tolerance for technology that saves time, deep familiarity with private capital networks, and a culture that already values discretion. This community has the most acute pain — they lose deals to speed more than any other segment — and the highest willingness to pay for a faster, more private alternative.</w:t>
      </w:r>
    </w:p>
    <w:p>
      <w:pPr>
        <w:spacing w:after="80" w:before="0"/>
      </w:pPr>
      <w:r>
        <w:rPr>
          <w:rFonts w:ascii="Calibri" w:cs="Calibri" w:eastAsia="Calibri" w:hAnsi="Calibri"/>
          <w:color w:val="1E293B"/>
          <w:sz w:val="22"/>
          <w:szCs w:val="22"/>
        </w:rPr>
        <w:t xml:space="preserve">NMGDA’s launch model applies engineered scarcity and peer validation simultaneously — the same mechanics that built TIGER 21 (1,600+ members, $200B+ AUM) into the most trusted private peer network in wealth management. TIGER 21’s success driver: vetted quality + safe space for candid discussion + zero sales pressure. NMGDA applies the same formula to active CRE deal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8"/>
              <w:left w:val="single" w:color="B8860B" w:sz="8"/>
              <w:bottom w:val="single" w:color="B8860B" w:sz="8"/>
              <w:right w:val="single" w:color="B8860B" w:sz="8"/>
            </w:tcBorders>
            <w:shd w:fill="FFF8E1" w:val="clear"/>
            <w:tcMar>
              <w:top w:type="dxa" w:w="160"/>
              <w:left w:type="dxa" w:w="220"/>
              <w:bottom w:type="dxa" w:w="160"/>
              <w:right w:type="dxa" w:w="220"/>
            </w:tcMar>
          </w:tcPr>
          <w:p>
            <w:pPr>
              <w:spacing w:after="60" w:before="0"/>
            </w:pPr>
            <w:r>
              <w:rPr>
                <w:rFonts w:ascii="Georgia" w:cs="Georgia" w:eastAsia="Georgia" w:hAnsi="Georgia"/>
                <w:b/>
                <w:bCs/>
                <w:color w:val="B8860B"/>
                <w:sz w:val="24"/>
                <w:szCs w:val="24"/>
              </w:rPr>
              <w:t xml:space="preserve">Founding Cohort Architecture — 200 Members · 2 Invites Each</w:t>
            </w:r>
          </w:p>
          <w:p>
            <w:pPr>
              <w:spacing w:after="0" w:before="0"/>
            </w:pPr>
            <w:r>
              <w:rPr>
                <w:rFonts w:ascii="Calibri" w:cs="Calibri" w:eastAsia="Calibri" w:hAnsi="Calibri"/>
                <w:color w:val="1E293B"/>
                <w:sz w:val="21"/>
                <w:szCs w:val="21"/>
              </w:rPr>
              <w:t xml:space="preserve">Application required. Each founding member receives two invitations, creating viral growth within exactly the right network segment. Founding members receive: lifetime 1.5× RepID multiplier, first access to new marketplace categories, founding member badge (shareable, permanent), and zero platform fees for 90 days. The founding cohort is not a marketing exercise — it is the first layer of the reputation graph. The track records built in Year 1 define standing when the network reaches critical mass.</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9.3  The Compounding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600"/>
        <w:gridCol w:w="3840"/>
      </w:tblGrid>
      <w:tr>
        <w:tc>
          <w:tcPr>
            <w:tcW w:type="dxa" w:w="192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Moat Type</w:t>
            </w:r>
          </w:p>
        </w:tc>
        <w:tc>
          <w:tcPr>
            <w:tcW w:type="dxa" w:w="36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Mechanism</w:t>
            </w:r>
          </w:p>
        </w:tc>
        <w:tc>
          <w:tcPr>
            <w:tcW w:type="dxa" w:w="38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Why It Compounds</w:t>
            </w:r>
          </w:p>
        </w:tc>
      </w:tr>
      <w:tr>
        <w:tc>
          <w:tcPr>
            <w:tcW w:type="dxa" w:w="19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Data Network Effect</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Every verified comparable enriches the GNN training set. Every deal connection adds to submarket intelligence.</w:t>
            </w:r>
          </w:p>
        </w:tc>
        <w:tc>
          <w:tcPr>
            <w:tcW w:type="dxa" w:w="38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Gap between NMGDA’s GNN-estimated cap rates and a new entrant’s analyst-estimated cap rates grows with every transaction.</w:t>
            </w:r>
          </w:p>
        </w:tc>
      </w:tr>
      <w:tr>
        <w:tc>
          <w:tcPr>
            <w:tcW w:type="dxa" w:w="19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Reputation Lock-In</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 participant’s RepID score is non-transferable by design. The founding multiplier is permanent.</w:t>
            </w:r>
          </w:p>
        </w:tc>
        <w:tc>
          <w:tcPr>
            <w:tcW w:type="dxa" w:w="38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 3-year track record with a 1.5× multiplier cannot be replicated. The credential’s value grows with platform tenure.</w:t>
            </w:r>
          </w:p>
        </w:tc>
      </w:tr>
      <w:tr>
        <w:tc>
          <w:tcPr>
            <w:tcW w:type="dxa" w:w="19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Patent Protection</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P-002 through P-013 protect the method, not the market.</w:t>
            </w:r>
          </w:p>
        </w:tc>
        <w:tc>
          <w:tcPr>
            <w:tcW w:type="dxa" w:w="38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Any competitor replicating ANFIS + BFT + ZK + ERC-8004 in a single verified workflow is replicating the claims.</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10</w:t>
      </w:r>
    </w:p>
    <w:p>
      <w:pPr>
        <w:spacing w:after="120" w:before="0"/>
      </w:pPr>
      <w:r>
        <w:rPr>
          <w:rFonts w:ascii="Georgia" w:cs="Georgia" w:eastAsia="Georgia" w:hAnsi="Georgia"/>
          <w:b/>
          <w:bCs/>
          <w:color w:val="0D2D52"/>
          <w:sz w:val="52"/>
          <w:szCs w:val="52"/>
        </w:rPr>
        <w:t xml:space="preserve">Roadmap &amp; Risk Management</w:t>
      </w:r>
    </w:p>
    <w:p>
      <w:pPr>
        <w:pBdr>
          <w:bottom w:val="single" w:color="B8860B" w:sz="8" w:space="1"/>
        </w:pBdr>
        <w:spacing w:after="0" w:before="0"/>
      </w:pPr>
    </w:p>
    <w:p>
      <w:pPr>
        <w:spacing w:after="120" w:before="0"/>
      </w:pPr>
    </w:p>
    <w:p>
      <w:pPr>
        <w:pBdr>
          <w:bottom w:val="single" w:color="B8860B" w:sz="3" w:space="4"/>
        </w:pBdr>
        <w:spacing w:after="100" w:before="220"/>
      </w:pPr>
      <w:r>
        <w:rPr>
          <w:rFonts w:ascii="Georgia" w:cs="Georgia" w:eastAsia="Georgia" w:hAnsi="Georgia"/>
          <w:b/>
          <w:bCs/>
          <w:color w:val="0D2D52"/>
          <w:sz w:val="32"/>
          <w:szCs w:val="32"/>
        </w:rPr>
        <w:t xml:space="preserve">10.1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40"/>
        <w:gridCol w:w="3960"/>
        <w:gridCol w:w="3000"/>
      </w:tblGrid>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Phase / Timeline</w:t>
            </w:r>
          </w:p>
        </w:tc>
        <w:tc>
          <w:tcPr>
            <w:tcW w:type="dxa" w:w="39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Milestones</w:t>
            </w:r>
          </w:p>
        </w:tc>
        <w:tc>
          <w:tcPr>
            <w:tcW w:type="dxa" w:w="3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Patent Actions</w:t>
            </w:r>
          </w:p>
        </w:tc>
      </w:tr>
      <w:t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0 — Foundation
(Complete)</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12 Railway agents deployed. Supabase 276-table schema live. 12 MetaMask EOA wallets funded on Base Sepolia. 53 shared env vars across 18 LLM providers. 4 GitHub repos active.</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8B1A1A"/>
                <w:sz w:val="20"/>
                <w:szCs w:val="20"/>
              </w:rPr>
              <w:t xml:space="preserve">Patent gate active</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1</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1 — Core Engine
(Weeks 1–3)</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NEXUS engine live: INTAKE OCR, VERITAS dual-path, NEXUS GNN, TORCH IC memo. x402 payment rails. ERC-8004 agent identities. ANFIS router deployed.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File P-004, P-012</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2</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2 — ZK + Marketplace
(Weeks 4–6)</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Plonky3 ZK proofs live. Anonymous posting. Bumble mechanic. AI Verified badge. 200 founding members onboarded. DealPulse channels live.</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Begin P-002 non-prov attorney prep</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3</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3 — RepID + Bird Dog
(Weeks 7–10)</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ERC-5114 SBT minting. Staking/slashing live. RepID badge sharing. Bird dog bounty + settlement. 1.5× founding multiplier activated.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File P-005, P-011</w:t>
            </w:r>
          </w:p>
        </w:tc>
      </w:tr>
      <w:t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4</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4 — Scale
(Months 4–6)</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Public launch. 500 bird dogs onboarded. Institutional API tier. Referral mechanics. Break-even target: Month 6.</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P-002 non-prov filing (Aug 17 deadline)</w:t>
            </w:r>
          </w:p>
        </w:tc>
      </w:tr>
      <w:tr>
        <w:tc>
          <w:tcPr>
            <w:tcW w:type="dxa" w:w="36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Phase 2 — Quantum
(Q4 2026)</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CRYSTALS-Dilithium post-quantum signatures. zk-STARK upgrade. Institutional data licensing. P-013 cross-vertical pilot (pharma TBD).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File P-013</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10.2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Risk</w:t>
            </w:r>
          </w:p>
        </w:tc>
        <w:tc>
          <w:tcPr>
            <w:tcW w:type="dxa" w:w="34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Description</w:t>
            </w:r>
          </w:p>
        </w:tc>
        <w:tc>
          <w:tcPr>
            <w:tcW w:type="dxa" w:w="3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Mitigation</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Regulatory</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Platform misclassified as broker-dealer or securities intermediary</w:t>
            </w:r>
          </w:p>
        </w:tc>
        <w:tc>
          <w:tcPr>
            <w:tcW w:type="dxa" w:w="3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Platform credits are utility rewards. Platform connects parties; does not execute transactions. W3C-CRE agent monitors regulatory developments. Legal review ongoing.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Cold-Start Network Effect</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Chicken-and-egg: value requires members, members require value</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Beachhead: hard money sector. 200 founding members, free 90-day access. Sean’s 30,000-person LinkedIn network as launch distribution. 2-invite mechanic.</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 Proof Latency</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Plonky3 proof generation adds latency to critical-path matching</w:t>
            </w:r>
          </w:p>
        </w:tc>
        <w:tc>
          <w:tcPr>
            <w:tcW w:type="dxa" w:w="3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Plonky3 benchmarked &lt;2s for deal-criteria proofs. Async proof generation for non-blocking UX. Commitment-hash fallback during proof computation.</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Patent Exposure</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P-002 non-provisional deadline August 17, 2026</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Patent gate active. No disclosure of ANFIS parameters, GNN architecture, or BFT veto algorithm. Attorney engagement must begin by early June 2026.</w:t>
            </w:r>
          </w:p>
        </w:tc>
      </w:tr>
      <w:t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Incumbent Response</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CoStar or Argus attempts to replicate ZK/agent architecture</w:t>
            </w:r>
          </w:p>
        </w:tc>
        <w:tc>
          <w:tcPr>
            <w:tcW w:type="dxa" w:w="3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Neither has ZK privacy, agent-to-agent commerce, or reputation staking. P-002/P-004 are non-obvious combinations not present in either product. RepID lock-in compounds moat.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GNN Data Quality</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Model accuracy depends on verified comp volume in early stages</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AI Verified badge incentivizes quality submissions. Founding cohort case study requirement creates initial dataset. SENSOR agent flags outlier comps.</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10.3  Team</w:t>
      </w:r>
    </w:p>
    <w:p>
      <w:pPr>
        <w:spacing w:after="80" w:before="0"/>
      </w:pPr>
      <w:r>
        <w:rPr>
          <w:rFonts w:ascii="Calibri" w:cs="Calibri" w:eastAsia="Calibri" w:hAnsi="Calibri"/>
          <w:color w:val="1E293B"/>
          <w:sz w:val="22"/>
          <w:szCs w:val="22"/>
        </w:rPr>
        <w:t xml:space="preserve">Sean — Founder and Architect. Background: ANFIS/Neural Networks/Fuzzy Logic 2010–2015; Blockchain/DLTs/DAGs from 2016. Thesis: Trivergence (AI + Blockchain + Quantum) as the defining technology moment of the decade. Builder of the HyperDAG Protocol and AI Trinity Symphony multi-agent orchestration platform. 30,000-person LinkedIn network. Mission: helping people help people — the last, the lost, and the least.</w:t>
      </w:r>
    </w:p>
    <w:p>
      <w:pPr>
        <w:spacing w:after="0" w:before="0"/>
      </w:pPr>
      <w:r>
        <w:rPr>
          <w:rFonts w:ascii="Calibri" w:cs="Calibri" w:eastAsia="Calibri" w:hAnsi="Calibri"/>
          <w:color w:val="1E293B"/>
          <w:sz w:val="22"/>
          <w:szCs w:val="22"/>
        </w:rPr>
        <w:t xml:space="preserve">AI Build Coordination: Gemini (Antigravity IDE) — sprint execution and codebase build. Grok — patent claim language and provisional drafting. Claude (AI Trinity Symphony architecture) — architecture strategy, cross-validation, documentation.</w:t>
      </w:r>
    </w:p>
    <w:p>
      <w:pPr>
        <w:spacing w:after="200" w:before="0"/>
      </w:pPr>
    </w:p>
    <w:p>
      <w:pPr>
        <w:pBdr>
          <w:bottom w:val="single" w:color="0D2D52" w:sz="12" w:space="1"/>
        </w:pBdr>
        <w:spacing w:after="0" w:before="0"/>
      </w:pPr>
    </w:p>
    <w:p>
      <w:pPr>
        <w:spacing w:after="120" w:before="0"/>
      </w:pPr>
    </w:p>
    <w:p>
      <w:pPr>
        <w:spacing w:after="60" w:before="0"/>
        <w:jc w:val="center"/>
      </w:pPr>
      <w:r>
        <w:rPr>
          <w:rFonts w:ascii="Georgia" w:cs="Georgia" w:eastAsia="Georgia" w:hAnsi="Georgia"/>
          <w:b/>
          <w:bCs/>
          <w:color w:val="0D2D52"/>
          <w:sz w:val="48"/>
          <w:szCs w:val="48"/>
        </w:rPr>
        <w:t xml:space="preserve">N</w:t>
      </w:r>
      <w:r>
        <w:rPr>
          <w:rFonts w:ascii="Georgia" w:cs="Georgia" w:eastAsia="Georgia" w:hAnsi="Georgia"/>
          <w:color w:val="0D2D52"/>
          <w:sz w:val="48"/>
          <w:szCs w:val="48"/>
        </w:rPr>
        <w:t xml:space="preserve">ever </w:t>
      </w:r>
      <w:r>
        <w:rPr>
          <w:rFonts w:ascii="Georgia" w:cs="Georgia" w:eastAsia="Georgia" w:hAnsi="Georgia"/>
          <w:b/>
          <w:bCs/>
          <w:color w:val="0D2D52"/>
          <w:sz w:val="48"/>
          <w:szCs w:val="48"/>
        </w:rPr>
        <w:t xml:space="preserve">M</w:t>
      </w:r>
      <w:r>
        <w:rPr>
          <w:rFonts w:ascii="Georgia" w:cs="Georgia" w:eastAsia="Georgia" w:hAnsi="Georgia"/>
          <w:color w:val="0D2D52"/>
          <w:sz w:val="48"/>
          <w:szCs w:val="48"/>
        </w:rPr>
        <w:t xml:space="preserve">iss a </w:t>
      </w:r>
      <w:r>
        <w:rPr>
          <w:rFonts w:ascii="Georgia" w:cs="Georgia" w:eastAsia="Georgia" w:hAnsi="Georgia"/>
          <w:b/>
          <w:bCs/>
          <w:color w:val="0D2D52"/>
          <w:sz w:val="48"/>
          <w:szCs w:val="48"/>
        </w:rPr>
        <w:t xml:space="preserve">G</w:t>
      </w:r>
      <w:r>
        <w:rPr>
          <w:rFonts w:ascii="Georgia" w:cs="Georgia" w:eastAsia="Georgia" w:hAnsi="Georgia"/>
          <w:color w:val="0D2D52"/>
          <w:sz w:val="48"/>
          <w:szCs w:val="48"/>
        </w:rPr>
        <w:t xml:space="preserve">ood </w:t>
      </w:r>
      <w:r>
        <w:rPr>
          <w:rFonts w:ascii="Georgia" w:cs="Georgia" w:eastAsia="Georgia" w:hAnsi="Georgia"/>
          <w:b/>
          <w:bCs/>
          <w:color w:val="0D2D52"/>
          <w:sz w:val="48"/>
          <w:szCs w:val="48"/>
        </w:rPr>
        <w:t xml:space="preserve">D</w:t>
      </w:r>
      <w:r>
        <w:rPr>
          <w:rFonts w:ascii="Georgia" w:cs="Georgia" w:eastAsia="Georgia" w:hAnsi="Georgia"/>
          <w:color w:val="0D2D52"/>
          <w:sz w:val="48"/>
          <w:szCs w:val="48"/>
        </w:rPr>
        <w:t xml:space="preserve">eal </w:t>
      </w:r>
      <w:r>
        <w:rPr>
          <w:rFonts w:ascii="Georgia" w:cs="Georgia" w:eastAsia="Georgia" w:hAnsi="Georgia"/>
          <w:b/>
          <w:bCs/>
          <w:color w:val="0D2D52"/>
          <w:sz w:val="48"/>
          <w:szCs w:val="48"/>
        </w:rPr>
        <w:t xml:space="preserve">A</w:t>
      </w:r>
      <w:r>
        <w:rPr>
          <w:rFonts w:ascii="Georgia" w:cs="Georgia" w:eastAsia="Georgia" w:hAnsi="Georgia"/>
          <w:color w:val="0D2D52"/>
          <w:sz w:val="48"/>
          <w:szCs w:val="48"/>
        </w:rPr>
        <w:t xml:space="preserve">gain</w:t>
      </w:r>
    </w:p>
    <w:p>
      <w:pPr>
        <w:spacing w:after="100" w:before="0"/>
        <w:jc w:val="center"/>
      </w:pPr>
      <w:r>
        <w:rPr>
          <w:rFonts w:ascii="Georgia" w:cs="Georgia" w:eastAsia="Georgia" w:hAnsi="Georgia"/>
          <w:b/>
          <w:bCs/>
          <w:i/>
          <w:iCs/>
          <w:color w:val="B8860B"/>
          <w:sz w:val="40"/>
          <w:szCs w:val="40"/>
        </w:rPr>
        <w:t xml:space="preserve">NMGDA.com</w:t>
      </w:r>
    </w:p>
    <w:p>
      <w:pPr>
        <w:spacing w:after="60" w:before="0"/>
        <w:jc w:val="center"/>
      </w:pPr>
      <w:r>
        <w:rPr>
          <w:rFonts w:ascii="Calibri" w:cs="Calibri" w:eastAsia="Calibri" w:hAnsi="Calibri"/>
          <w:i/>
          <w:iCs/>
          <w:color w:val="334155"/>
          <w:sz w:val="22"/>
          <w:szCs w:val="22"/>
        </w:rPr>
        <w:t xml:space="preserve">Private deal room for commercial real estate principals</w:t>
      </w:r>
    </w:p>
    <w:p>
      <w:pPr>
        <w:pBdr>
          <w:bottom w:val="single" w:color="B8860B" w:sz="6" w:space="1"/>
        </w:pBdr>
        <w:spacing w:after="0" w:before="0"/>
      </w:pPr>
    </w:p>
    <w:p>
      <w:pPr>
        <w:spacing w:after="80" w:before="0"/>
      </w:pPr>
    </w:p>
    <w:p>
      <w:pPr>
        <w:spacing w:after="40" w:before="0"/>
        <w:jc w:val="center"/>
      </w:pPr>
      <w:r>
        <w:rPr>
          <w:rFonts w:ascii="Calibri" w:cs="Calibri" w:eastAsia="Calibri" w:hAnsi="Calibri"/>
          <w:b/>
          <w:bCs/>
          <w:color w:val="1A56DB"/>
          <w:sz w:val="21"/>
          <w:szCs w:val="21"/>
        </w:rPr>
        <w:t xml:space="preserve">info@nmgda.com  ·  tech@nmgda.com  ·  NMGDA.com  ·  Founding Cohort — Application Required</w:t>
      </w:r>
    </w:p>
    <w:p>
      <w:pPr>
        <w:spacing w:after="60" w:before="0"/>
      </w:pPr>
    </w:p>
    <w:p>
      <w:pPr>
        <w:spacing w:after="0" w:before="0"/>
      </w:pPr>
      <w:r>
        <w:rPr>
          <w:rFonts w:ascii="Calibri" w:cs="Calibri" w:eastAsia="Calibri" w:hAnsi="Calibri"/>
          <w:i/>
          <w:iCs/>
          <w:color w:val="64748B"/>
          <w:sz w:val="16"/>
          <w:szCs w:val="16"/>
        </w:rPr>
        <w:t xml:space="preserve">Legal: NMGDA.com is a private deal-sourcing platform for commercial real estate professionals. The platform does not provide investment advice, broker-dealer services, or securities transaction facilitation. Platform credits are utility rewards for platform participation and do not represent investment interests or securities. Users are solely responsible for their own due diligence, compliance, and transaction decisions. Technology infrastructure protected by provisional patent applications P-002 through P-013. © 2026 NMGDA.com · NEXUS CRE Engine · HyperDAG Protocol.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6"/>
      </w:pBdr>
      <w:tabs>
        <w:tab w:val="right" w:pos="9360"/>
      </w:tabs>
      <w:spacing w:after="0" w:before="0"/>
    </w:pPr>
    <w:r>
      <w:rPr>
        <w:rFonts w:ascii="Calibri" w:cs="Calibri" w:eastAsia="Calibri" w:hAnsi="Calibri"/>
        <w:color w:val="64748B"/>
        <w:sz w:val="16"/>
        <w:szCs w:val="16"/>
      </w:rPr>
      <w:t xml:space="preserve">© 2026 NMGDA.com  ·  Powered by NEXUS CRE Engine  ·  HyperDAG Protocol</w:t>
    </w:r>
    <w:r>
      <w:rPr>
        <w:rFonts w:ascii="Calibri" w:cs="Calibri" w:eastAsia="Calibri" w:hAnsi="Calibri"/>
        <w:sz w:val="16"/>
        <w:szCs w:val="16"/>
      </w:rPr>
      <w:t xml:space="preserve">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6"/>
      </w:pBdr>
      <w:tabs>
        <w:tab w:val="right" w:pos="9360"/>
      </w:tabs>
      <w:spacing w:after="0" w:before="0"/>
    </w:pPr>
    <w:r>
      <w:rPr>
        <w:rFonts w:ascii="Calibri" w:cs="Calibri" w:eastAsia="Calibri" w:hAnsi="Calibri"/>
        <w:color w:val="64748B"/>
        <w:sz w:val="17"/>
        <w:szCs w:val="17"/>
      </w:rPr>
      <w:t xml:space="preserve">NMGDA.com  ·  Technical White Paper v2.0</w:t>
    </w:r>
    <w:r>
      <w:rPr>
        <w:rFonts w:ascii="Calibri" w:cs="Calibri" w:eastAsia="Calibri" w:hAnsi="Calibri"/>
        <w:sz w:val="17"/>
        <w:szCs w:val="17"/>
      </w:rPr>
      <w:t xml:space="preserve">	</w:t>
    </w:r>
    <w:r>
      <w:rPr>
        <w:rFonts w:ascii="Calibri" w:cs="Calibri" w:eastAsia="Calibri" w:hAnsi="Calibri"/>
        <w:b/>
        <w:bCs/>
        <w:color w:val="8B1A1A"/>
        <w:sz w:val="17"/>
        <w:szCs w:val="17"/>
      </w:rPr>
      <w:t xml:space="preserve">CONFIDENTIAL — Patent Gate Active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bCs/>
      <w:color w:val="0D2D52"/>
      <w:sz w:val="52"/>
      <w:szCs w:val="52"/>
    </w:rPr>
  </w:style>
  <w:style w:type="paragraph" w:styleId="Heading2">
    <w:name w:val="Heading 2"/>
    <w:basedOn w:val="Normal"/>
    <w:next w:val="Normal"/>
    <w:qFormat/>
    <w:pPr>
      <w:spacing w:after="100" w:before="220"/>
      <w:outlineLvl w:val="1"/>
    </w:pPr>
    <w:rPr>
      <w:rFonts w:ascii="Georgia" w:cs="Georgia" w:eastAsia="Georgia" w:hAnsi="Georgia"/>
      <w:b/>
      <w:bCs/>
      <w:color w:val="0D2D5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2026-03-10T07:07:46.550Z</dcterms:created>
  <dcterms:modified xsi:type="dcterms:W3CDTF">2026-03-10T07:07:46.551Z</dcterms:modified>
</cp:coreProperties>
</file>

<file path=docProps/custom.xml><?xml version="1.0" encoding="utf-8"?>
<Properties xmlns="http://schemas.openxmlformats.org/officeDocument/2006/custom-properties" xmlns:vt="http://schemas.openxmlformats.org/officeDocument/2006/docPropsVTypes"/>
</file>