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Calibri" w:cs="Calibri" w:eastAsia="Calibri" w:hAnsi="Calibri"/>
          <w:b/>
          <w:bCs/>
          <w:color w:val="B8922A"/>
          <w:spacing w:val="200"/>
          <w:sz w:val="16"/>
          <w:szCs w:val="16"/>
        </w:rPr>
        <w:t xml:space="preserve">TECHNICAL WHITE PAPER — VERSION 2.0 · MARCH 2026</w:t>
      </w:r>
    </w:p>
    <w:p>
      <w:pPr>
        <w:spacing w:before="0" w:after="120"/>
      </w:pPr>
      <w:r>
        <w:rPr>
          <w:rFonts w:ascii="Garamond" w:cs="Garamond" w:eastAsia="Garamond" w:hAnsi="Garamond"/>
          <w:b w:val="false"/>
          <w:bCs w:val="false"/>
          <w:color w:val="0A0A0A"/>
          <w:sz w:val="72"/>
          <w:szCs w:val="72"/>
        </w:rPr>
        <w:t xml:space="preserve">TriNexus</w:t>
      </w:r>
    </w:p>
    <w:p>
      <w:pPr>
        <w:spacing w:before="0" w:after="80"/>
      </w:pPr>
      <w:r>
        <w:rPr>
          <w:rFonts w:ascii="Calibri" w:cs="Calibri" w:eastAsia="Calibri" w:hAnsi="Calibri"/>
          <w:i/>
          <w:iCs/>
          <w:color w:val="3A3A3A"/>
          <w:sz w:val="26"/>
          <w:szCs w:val="26"/>
        </w:rPr>
        <w:t xml:space="preserve">Private Intelligence Network for Commercial Real Estate Principals</w:t>
      </w:r>
    </w:p>
    <w:p>
      <w:pPr>
        <w:pBdr>
          <w:bottom w:val="single" w:color="B8922A" w:sz="6"/>
        </w:pBdr>
        <w:spacing w:before="160" w:after="160"/>
      </w:pPr>
      <w:r>
        <w:t xml:space="preserve"/>
      </w:r>
    </w:p>
    <w:p>
      <w:pPr>
        <w:spacing w:before="0" w:after="60"/>
      </w:pPr>
      <w:r>
        <w:rPr>
          <w:rFonts w:ascii="Calibri" w:cs="Calibri" w:eastAsia="Calibri" w:hAnsi="Calibri"/>
          <w:color w:val="777777"/>
          <w:sz w:val="18"/>
          <w:szCs w:val="18"/>
        </w:rPr>
        <w:t xml:space="preserve">AI-Verified Underwriting  ·  Zero-Knowledge Capital Matching  ·  On-Chain Reputation</w:t>
      </w:r>
    </w:p>
    <w:p>
      <w:pPr>
        <w:spacing w:before="0" w:after="60"/>
      </w:pPr>
      <w:r>
        <w:rPr>
          <w:rFonts w:ascii="Calibri" w:cs="Calibri" w:eastAsia="Calibri" w:hAnsi="Calibri"/>
          <w:color w:val="777777"/>
          <w:sz w:val="18"/>
          <w:szCs w:val="18"/>
        </w:rPr>
        <w:t xml:space="preserve">27-Minute Analysis  ·  BFT Consensus  ·  DealPulse Private Notifications</w:t>
      </w:r>
    </w:p>
    <w:p>
      <w:pPr>
        <w:spacing w:before="0" w:after="0"/>
      </w:pPr>
      <w:r>
        <w:t xml:space="preserve"/>
      </w:r>
    </w:p>
    <w:p>
      <w:pPr>
        <w:spacing w:before="0" w:after="0"/>
      </w:pPr>
      <w:r>
        <w:t xml:space="preserve"/>
      </w:r>
    </w:p>
    <w:p>
      <w:pPr>
        <w:spacing w:before="0" w:after="80"/>
      </w:pPr>
      <w:r>
        <w:rPr>
          <w:rFonts w:ascii="Calibri" w:cs="Calibri" w:eastAsia="Calibri" w:hAnsi="Calibri"/>
          <w:b/>
          <w:bCs/>
          <w:color w:val="B8922A"/>
          <w:sz w:val="18"/>
          <w:szCs w:val="18"/>
        </w:rPr>
        <w:t xml:space="preserve">CONFIDENTIAL — </w:t>
      </w:r>
      <w:r>
        <w:rPr>
          <w:rFonts w:ascii="Calibri" w:cs="Calibri" w:eastAsia="Calibri" w:hAnsi="Calibri"/>
          <w:i/>
          <w:iCs/>
          <w:color w:val="777777"/>
          <w:sz w:val="18"/>
          <w:szCs w:val="18"/>
        </w:rPr>
        <w:t xml:space="preserve">7 patents pending. Proprietary methods, systems, and cross-vertical applications. Do not distribute.</w:t>
      </w:r>
    </w:p>
    <w:p>
      <w:pPr>
        <w:pBdr>
          <w:bottom w:val="single" w:color="EEEEEE" w:sz="2"/>
        </w:pBdr>
        <w:spacing w:before="200" w:after="200"/>
      </w:pPr>
      <w:r>
        <w:t xml:space="preserve"/>
      </w:r>
    </w:p>
    <w:p>
      <w:pPr>
        <w:spacing w:before="200" w:after="60"/>
      </w:pPr>
      <w:r>
        <w:rPr>
          <w:rFonts w:ascii="Calibri" w:cs="Calibri" w:eastAsia="Calibri" w:hAnsi="Calibri"/>
          <w:b/>
          <w:bCs/>
          <w:color w:val="B8922A"/>
          <w:spacing w:val="180"/>
          <w:sz w:val="16"/>
          <w:szCs w:val="16"/>
        </w:rPr>
        <w:t xml:space="preserve">ABSTRACT</w:t>
      </w:r>
    </w:p>
    <w:p>
      <w:pPr>
        <w:spacing w:before="80" w:after="80"/>
      </w:pPr>
      <w:r>
        <w:rPr>
          <w:rFonts w:ascii="Calibri" w:cs="Calibri" w:eastAsia="Calibri" w:hAnsi="Calibri"/>
          <w:color w:val="1C1C1C"/>
          <w:sz w:val="22"/>
          <w:szCs w:val="22"/>
        </w:rPr>
        <w:t xml:space="preserve">TriNexus is a private intelligence platform for commercial real estate principals — combining neuromorphic multi-agent AI, Byzantine Fault-Tolerant consensus, zero-knowledge cryptographic proofs, and on-chain reputation infrastructure into a single, integrated platform. It solves the three frictions that cost CRE professionals the most — speed, intelligence, and capital access — through proprietary methods that are technically verifiable, mathematically grounded, and architecturally protected by a portfolio of pending patents.</w:t>
      </w:r>
    </w:p>
    <w:p>
      <w:pPr>
        <w:spacing w:before="80" w:after="80"/>
      </w:pPr>
      <w:r>
        <w:rPr>
          <w:rFonts w:ascii="Calibri" w:cs="Calibri" w:eastAsia="Calibri" w:hAnsi="Calibri"/>
          <w:color w:val="1C1C1C"/>
          <w:sz w:val="22"/>
          <w:szCs w:val="22"/>
        </w:rPr>
        <w:t xml:space="preserve">The result: AI-verified underwriting in 27 minutes, private ZK-matched capital introduction, verifiable on-chain reputation that compounds over time, and DealPulse — a configurable private notification system that reaches principals on their terms, through their channel, at the moment that matters.</w:t>
      </w:r>
    </w:p>
    <w:p>
      <w:pPr>
        <w:spacing w:before="80" w:after="80"/>
      </w:pPr>
      <w:r>
        <w:rPr>
          <w:rFonts w:ascii="Calibri" w:cs="Calibri" w:eastAsia="Calibri" w:hAnsi="Calibri"/>
          <w:color w:val="1C1C1C"/>
          <w:sz w:val="22"/>
          <w:szCs w:val="22"/>
        </w:rPr>
        <w:t xml:space="preserve">This document describes the problems, the technology, the architecture, the market opportunity, and the ethical framework that governs every output the platform produces.</w:t>
      </w:r>
    </w:p>
    <w:p>
      <w:pPr>
        <w:pBdr>
          <w:bottom w:val="single" w:color="EEEEEE" w:sz="2"/>
        </w:pBdr>
        <w:spacing w:before="200" w:after="200"/>
      </w:pPr>
      <w:r>
        <w:t xml:space="preserve"/>
      </w:r>
    </w:p>
    <w:p>
      <w:pPr>
        <w:spacing w:before="400" w:after="0"/>
      </w:pPr>
      <w:r>
        <w:br w:type="page"/>
      </w:r>
    </w:p>
    <w:p>
      <w:pPr>
        <w:pStyle w:val="Heading1"/>
        <w:pBdr>
          <w:bottom w:val="single" w:color="B8922A" w:sz="6" w:space="8"/>
        </w:pBdr>
        <w:spacing w:before="400" w:after="160"/>
      </w:pPr>
      <w:r>
        <w:rPr>
          <w:rFonts w:ascii="Garamond" w:cs="Garamond" w:eastAsia="Garamond" w:hAnsi="Garamond"/>
          <w:b w:val="false"/>
          <w:bCs w:val="false"/>
          <w:color w:val="0A0A0A"/>
          <w:sz w:val="40"/>
          <w:szCs w:val="40"/>
        </w:rPr>
        <w:t xml:space="preserve">Section 1 — The Problem: Three Frictions, Every Deal</w:t>
      </w:r>
    </w:p>
    <w:p>
      <w:pPr>
        <w:spacing w:before="120" w:after="120"/>
      </w:pPr>
      <w:r>
        <w:rPr>
          <w:rFonts w:ascii="Garamond" w:cs="Garamond" w:eastAsia="Garamond" w:hAnsi="Garamond"/>
          <w:i/>
          <w:iCs/>
          <w:color w:val="3A3A3A"/>
          <w:sz w:val="26"/>
          <w:szCs w:val="26"/>
        </w:rPr>
        <w:t xml:space="preserve">Commercial real estate runs on information asymmetry. The tools professionals rely on were built for a slower world — and the frictions have compounded.</w:t>
      </w:r>
    </w:p>
    <w:p>
      <w:pPr>
        <w:pStyle w:val="Heading2"/>
        <w:spacing w:before="280" w:after="120"/>
      </w:pPr>
      <w:r>
        <w:rPr>
          <w:rFonts w:ascii="Garamond" w:cs="Garamond" w:eastAsia="Garamond" w:hAnsi="Garamond"/>
          <w:b/>
          <w:bCs/>
          <w:color w:val="1C1C1C"/>
          <w:sz w:val="28"/>
          <w:szCs w:val="28"/>
        </w:rPr>
        <w:t xml:space="preserve">1.1 — Speed: The 48-Hour Window</w:t>
      </w:r>
    </w:p>
    <w:p>
      <w:pPr>
        <w:spacing w:before="80" w:after="80"/>
      </w:pPr>
      <w:r>
        <w:rPr>
          <w:rFonts w:ascii="Calibri" w:cs="Calibri" w:eastAsia="Calibri" w:hAnsi="Calibri"/>
          <w:color w:val="1C1C1C"/>
          <w:sz w:val="22"/>
          <w:szCs w:val="22"/>
        </w:rPr>
        <w:t xml:space="preserve">The institutional standard for properly underwriting a commercial real estate deal — DCF modeling, waterfall analysis, rent roll verification, sensitivity testing — requires three to five business days. The best opportunities in private money CRE close in forty-eight hours or less.</w:t>
      </w:r>
    </w:p>
    <w:p>
      <w:pPr>
        <w:spacing w:before="80" w:after="80"/>
      </w:pPr>
      <w:r>
        <w:rPr>
          <w:rFonts w:ascii="Calibri" w:cs="Calibri" w:eastAsia="Calibri" w:hAnsi="Calibri"/>
          <w:color w:val="1C1C1C"/>
          <w:sz w:val="22"/>
          <w:szCs w:val="22"/>
        </w:rPr>
        <w:t xml:space="preserve">That gap is not a workflow problem. It is a technology gap. Manual data entry from rent rolls and T-12s introduces errors that cascade through models. Cap rate assumptions come from stale comparables or analyst memory. IRR projections are single-path, unverified, and siloed to one person's spreadsheet.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Metric</w:t>
            </w:r>
          </w:p>
        </w:tc>
        <w:tc>
          <w:tcPr>
            <w:tcW w:type="dxa" w:w="30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Legacy Standard</w:t>
            </w:r>
          </w:p>
        </w:tc>
        <w:tc>
          <w:tcPr>
            <w:tcW w:type="dxa" w:w="35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TriNexus NEXUS Engine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Underwriting time</w:t>
            </w:r>
          </w:p>
        </w:tc>
        <w:tc>
          <w:tcPr>
            <w:tcW w:type="dxa" w:w="3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72+ hours</w:t>
            </w:r>
          </w:p>
        </w:tc>
        <w:tc>
          <w:tcPr>
            <w:tcW w:type="dxa" w:w="3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27 minutes</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Cap rate source</w:t>
            </w:r>
          </w:p>
        </w:tc>
        <w:tc>
          <w:tcPr>
            <w:tcW w:type="dxa" w:w="30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Stale published indices / analyst memory</w:t>
            </w:r>
          </w:p>
        </w:tc>
        <w:tc>
          <w:tcPr>
            <w:tcW w:type="dxa" w:w="3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GNN trained on verified comparable transactions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Validation method</w:t>
            </w:r>
          </w:p>
        </w:tc>
        <w:tc>
          <w:tcPr>
            <w:tcW w:type="dxa" w:w="3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Single analyst, manual checks</w:t>
            </w:r>
          </w:p>
        </w:tc>
        <w:tc>
          <w:tcPr>
            <w:tcW w:type="dxa" w:w="3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Dual-path BFT consensus, epsilon=1e-8</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Error detection</w:t>
            </w:r>
          </w:p>
        </w:tc>
        <w:tc>
          <w:tcPr>
            <w:tcW w:type="dxa" w:w="30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Post-hoc, if at all</w:t>
            </w:r>
          </w:p>
        </w:tc>
        <w:tc>
          <w:tcPr>
            <w:tcW w:type="dxa" w:w="3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Real-time — divergence triggers escalation, not output</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Cost per analysis</w:t>
            </w:r>
          </w:p>
        </w:tc>
        <w:tc>
          <w:tcPr>
            <w:tcW w:type="dxa" w:w="3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$5,000–$15,000 (Argus seat)</w:t>
            </w:r>
          </w:p>
        </w:tc>
        <w:tc>
          <w:tcPr>
            <w:tcW w:type="dxa" w:w="3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$25–$199 per deal, or $499/month unlimited</w:t>
            </w:r>
          </w:p>
        </w:tc>
      </w:tr>
    </w:tbl>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1.2 — Intelligence: The Street Knows More Than CoStar</w:t>
      </w:r>
    </w:p>
    <w:p>
      <w:pPr>
        <w:spacing w:before="80" w:after="80"/>
      </w:pPr>
      <w:r>
        <w:rPr>
          <w:rFonts w:ascii="Calibri" w:cs="Calibri" w:eastAsia="Calibri" w:hAnsi="Calibri"/>
          <w:color w:val="1C1C1C"/>
          <w:sz w:val="22"/>
          <w:szCs w:val="22"/>
        </w:rPr>
        <w:t xml:space="preserve">The hard money lender who has closed forty deals in a single submarket knows which investors actually close on time, which brokers overstate rents, and what the real street-level cap rate is — not the published one. That intelligence has always been worth more than any data subscription, and it has never had a trusted home.</w:t>
      </w:r>
    </w:p>
    <w:p>
      <w:pPr>
        <w:spacing w:before="80" w:after="80"/>
      </w:pPr>
      <w:r>
        <w:rPr>
          <w:rFonts w:ascii="Calibri" w:cs="Calibri" w:eastAsia="Calibri" w:hAnsi="Calibri"/>
          <w:color w:val="1C1C1C"/>
          <w:sz w:val="22"/>
          <w:szCs w:val="22"/>
        </w:rPr>
        <w:t xml:space="preserve">CoStar charges $50,000+ per year for data that experienced operators on the street already possess. There was no channel for the people who know things to share them safely — and get something meaningful in return. So the information stayed locked inside relationships and phone calls, accessible only to those already inside the network.</w:t>
      </w:r>
    </w:p>
    <w:p>
      <w:pPr>
        <w:pBdr>
          <w:left w:val="single" w:color="B8922A" w:sz="8" w:space="12"/>
        </w:pBdr>
        <w:spacing w:before="200" w:after="200"/>
        <w:ind w:left="560"/>
      </w:pPr>
      <w:r>
        <w:rPr>
          <w:rFonts w:ascii="Garamond" w:cs="Garamond" w:eastAsia="Garamond" w:hAnsi="Garamond"/>
          <w:i/>
          <w:iCs/>
          <w:color w:val="3A3A3A"/>
          <w:sz w:val="28"/>
          <w:szCs w:val="28"/>
        </w:rPr>
        <w:t xml:space="preserve">The professionals with the best intelligence have never had a trusted, private way to monetize what they know. Until now.</w:t>
      </w:r>
    </w:p>
    <w:p>
      <w:pPr>
        <w:pStyle w:val="Heading2"/>
        <w:spacing w:before="280" w:after="120"/>
      </w:pPr>
      <w:r>
        <w:rPr>
          <w:rFonts w:ascii="Garamond" w:cs="Garamond" w:eastAsia="Garamond" w:hAnsi="Garamond"/>
          <w:b/>
          <w:bCs/>
          <w:color w:val="1C1C1C"/>
          <w:sz w:val="28"/>
          <w:szCs w:val="28"/>
        </w:rPr>
        <w:t xml:space="preserve">1.3 — Capital: The Invisible Market</w:t>
      </w:r>
    </w:p>
    <w:p>
      <w:pPr>
        <w:spacing w:before="80" w:after="80"/>
      </w:pPr>
      <w:r>
        <w:rPr>
          <w:rFonts w:ascii="Calibri" w:cs="Calibri" w:eastAsia="Calibri" w:hAnsi="Calibri"/>
          <w:color w:val="1C1C1C"/>
          <w:sz w:val="22"/>
          <w:szCs w:val="22"/>
        </w:rPr>
        <w:t xml:space="preserve">Investors with serious private capital do not advertise. The moment that becomes known, the calls are relentless — ninety percent of them from brokers who did not read their criteria. Capital sits quiet, waiting for the right deal to appear through a trusted relationship.</w:t>
      </w:r>
    </w:p>
    <w:p>
      <w:pPr>
        <w:spacing w:before="80" w:after="80"/>
      </w:pPr>
      <w:r>
        <w:rPr>
          <w:rFonts w:ascii="Calibri" w:cs="Calibri" w:eastAsia="Calibri" w:hAnsi="Calibri"/>
          <w:color w:val="1C1C1C"/>
          <w:sz w:val="22"/>
          <w:szCs w:val="22"/>
        </w:rPr>
        <w:t xml:space="preserve">On the other side, a broker with a genuine hard-money opportunity is running out of time and running out of network. Both sides want the same match. Neither has a safe, private way to find it without showing their hand.</w:t>
      </w:r>
    </w:p>
    <w:p>
      <w:pPr>
        <w:pBdr>
          <w:bottom w:val="single" w:color="EEEEEE" w:sz="2"/>
        </w:pBdr>
        <w:spacing w:before="200" w:after="200"/>
      </w:pPr>
      <w:r>
        <w:t xml:space="preserve"/>
      </w:r>
    </w:p>
    <w:p>
      <w:pPr>
        <w:spacing w:before="400" w:after="0"/>
      </w:pPr>
      <w:r>
        <w:br w:type="page"/>
      </w:r>
    </w:p>
    <w:p>
      <w:pPr>
        <w:pStyle w:val="Heading1"/>
        <w:pBdr>
          <w:bottom w:val="single" w:color="B8922A" w:sz="6" w:space="8"/>
        </w:pBdr>
        <w:spacing w:before="400" w:after="160"/>
      </w:pPr>
      <w:r>
        <w:rPr>
          <w:rFonts w:ascii="Garamond" w:cs="Garamond" w:eastAsia="Garamond" w:hAnsi="Garamond"/>
          <w:b w:val="false"/>
          <w:bCs w:val="false"/>
          <w:color w:val="0A0A0A"/>
          <w:sz w:val="40"/>
          <w:szCs w:val="40"/>
        </w:rPr>
        <w:t xml:space="preserve">Section 2 — The Legacy Landscape: Why Incumbents Cannot Solve This</w:t>
      </w:r>
    </w:p>
    <w:p>
      <w:pPr>
        <w:spacing w:before="120" w:after="120"/>
      </w:pPr>
      <w:r>
        <w:rPr>
          <w:rFonts w:ascii="Garamond" w:cs="Garamond" w:eastAsia="Garamond" w:hAnsi="Garamond"/>
          <w:i/>
          <w:iCs/>
          <w:color w:val="3A3A3A"/>
          <w:sz w:val="26"/>
          <w:szCs w:val="26"/>
        </w:rPr>
        <w:t xml:space="preserve">The CRE software market is projected to reach $26–34 billion by 2032 (CAGR 9–14%). Yet 92% of firms attempt AI adoption and only 5% achieve meaningful ROI. The infrastructure is broken — and the incumbents built the break.</w:t>
      </w:r>
    </w:p>
    <w:p>
      <w:pPr>
        <w:pStyle w:val="Heading2"/>
        <w:spacing w:before="280" w:after="120"/>
      </w:pPr>
      <w:r>
        <w:rPr>
          <w:rFonts w:ascii="Garamond" w:cs="Garamond" w:eastAsia="Garamond" w:hAnsi="Garamond"/>
          <w:b/>
          <w:bCs/>
          <w:color w:val="1C1C1C"/>
          <w:sz w:val="28"/>
          <w:szCs w:val="28"/>
        </w:rPr>
        <w:t xml:space="preserve">2.1 — The Data Monopoly Problem: CoStar</w:t>
      </w:r>
    </w:p>
    <w:p>
      <w:pPr>
        <w:spacing w:before="80" w:after="80"/>
      </w:pPr>
      <w:r>
        <w:rPr>
          <w:rFonts w:ascii="Calibri" w:cs="Calibri" w:eastAsia="Calibri" w:hAnsi="Calibri"/>
          <w:color w:val="1C1C1C"/>
          <w:sz w:val="22"/>
          <w:szCs w:val="22"/>
        </w:rPr>
        <w:t xml:space="preserve">CoStar Group commands an estimated $50,000+ annual cost per professional user for data access that is publicly indexed, frequently stale, and explicitly designed to create lock-in. Its business model depends on information asymmetry — the same asymmetry it claims to solve. When professionals on CRE forums describe their experience, the words that appear most frequently are: 'monopoly,' 'administrative friction,' and 'not beginner-friendly.'</w:t>
      </w:r>
    </w:p>
    <w:p>
      <w:pPr>
        <w:spacing w:before="80" w:after="80"/>
      </w:pPr>
      <w:r>
        <w:rPr>
          <w:rFonts w:ascii="Calibri" w:cs="Calibri" w:eastAsia="Calibri" w:hAnsi="Calibri"/>
          <w:color w:val="1C1C1C"/>
          <w:sz w:val="22"/>
          <w:szCs w:val="22"/>
        </w:rPr>
        <w:t xml:space="preserve">LoopNet, CoStar's listing subsidiary, compounds this with a pay-to-be-seen model that generates spammy leads, unverified contacts, and what users describe as 'stale supply.' The platform serves the platform's economics — not the professional's deal.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CoStar / LoopNet Failure Mode</w:t>
            </w:r>
          </w:p>
        </w:tc>
        <w:tc>
          <w:tcPr>
            <w:tcW w:type="dxa" w:w="2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Impact on Professional</w:t>
            </w:r>
          </w:p>
        </w:tc>
        <w:tc>
          <w:tcPr>
            <w:tcW w:type="dxa" w:w="37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TriNexus Resolution</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$50K+/year cost barrier</w:t>
            </w:r>
          </w:p>
        </w:tc>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Excludes emerging professionals entirely</w:t>
            </w:r>
          </w:p>
        </w:tc>
        <w:tc>
          <w:tcPr>
            <w:tcW w:type="dxa" w:w="3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x402 micropayments — $0.05 to $2.00 per query</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Public-only data — no privacy layer</w:t>
            </w:r>
          </w:p>
        </w:tc>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Off-market deals die from exposure</w:t>
            </w:r>
          </w:p>
        </w:tc>
        <w:tc>
          <w:tcPr>
            <w:tcW w:type="dxa" w:w="37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ZK-proof matching — criteria never stored in cleartext</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No modeling or underwriting tools</w:t>
            </w:r>
          </w:p>
        </w:tc>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Data without analysis — analyst still required</w:t>
            </w:r>
          </w:p>
        </w:tc>
        <w:tc>
          <w:tcPr>
            <w:tcW w:type="dxa" w:w="3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Integrated NEXUS engine — analysis included</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No reputation system</w:t>
            </w:r>
          </w:p>
        </w:tc>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Cold outreach, warm intros that dry up</w:t>
            </w:r>
          </w:p>
        </w:tc>
        <w:tc>
          <w:tcPr>
            <w:tcW w:type="dxa" w:w="37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RepID on-chain credential — non-transferable, earned</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Residential bias in subsidiaries</w:t>
            </w:r>
          </w:p>
        </w:tc>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CRE-specific needs underserved</w:t>
            </w:r>
          </w:p>
        </w:tc>
        <w:tc>
          <w:tcPr>
            <w:tcW w:type="dxa" w:w="3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CRE-native architecture — waterfalls, DSCR, GNN comps</w:t>
            </w:r>
          </w:p>
        </w:tc>
      </w:tr>
    </w:tbl>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2.2 — The Speed Problem: Argus Enterprise</w:t>
      </w:r>
    </w:p>
    <w:p>
      <w:pPr>
        <w:spacing w:before="80" w:after="80"/>
      </w:pPr>
      <w:r>
        <w:rPr>
          <w:rFonts w:ascii="Calibri" w:cs="Calibri" w:eastAsia="Calibri" w:hAnsi="Calibri"/>
          <w:color w:val="1C1C1C"/>
          <w:sz w:val="22"/>
          <w:szCs w:val="22"/>
        </w:rPr>
        <w:t xml:space="preserve">Argus Enterprise is the industry-standard DCF modeling platform. A seat costs $5,000–$15,000. The interface has not fundamentally changed in a decade. A seasoned analyst requires days to build a model that, when complete, reflects assumptions that are already 72 hours old. Errors require manual audits. Sensitivity analysis is single-path. There is no verification layer, no comparable-grounding mechanism, and no connection to capital markets.</w:t>
      </w:r>
    </w:p>
    <w:p>
      <w:pPr>
        <w:spacing w:before="80" w:after="80"/>
      </w:pPr>
      <w:r>
        <w:rPr>
          <w:rFonts w:ascii="Calibri" w:cs="Calibri" w:eastAsia="Calibri" w:hAnsi="Calibri"/>
          <w:color w:val="1C1C1C"/>
          <w:sz w:val="22"/>
          <w:szCs w:val="22"/>
        </w:rPr>
        <w:t xml:space="preserve">Professionals who use Argus describe it consistently: powerful but punishing. The learning curve is steep. The speed is inadequate. The cost locks out the very professionals who most need the capability.</w:t>
      </w:r>
    </w:p>
    <w:p>
      <w:pPr>
        <w:pStyle w:val="Heading2"/>
        <w:spacing w:before="280" w:after="120"/>
      </w:pPr>
      <w:r>
        <w:rPr>
          <w:rFonts w:ascii="Garamond" w:cs="Garamond" w:eastAsia="Garamond" w:hAnsi="Garamond"/>
          <w:b/>
          <w:bCs/>
          <w:color w:val="1C1C1C"/>
          <w:sz w:val="28"/>
          <w:szCs w:val="28"/>
        </w:rPr>
        <w:t xml:space="preserve">2.3 — The Trust Problem: AI Without Verification</w:t>
      </w:r>
    </w:p>
    <w:p>
      <w:pPr>
        <w:spacing w:before="80" w:after="80"/>
      </w:pPr>
      <w:r>
        <w:rPr>
          <w:rFonts w:ascii="Calibri" w:cs="Calibri" w:eastAsia="Calibri" w:hAnsi="Calibri"/>
          <w:color w:val="1C1C1C"/>
          <w:sz w:val="22"/>
          <w:szCs w:val="22"/>
        </w:rPr>
        <w:t xml:space="preserve">Zillow's Zestimate was the first major demonstration of what happens when AI operates without a verification layer — publicly wrong, frequently by material amounts, and yet cited as authoritative. AppFolio's AI adoption numbers (98% of users, per their own data) describe adoption of automation, not accuracy. When 92% of CRE firms attempt AI and 5% achieve full ROI, the gap is not enthusiasm — it is the absence of a trust mechanism.</w:t>
      </w:r>
    </w:p>
    <w:p>
      <w:pPr>
        <w:spacing w:before="80" w:after="80"/>
      </w:pPr>
      <w:r>
        <w:rPr>
          <w:rFonts w:ascii="Calibri" w:cs="Calibri" w:eastAsia="Calibri" w:hAnsi="Calibri"/>
          <w:color w:val="1C1C1C"/>
          <w:sz w:val="22"/>
          <w:szCs w:val="22"/>
        </w:rPr>
        <w:t xml:space="preserve">A model that hallucinates a cap rate by 75 basis points does not save time. It costs a deal. The CRE industry has learned — slowly and expensively — that AI without grounding is liability, not leverage.</w:t>
      </w:r>
    </w:p>
    <w:p>
      <w:pPr>
        <w:pStyle w:val="Heading2"/>
        <w:spacing w:before="280" w:after="120"/>
      </w:pPr>
      <w:r>
        <w:rPr>
          <w:rFonts w:ascii="Garamond" w:cs="Garamond" w:eastAsia="Garamond" w:hAnsi="Garamond"/>
          <w:b/>
          <w:bCs/>
          <w:color w:val="1C1C1C"/>
          <w:sz w:val="28"/>
          <w:szCs w:val="28"/>
        </w:rPr>
        <w:t xml:space="preserve">2.4 — The Privacy Problem: Public by Default</w:t>
      </w:r>
    </w:p>
    <w:p>
      <w:pPr>
        <w:spacing w:before="80" w:after="80"/>
      </w:pPr>
      <w:r>
        <w:rPr>
          <w:rFonts w:ascii="Calibri" w:cs="Calibri" w:eastAsia="Calibri" w:hAnsi="Calibri"/>
          <w:color w:val="1C1C1C"/>
          <w:sz w:val="22"/>
          <w:szCs w:val="22"/>
        </w:rPr>
        <w:t xml:space="preserve">Every major incumbent in CRE data and listing technology operates on a public-by-default model. Posting a deal reveals the address, the broker, the pricing expectation, and the urgency. Capital deployers who post criteria become inbound targets for every broker in the market who can see a keyword.</w:t>
      </w:r>
    </w:p>
    <w:p>
      <w:pPr>
        <w:spacing w:before="80" w:after="80"/>
      </w:pPr>
      <w:r>
        <w:rPr>
          <w:rFonts w:ascii="Calibri" w:cs="Calibri" w:eastAsia="Calibri" w:hAnsi="Calibri"/>
          <w:color w:val="1C1C1C"/>
          <w:sz w:val="22"/>
          <w:szCs w:val="22"/>
        </w:rPr>
        <w:t xml:space="preserve">Privacy is not a feature any incumbent has built. It has not been technically possible without cryptographic infrastructure that the legacy players do not possess. Zero-knowledge proofs were not available at Argus's architectural layer. They are available at TriNexus's.</w:t>
      </w:r>
    </w:p>
    <w:p>
      <w:pPr>
        <w:pStyle w:val="Heading2"/>
        <w:spacing w:before="280" w:after="120"/>
      </w:pPr>
      <w:r>
        <w:rPr>
          <w:rFonts w:ascii="Garamond" w:cs="Garamond" w:eastAsia="Garamond" w:hAnsi="Garamond"/>
          <w:b/>
          <w:bCs/>
          <w:color w:val="1C1C1C"/>
          <w:sz w:val="28"/>
          <w:szCs w:val="28"/>
        </w:rPr>
        <w:t xml:space="preserve">2.5 — The Reputation Problem: Invisible Track Records</w:t>
      </w:r>
    </w:p>
    <w:p>
      <w:pPr>
        <w:spacing w:before="80" w:after="80"/>
      </w:pPr>
      <w:r>
        <w:rPr>
          <w:rFonts w:ascii="Calibri" w:cs="Calibri" w:eastAsia="Calibri" w:hAnsi="Calibri"/>
          <w:color w:val="1C1C1C"/>
          <w:sz w:val="22"/>
          <w:szCs w:val="22"/>
        </w:rPr>
        <w:t xml:space="preserve">A broker who has closed 40 transactions in a specific submarket with a 91% accuracy rate on market predictions has no verifiable way to communicate that credential to a new counterparty. SIOR and CCIM designations signal discipline, not performance. Closings on a resume are unverifiable, easily exaggerated, and visible only within existing networks.</w:t>
      </w:r>
    </w:p>
    <w:p>
      <w:pPr>
        <w:spacing w:before="80" w:after="80"/>
      </w:pPr>
      <w:r>
        <w:rPr>
          <w:rFonts w:ascii="Calibri" w:cs="Calibri" w:eastAsia="Calibri" w:hAnsi="Calibri"/>
          <w:color w:val="1C1C1C"/>
          <w:sz w:val="22"/>
          <w:szCs w:val="22"/>
        </w:rPr>
        <w:t xml:space="preserve">The professionals who most need their track record to work for them — emerging brokers, regional specialists, hard money originators with deep local knowledge — have no infrastructure for that. The credential they have earned is invisible to the capital that would pay for it.</w:t>
      </w:r>
    </w:p>
    <w:p>
      <w:pPr>
        <w:pBdr>
          <w:bottom w:val="single" w:color="EEEEEE" w:sz="2"/>
        </w:pBdr>
        <w:spacing w:before="200" w:after="200"/>
      </w:pPr>
      <w:r>
        <w:t xml:space="preserve"/>
      </w:r>
    </w:p>
    <w:p>
      <w:pPr>
        <w:spacing w:before="400" w:after="0"/>
      </w:pPr>
      <w:r>
        <w:br w:type="page"/>
      </w:r>
    </w:p>
    <w:p>
      <w:pPr>
        <w:pStyle w:val="Heading1"/>
        <w:pBdr>
          <w:bottom w:val="single" w:color="B8922A" w:sz="6" w:space="8"/>
        </w:pBdr>
        <w:spacing w:before="400" w:after="160"/>
      </w:pPr>
      <w:r>
        <w:rPr>
          <w:rFonts w:ascii="Garamond" w:cs="Garamond" w:eastAsia="Garamond" w:hAnsi="Garamond"/>
          <w:b w:val="false"/>
          <w:bCs w:val="false"/>
          <w:color w:val="0A0A0A"/>
          <w:sz w:val="40"/>
          <w:szCs w:val="40"/>
        </w:rPr>
        <w:t xml:space="preserve">Section 3 — Quantitative Foundations</w:t>
      </w:r>
    </w:p>
    <w:p>
      <w:pPr>
        <w:spacing w:before="120" w:after="120"/>
      </w:pPr>
      <w:r>
        <w:rPr>
          <w:rFonts w:ascii="Garamond" w:cs="Garamond" w:eastAsia="Garamond" w:hAnsi="Garamond"/>
          <w:i/>
          <w:iCs/>
          <w:color w:val="3A3A3A"/>
          <w:sz w:val="26"/>
          <w:szCs w:val="26"/>
        </w:rPr>
        <w:t xml:space="preserve">Every output from the NEXUS engine is mathematically grounded, dual-path verified, and cross-validated to convergence tolerance epsilon=1e-8. The platform does not hallucinate — it either converges to a verified answer or escalates to human review.</w:t>
      </w:r>
    </w:p>
    <w:p>
      <w:pPr>
        <w:pStyle w:val="Heading2"/>
        <w:spacing w:before="280" w:after="120"/>
      </w:pPr>
      <w:r>
        <w:rPr>
          <w:rFonts w:ascii="Garamond" w:cs="Garamond" w:eastAsia="Garamond" w:hAnsi="Garamond"/>
          <w:b/>
          <w:bCs/>
          <w:color w:val="1C1C1C"/>
          <w:sz w:val="28"/>
          <w:szCs w:val="28"/>
        </w:rPr>
        <w:t xml:space="preserve">3.1 — XIRR with Irregular Cash Flows</w:t>
      </w:r>
    </w:p>
    <w:p>
      <w:pPr>
        <w:spacing w:before="80" w:after="80"/>
      </w:pPr>
      <w:r>
        <w:rPr>
          <w:rFonts w:ascii="Calibri" w:cs="Calibri" w:eastAsia="Calibri" w:hAnsi="Calibri"/>
          <w:color w:val="1C1C1C"/>
          <w:sz w:val="22"/>
          <w:szCs w:val="22"/>
        </w:rPr>
        <w:t xml:space="preserve">Commercial real estate cash flows are non-periodic by nature: loan drawdowns, capital calls, preferred return distributions, disposition proceeds, and clawback adjustments all occur on irregular schedules. Standard IRR assumes periodic flows and produces systematically incorrect outputs for these structures. The NEXUS engine uses XIRR throughout.</w:t>
      </w:r>
    </w:p>
    <w:p>
      <w:pPr>
        <w:spacing w:before="80" w:after="80"/>
      </w:pPr>
      <w:r>
        <w:rPr>
          <w:rFonts w:ascii="Calibri" w:cs="Calibri" w:eastAsia="Calibri" w:hAnsi="Calibri"/>
          <w:color w:val="1C1C1C"/>
          <w:sz w:val="22"/>
          <w:szCs w:val="22"/>
        </w:rPr>
        <w:t xml:space="preserve">The XIRR formulation finds rate r such that:</w:t>
      </w:r>
    </w:p>
    <w:p>
      <w:pPr>
        <w:shd w:fill="F7F4EF" w:val="clear"/>
        <w:spacing w:before="120" w:after="120"/>
        <w:jc w:val="center"/>
      </w:pPr>
      <w:r>
        <w:rPr>
          <w:rFonts w:ascii="Courier New" w:cs="Courier New" w:eastAsia="Courier New" w:hAnsi="Courier New"/>
          <w:b/>
          <w:bCs/>
          <w:color w:val="0A0A0A"/>
          <w:sz w:val="22"/>
          <w:szCs w:val="22"/>
        </w:rPr>
        <w:t xml:space="preserve">NPV(r) = sum_i [ CF_i / (1 + r)^((d_i - d_0)/365) ] = 0</w:t>
      </w:r>
    </w:p>
    <w:p>
      <w:pPr>
        <w:spacing w:before="80" w:after="80"/>
      </w:pPr>
      <w:r>
        <w:rPr>
          <w:rFonts w:ascii="Calibri" w:cs="Calibri" w:eastAsia="Calibri" w:hAnsi="Calibri"/>
          <w:color w:val="1C1C1C"/>
          <w:sz w:val="22"/>
          <w:szCs w:val="22"/>
        </w:rPr>
        <w:t xml:space="preserve">where CF_i are cash flows, d_i are the dates of each flow, and d_0 is the reference date. The engine solves this via Newton-Raphson as the primary path and Brent's method as the independent cross-validation path. The two solutions must agree within epsilon=1e-8 or SHOFET issues a veto and the output is flagged for human review.</w:t>
      </w:r>
    </w:p>
    <w:p>
      <w:pPr>
        <w:shd w:fill="F0EDE8" w:val="clear"/>
        <w:spacing w:before="0" w:after="0"/>
        <w:ind w:left="360" w:right="360"/>
      </w:pPr>
      <w:r>
        <w:rPr>
          <w:rFonts w:ascii="Courier New" w:cs="Courier New" w:eastAsia="Courier New" w:hAnsi="Courier New"/>
          <w:color w:val="2D2D2D"/>
          <w:sz w:val="18"/>
          <w:szCs w:val="18"/>
        </w:rPr>
        <w:t xml:space="preserve"># Dual-path XIRR convergence check</w:t>
      </w:r>
    </w:p>
    <w:p>
      <w:pPr>
        <w:shd w:fill="F0EDE8" w:val="clear"/>
        <w:spacing w:before="0" w:after="0"/>
        <w:ind w:left="360" w:right="360"/>
      </w:pPr>
      <w:r>
        <w:rPr>
          <w:rFonts w:ascii="Courier New" w:cs="Courier New" w:eastAsia="Courier New" w:hAnsi="Courier New"/>
          <w:color w:val="2D2D2D"/>
          <w:sz w:val="18"/>
          <w:szCs w:val="18"/>
        </w:rPr>
        <w:t xml:space="preserve">result_primary = xirr_newton_raphson(cash_flows, dates)</w:t>
      </w:r>
    </w:p>
    <w:p>
      <w:pPr>
        <w:shd w:fill="F0EDE8" w:val="clear"/>
        <w:spacing w:before="0" w:after="0"/>
        <w:ind w:left="360" w:right="360"/>
      </w:pPr>
      <w:r>
        <w:rPr>
          <w:rFonts w:ascii="Courier New" w:cs="Courier New" w:eastAsia="Courier New" w:hAnsi="Courier New"/>
          <w:color w:val="2D2D2D"/>
          <w:sz w:val="18"/>
          <w:szCs w:val="18"/>
        </w:rPr>
        <w:t xml:space="preserve">result_validation = xirr_brent(cash_flows, dates)</w:t>
      </w:r>
    </w:p>
    <w:p>
      <w:pPr>
        <w:shd w:fill="F0EDE8" w:val="clear"/>
        <w:spacing w:before="0" w:after="0"/>
        <w:ind w:left="360" w:right="360"/>
      </w:pPr>
      <w:r>
        <w:rPr>
          <w:rFonts w:ascii="Courier New" w:cs="Courier New" w:eastAsia="Courier New" w:hAnsi="Courier New"/>
          <w:color w:val="2D2D2D"/>
          <w:sz w:val="18"/>
          <w:szCs w:val="18"/>
        </w:rPr>
        <w:t xml:space="preserve">delta = abs(result_primary - result_validation)</w:t>
      </w:r>
    </w:p>
    <w:p>
      <w:pPr>
        <w:shd w:fill="F0EDE8" w:val="clear"/>
        <w:spacing w:before="0" w:after="0"/>
        <w:ind w:left="360" w:right="360"/>
      </w:pPr>
      <w:r>
        <w:rPr>
          <w:rFonts w:ascii="Courier New" w:cs="Courier New" w:eastAsia="Courier New" w:hAnsi="Courier New"/>
          <w:color w:val="2D2D2D"/>
          <w:sz w:val="18"/>
          <w:szCs w:val="18"/>
        </w:rPr>
        <w:t xml:space="preserve">if delta &gt; EPSILON:  # EPSILON = 1e-8</w:t>
      </w:r>
    </w:p>
    <w:p>
      <w:pPr>
        <w:shd w:fill="F0EDE8" w:val="clear"/>
        <w:spacing w:before="0" w:after="0"/>
        <w:ind w:left="360" w:right="360"/>
      </w:pPr>
      <w:r>
        <w:rPr>
          <w:rFonts w:ascii="Courier New" w:cs="Courier New" w:eastAsia="Courier New" w:hAnsi="Courier New"/>
          <w:color w:val="2D2D2D"/>
          <w:sz w:val="18"/>
          <w:szCs w:val="18"/>
        </w:rPr>
        <w:t xml:space="preserve">    shofet.veto(reason='XIRR_CONVERGENCE_FAILURE', delta=delta)</w:t>
      </w:r>
    </w:p>
    <w:p>
      <w:pPr>
        <w:shd w:fill="F0EDE8" w:val="clear"/>
        <w:spacing w:before="0" w:after="0"/>
        <w:ind w:left="360" w:right="360"/>
      </w:pPr>
      <w:r>
        <w:rPr>
          <w:rFonts w:ascii="Courier New" w:cs="Courier New" w:eastAsia="Courier New" w:hAnsi="Courier New"/>
          <w:color w:val="2D2D2D"/>
          <w:sz w:val="18"/>
          <w:szCs w:val="18"/>
        </w:rPr>
        <w:t xml:space="preserve">    raise ConsensusFailure('Dual-path divergence — escalating to HITL')</w:t>
      </w:r>
    </w:p>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3.2 — GNN-Based Cap Rate Estimation</w:t>
      </w:r>
    </w:p>
    <w:p>
      <w:pPr>
        <w:spacing w:before="80" w:after="80"/>
      </w:pPr>
      <w:r>
        <w:rPr>
          <w:rFonts w:ascii="Calibri" w:cs="Calibri" w:eastAsia="Calibri" w:hAnsi="Calibri"/>
          <w:color w:val="1C1C1C"/>
          <w:sz w:val="22"/>
          <w:szCs w:val="22"/>
        </w:rPr>
        <w:t xml:space="preserve">Cap rate selection is the single most influential assumption in a CRE DCF model. The NEXUS engine uses a Graph Neural Network trained on verified comparable transactions to produce submarket-specific, property-type-specific cap rate estimates that are grounded in actual transaction data — not published indices or analyst convention.</w:t>
      </w:r>
    </w:p>
    <w:p>
      <w:pPr>
        <w:spacing w:before="80" w:after="80"/>
      </w:pPr>
      <w:r>
        <w:rPr>
          <w:rFonts w:ascii="Calibri" w:cs="Calibri" w:eastAsia="Calibri" w:hAnsi="Calibri"/>
          <w:color w:val="1C1C1C"/>
          <w:sz w:val="22"/>
          <w:szCs w:val="22"/>
        </w:rPr>
        <w:t xml:space="preserve">The GNN represents each property as a node in a transaction graph, with edges weighted by semantic similarity between deal characteristics:</w:t>
      </w:r>
    </w:p>
    <w:p>
      <w:pPr>
        <w:shd w:fill="F7F4EF" w:val="clear"/>
        <w:spacing w:before="120" w:after="120"/>
        <w:jc w:val="center"/>
      </w:pPr>
      <w:r>
        <w:rPr>
          <w:rFonts w:ascii="Courier New" w:cs="Courier New" w:eastAsia="Courier New" w:hAnsi="Courier New"/>
          <w:b/>
          <w:bCs/>
          <w:color w:val="0A0A0A"/>
          <w:sz w:val="22"/>
          <w:szCs w:val="22"/>
        </w:rPr>
        <w:t xml:space="preserve">sim(t, c_k) = cos(h_t, h_ck)   where h = GNN_embedding(property_features)</w:t>
      </w:r>
    </w:p>
    <w:p>
      <w:pPr>
        <w:shd w:fill="F7F4EF" w:val="clear"/>
        <w:spacing w:before="120" w:after="120"/>
        <w:jc w:val="center"/>
      </w:pPr>
      <w:r>
        <w:rPr>
          <w:rFonts w:ascii="Courier New" w:cs="Courier New" w:eastAsia="Courier New" w:hAnsi="Courier New"/>
          <w:b/>
          <w:bCs/>
          <w:color w:val="0A0A0A"/>
          <w:sz w:val="22"/>
          <w:szCs w:val="22"/>
        </w:rPr>
        <w:t xml:space="preserve">w_k = exp(-||h_t - h_ck||^2 / 2*sigma^2)   [RBF kernel weighting]</w:t>
      </w:r>
    </w:p>
    <w:p>
      <w:pPr>
        <w:shd w:fill="F7F4EF" w:val="clear"/>
        <w:spacing w:before="120" w:after="120"/>
        <w:jc w:val="center"/>
      </w:pPr>
      <w:r>
        <w:rPr>
          <w:rFonts w:ascii="Courier New" w:cs="Courier New" w:eastAsia="Courier New" w:hAnsi="Courier New"/>
          <w:b/>
          <w:bCs/>
          <w:color w:val="0A0A0A"/>
          <w:sz w:val="22"/>
          <w:szCs w:val="22"/>
        </w:rPr>
        <w:t xml:space="preserve">E[c_exit] = sum_k(w_k * c_k) / sum_k(w_k)   [weighted comparable estimate]</w:t>
      </w:r>
    </w:p>
    <w:p>
      <w:pPr>
        <w:spacing w:before="80" w:after="80"/>
      </w:pPr>
      <w:r>
        <w:rPr>
          <w:rFonts w:ascii="Calibri" w:cs="Calibri" w:eastAsia="Calibri" w:hAnsi="Calibri"/>
          <w:color w:val="1C1C1C"/>
          <w:sz w:val="22"/>
          <w:szCs w:val="22"/>
        </w:rPr>
        <w:t xml:space="preserve">The embedding space captures asset class, vintage, location (encoded via PostGIS submarket polygons), leverage structure, and tenant credit quality. Every verified comparable submitted by a platform participant enriches the graph — creating a data flywheel where platform participation directly improves model accuracy.</w:t>
      </w:r>
    </w:p>
    <w:p>
      <w:pPr>
        <w:pStyle w:val="Heading2"/>
        <w:spacing w:before="280" w:after="120"/>
      </w:pPr>
      <w:r>
        <w:rPr>
          <w:rFonts w:ascii="Garamond" w:cs="Garamond" w:eastAsia="Garamond" w:hAnsi="Garamond"/>
          <w:b/>
          <w:bCs/>
          <w:color w:val="1C1C1C"/>
          <w:sz w:val="28"/>
          <w:szCs w:val="28"/>
        </w:rPr>
        <w:t xml:space="preserve">3.3 — LASSO Sensitivity Analysis</w:t>
      </w:r>
    </w:p>
    <w:p>
      <w:pPr>
        <w:spacing w:before="80" w:after="80"/>
      </w:pPr>
      <w:r>
        <w:rPr>
          <w:rFonts w:ascii="Calibri" w:cs="Calibri" w:eastAsia="Calibri" w:hAnsi="Calibri"/>
          <w:color w:val="1C1C1C"/>
          <w:sz w:val="22"/>
          <w:szCs w:val="22"/>
        </w:rPr>
        <w:t xml:space="preserve">IRR models have dozens of inputs. Most of them barely matter. LASSO regression identifies the five to eight inputs that actually drive the output, enabling focused due diligence and meaningful scenario analysis.</w:t>
      </w:r>
    </w:p>
    <w:p>
      <w:pPr>
        <w:shd w:fill="F7F4EF" w:val="clear"/>
        <w:spacing w:before="120" w:after="120"/>
        <w:jc w:val="center"/>
      </w:pPr>
      <w:r>
        <w:rPr>
          <w:rFonts w:ascii="Courier New" w:cs="Courier New" w:eastAsia="Courier New" w:hAnsi="Courier New"/>
          <w:b/>
          <w:bCs/>
          <w:color w:val="0A0A0A"/>
          <w:sz w:val="22"/>
          <w:szCs w:val="22"/>
        </w:rPr>
        <w:t xml:space="preserve">beta* = argmin_beta { ||y - X*beta||^2 + lambda*||beta||_1 }</w:t>
      </w:r>
    </w:p>
    <w:p>
      <w:pPr>
        <w:spacing w:before="80" w:after="80"/>
      </w:pPr>
      <w:r>
        <w:rPr>
          <w:rFonts w:ascii="Calibri" w:cs="Calibri" w:eastAsia="Calibri" w:hAnsi="Calibri"/>
          <w:color w:val="1C1C1C"/>
          <w:sz w:val="22"/>
          <w:szCs w:val="22"/>
        </w:rPr>
        <w:t xml:space="preserve">where y is the vector of XIRR outputs across a Monte Carlo scenario set, X is the matrix of input perturbations (rent growth, vacancy, cap rate, leverage, exit timing, OpEx), and beta* identifies the sparse set of drivers that explain variance. The L1 penalty forces non-material drivers to exactly zero, producing a clean sensitivity ranking.</w:t>
      </w:r>
    </w:p>
    <w:p>
      <w:pPr>
        <w:spacing w:before="80" w:after="80"/>
      </w:pPr>
      <w:r>
        <w:rPr>
          <w:rFonts w:ascii="Calibri" w:cs="Calibri" w:eastAsia="Calibri" w:hAnsi="Calibri"/>
          <w:color w:val="1C1C1C"/>
          <w:sz w:val="22"/>
          <w:szCs w:val="22"/>
        </w:rPr>
        <w:t xml:space="preserve">Output to the analyst: 'This deal's IRR is primarily driven by exit cap rate (32%), Year 3 rent growth (21%), and initial vacancy burn-off timing (18%). Everything else is noise.' That is a materially different output than a traditional sensitivity table — and a materially better use of due diligence time.</w:t>
      </w:r>
    </w:p>
    <w:p>
      <w:pPr>
        <w:pStyle w:val="Heading2"/>
        <w:spacing w:before="280" w:after="120"/>
      </w:pPr>
      <w:r>
        <w:rPr>
          <w:rFonts w:ascii="Garamond" w:cs="Garamond" w:eastAsia="Garamond" w:hAnsi="Garamond"/>
          <w:b/>
          <w:bCs/>
          <w:color w:val="1C1C1C"/>
          <w:sz w:val="28"/>
          <w:szCs w:val="28"/>
        </w:rPr>
        <w:t xml:space="preserve">3.4 — Markov Vacancy Modeling</w:t>
      </w:r>
    </w:p>
    <w:p>
      <w:pPr>
        <w:spacing w:before="80" w:after="80"/>
      </w:pPr>
      <w:r>
        <w:rPr>
          <w:rFonts w:ascii="Calibri" w:cs="Calibri" w:eastAsia="Calibri" w:hAnsi="Calibri"/>
          <w:color w:val="1C1C1C"/>
          <w:sz w:val="22"/>
          <w:szCs w:val="22"/>
        </w:rPr>
        <w:t xml:space="preserve">Vacancy is not static and is not well-modeled by a single rate. The NEXUS engine models vacancy as a Markov chain over tenant states with submarket-calibrated transition probabilities:</w:t>
      </w:r>
    </w:p>
    <w:p>
      <w:pPr>
        <w:shd w:fill="F7F4EF" w:val="clear"/>
        <w:spacing w:before="120" w:after="120"/>
        <w:jc w:val="center"/>
      </w:pPr>
      <w:r>
        <w:rPr>
          <w:rFonts w:ascii="Courier New" w:cs="Courier New" w:eastAsia="Courier New" w:hAnsi="Courier New"/>
          <w:b/>
          <w:bCs/>
          <w:color w:val="0A0A0A"/>
          <w:sz w:val="22"/>
          <w:szCs w:val="22"/>
        </w:rPr>
        <w:t xml:space="preserve">P(V_{t+1} = j | V_t = i) = M_ij</w:t>
      </w:r>
    </w:p>
    <w:p>
      <w:pPr>
        <w:shd w:fill="F7F4EF" w:val="clear"/>
        <w:spacing w:before="120" w:after="120"/>
        <w:jc w:val="center"/>
      </w:pPr>
      <w:r>
        <w:rPr>
          <w:rFonts w:ascii="Courier New" w:cs="Courier New" w:eastAsia="Courier New" w:hAnsi="Courier New"/>
          <w:b/>
          <w:bCs/>
          <w:color w:val="0A0A0A"/>
          <w:sz w:val="22"/>
          <w:szCs w:val="22"/>
        </w:rPr>
        <w:t xml:space="preserve">E[NOI_t] = sum_j P(V_t = j) * NOI_j(t)</w:t>
      </w:r>
    </w:p>
    <w:p>
      <w:pPr>
        <w:spacing w:before="80" w:after="80"/>
      </w:pPr>
      <w:r>
        <w:rPr>
          <w:rFonts w:ascii="Calibri" w:cs="Calibri" w:eastAsia="Calibri" w:hAnsi="Calibri"/>
          <w:color w:val="1C1C1C"/>
          <w:sz w:val="22"/>
          <w:szCs w:val="22"/>
        </w:rPr>
        <w:t xml:space="preserve">The transition matrix M is calibrated by submarket, asset class, and lease structure using verified comparable data. This produces expected NOI paths with proper uncertainty distributions rather than single-point vacancy assumptions — and a materially more accurate projection of cash flow timing.</w:t>
      </w:r>
    </w:p>
    <w:p>
      <w:pPr>
        <w:pStyle w:val="Heading2"/>
        <w:spacing w:before="280" w:after="120"/>
      </w:pPr>
      <w:r>
        <w:rPr>
          <w:rFonts w:ascii="Garamond" w:cs="Garamond" w:eastAsia="Garamond" w:hAnsi="Garamond"/>
          <w:b/>
          <w:bCs/>
          <w:color w:val="1C1C1C"/>
          <w:sz w:val="28"/>
          <w:szCs w:val="28"/>
        </w:rPr>
        <w:t xml:space="preserve">3.5 — ANFIS Intelligent Routing</w:t>
      </w:r>
    </w:p>
    <w:p>
      <w:pPr>
        <w:spacing w:before="80" w:after="80"/>
      </w:pPr>
      <w:r>
        <w:rPr>
          <w:rFonts w:ascii="Calibri" w:cs="Calibri" w:eastAsia="Calibri" w:hAnsi="Calibri"/>
          <w:color w:val="1C1C1C"/>
          <w:sz w:val="22"/>
          <w:szCs w:val="22"/>
        </w:rPr>
        <w:t xml:space="preserve">The ANFIS (Adaptive Neuro-Fuzzy Inference System) router is the cost-efficiency mechanism of the NEXUS engine. Rather than sending every query to a frontier LLM at frontier cost, ANFIS routes each task to the minimum-cost model capable of handling it reliably — based on task complexity, required accuracy, and output type.</w:t>
      </w:r>
    </w:p>
    <w:p>
      <w:pPr>
        <w:shd w:fill="F7F4EF" w:val="clear"/>
        <w:spacing w:before="120" w:after="120"/>
        <w:jc w:val="center"/>
      </w:pPr>
      <w:r>
        <w:rPr>
          <w:rFonts w:ascii="Courier New" w:cs="Courier New" w:eastAsia="Courier New" w:hAnsi="Courier New"/>
          <w:b/>
          <w:bCs/>
          <w:color w:val="0A0A0A"/>
          <w:sz w:val="22"/>
          <w:szCs w:val="22"/>
        </w:rPr>
        <w:t xml:space="preserve">f(x) = sum_i [w_i * f_i(x)] / sum_i [w_i]</w:t>
      </w:r>
    </w:p>
    <w:p>
      <w:pPr>
        <w:spacing w:before="80" w:after="80"/>
      </w:pPr>
      <w:r>
        <w:rPr>
          <w:rFonts w:ascii="Calibri" w:cs="Calibri" w:eastAsia="Calibri" w:hAnsi="Calibri"/>
          <w:color w:val="1C1C1C"/>
          <w:sz w:val="22"/>
          <w:szCs w:val="22"/>
        </w:rPr>
        <w:t xml:space="preserve">where f_i are outputs of participating linguistic rules corresponding to routing tiers, and w_i are firing strengths computed from Gaussian/bell membership functions over the input feature vector. Three routing tiers govern 100% of task volume: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760"/>
        <w:gridCol w:w="1400"/>
      </w:tblGrid>
      <w:tr>
        <w:trPr>
          <w:tblHeader/>
        </w:trPr>
        <w:tc>
          <w:tcPr>
            <w:tcW w:type="dxa" w:w="14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Tier</w:t>
            </w:r>
          </w:p>
        </w:tc>
        <w:tc>
          <w:tcPr>
            <w:tcW w:type="dxa" w:w="20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Model Class</w:t>
            </w:r>
          </w:p>
        </w:tc>
        <w:tc>
          <w:tcPr>
            <w:tcW w:type="dxa" w:w="2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Use Cases</w:t>
            </w:r>
          </w:p>
        </w:tc>
        <w:tc>
          <w:tcPr>
            <w:tcW w:type="dxa" w:w="17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Cost / M Tokens</w:t>
            </w:r>
          </w:p>
        </w:tc>
        <w:tc>
          <w:tcPr>
            <w:tcW w:type="dxa" w:w="14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Volume</w:t>
            </w:r>
          </w:p>
        </w:tc>
      </w:tr>
      <w:tr>
        <w:trPr>
          <w:tblHeader w:val="false"/>
        </w:trPr>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Utility</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phi3-mini, Mistral 7B</w:t>
            </w:r>
          </w:p>
        </w:tc>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Extraction, classification, routing prep</w:t>
            </w:r>
          </w:p>
        </w:tc>
        <w:tc>
          <w:tcPr>
            <w:tcW w:type="dxa" w:w="1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~$0.27</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~80%</w:t>
            </w:r>
          </w:p>
        </w:tc>
      </w:tr>
      <w:tr>
        <w:trPr>
          <w:tblHeader w:val="false"/>
        </w:trPr>
        <w:tc>
          <w:tcPr>
            <w:tcW w:type="dxa" w:w="1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Standard</w:t>
            </w:r>
          </w:p>
        </w:tc>
        <w:tc>
          <w:tcPr>
            <w:tcW w:type="dxa" w:w="20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Claude Sonnet, GPT-4o</w:t>
            </w:r>
          </w:p>
        </w:tc>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Structured financial reasoning, comp analysis</w:t>
            </w:r>
          </w:p>
        </w:tc>
        <w:tc>
          <w:tcPr>
            <w:tcW w:type="dxa" w:w="17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~$2.75</w:t>
            </w:r>
          </w:p>
        </w:tc>
        <w:tc>
          <w:tcPr>
            <w:tcW w:type="dxa" w:w="1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~17%</w:t>
            </w:r>
          </w:p>
        </w:tc>
      </w:tr>
      <w:tr>
        <w:trPr>
          <w:tblHeader w:val="false"/>
        </w:trPr>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Frontier</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Claude Opus, GPT-4 Turbo</w:t>
            </w:r>
          </w:p>
        </w:tc>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Veto adjudication, complex structure review</w:t>
            </w:r>
          </w:p>
        </w:tc>
        <w:tc>
          <w:tcPr>
            <w:tcW w:type="dxa" w:w="1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~$15.00</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~3%</w:t>
            </w:r>
          </w:p>
        </w:tc>
      </w:tr>
    </w:tbl>
    <w:p>
      <w:pPr>
        <w:spacing w:before="0" w:after="0"/>
      </w:pPr>
      <w:r>
        <w:t xml:space="preserve"/>
      </w:r>
    </w:p>
    <w:p>
      <w:pPr>
        <w:spacing w:before="80" w:after="80"/>
      </w:pPr>
      <w:r>
        <w:rPr>
          <w:rFonts w:ascii="Calibri" w:cs="Calibri" w:eastAsia="Calibri" w:hAnsi="Calibri"/>
          <w:color w:val="1C1C1C"/>
          <w:sz w:val="22"/>
          <w:szCs w:val="22"/>
        </w:rPr>
        <w:t xml:space="preserve">Confirmed result: ANFIS routing achieves a 72.5% cost reduction versus naive frontier-LLM deployment across the same task set. This result is confirmed, reproducible, and covered by pending patent.</w:t>
      </w:r>
    </w:p>
    <w:p>
      <w:pPr>
        <w:pStyle w:val="Heading2"/>
        <w:spacing w:before="280" w:after="120"/>
      </w:pPr>
      <w:r>
        <w:rPr>
          <w:rFonts w:ascii="Garamond" w:cs="Garamond" w:eastAsia="Garamond" w:hAnsi="Garamond"/>
          <w:b/>
          <w:bCs/>
          <w:color w:val="1C1C1C"/>
          <w:sz w:val="28"/>
          <w:szCs w:val="28"/>
        </w:rPr>
        <w:t xml:space="preserve">3.6 — Byzantine Fault-Tolerant Consensus</w:t>
      </w:r>
    </w:p>
    <w:p>
      <w:pPr>
        <w:spacing w:before="80" w:after="80"/>
      </w:pPr>
      <w:r>
        <w:rPr>
          <w:rFonts w:ascii="Calibri" w:cs="Calibri" w:eastAsia="Calibri" w:hAnsi="Calibri"/>
          <w:color w:val="1C1C1C"/>
          <w:sz w:val="22"/>
          <w:szCs w:val="22"/>
        </w:rPr>
        <w:t xml:space="preserve">No single agent output is published without consensus. The NEXUS engine implements a BFT protocol across five validation agents, tolerating up to f=1 faulty or compromised agent while guaranteeing correct output. The minimum requirement for BFT is n &gt;= 3f+1; with n=5 and f=1, the system requires 3-of-5 agreement.</w:t>
      </w:r>
    </w:p>
    <w:p>
      <w:pPr>
        <w:spacing w:before="80" w:after="80"/>
      </w:pPr>
      <w:r>
        <w:rPr>
          <w:rFonts w:ascii="Calibri" w:cs="Calibri" w:eastAsia="Calibri" w:hAnsi="Calibri"/>
          <w:color w:val="1C1C1C"/>
          <w:sz w:val="22"/>
          <w:szCs w:val="22"/>
        </w:rPr>
        <w:t xml:space="preserve">For numerical outputs (XIRR, cap rate, NOI, DSCR), agreement is defined as all participating agents producing values within epsilon=1e-8 of the consensus value. For qualitative outputs, agreement is measured via semantic embedding cosine similarity with threshold 0.92.</w:t>
      </w:r>
    </w:p>
    <w:p>
      <w:pPr>
        <w:shd w:fill="F0EDE8" w:val="clear"/>
        <w:spacing w:before="0" w:after="0"/>
        <w:ind w:left="360" w:right="360"/>
      </w:pPr>
      <w:r>
        <w:rPr>
          <w:rFonts w:ascii="Courier New" w:cs="Courier New" w:eastAsia="Courier New" w:hAnsi="Courier New"/>
          <w:color w:val="2D2D2D"/>
          <w:sz w:val="18"/>
          <w:szCs w:val="18"/>
        </w:rPr>
        <w:t xml:space="preserve">// BFT consensus gate — no output without quorum</w:t>
      </w:r>
    </w:p>
    <w:p>
      <w:pPr>
        <w:shd w:fill="F0EDE8" w:val="clear"/>
        <w:spacing w:before="0" w:after="0"/>
        <w:ind w:left="360" w:right="360"/>
      </w:pPr>
      <w:r>
        <w:rPr>
          <w:rFonts w:ascii="Courier New" w:cs="Courier New" w:eastAsia="Courier New" w:hAnsi="Courier New"/>
          <w:color w:val="2D2D2D"/>
          <w:sz w:val="18"/>
          <w:szCs w:val="18"/>
        </w:rPr>
        <w:t xml:space="preserve">const votes = await Promise.all(agents.map(a =&gt; a.evaluate(input)));</w:t>
      </w:r>
    </w:p>
    <w:p>
      <w:pPr>
        <w:shd w:fill="F0EDE8" w:val="clear"/>
        <w:spacing w:before="0" w:after="0"/>
        <w:ind w:left="360" w:right="360"/>
      </w:pPr>
      <w:r>
        <w:rPr>
          <w:rFonts w:ascii="Courier New" w:cs="Courier New" w:eastAsia="Courier New" w:hAnsi="Courier New"/>
          <w:color w:val="2D2D2D"/>
          <w:sz w:val="18"/>
          <w:szCs w:val="18"/>
        </w:rPr>
        <w:t xml:space="preserve">const quorum = votes.filter(v =&gt; Math.abs(v - median(votes)) &lt; EPSILON);</w:t>
      </w:r>
    </w:p>
    <w:p>
      <w:pPr>
        <w:shd w:fill="F0EDE8" w:val="clear"/>
        <w:spacing w:before="0" w:after="0"/>
        <w:ind w:left="360" w:right="360"/>
      </w:pPr>
      <w:r>
        <w:rPr>
          <w:rFonts w:ascii="Courier New" w:cs="Courier New" w:eastAsia="Courier New" w:hAnsi="Courier New"/>
          <w:color w:val="2D2D2D"/>
          <w:sz w:val="18"/>
          <w:szCs w:val="18"/>
        </w:rPr>
        <w:t xml:space="preserve">if (quorum.length &lt; Math.ceil((2 * agents.length + 1) / 3)) {</w:t>
      </w:r>
    </w:p>
    <w:p>
      <w:pPr>
        <w:shd w:fill="F0EDE8" w:val="clear"/>
        <w:spacing w:before="0" w:after="0"/>
        <w:ind w:left="360" w:right="360"/>
      </w:pPr>
      <w:r>
        <w:rPr>
          <w:rFonts w:ascii="Courier New" w:cs="Courier New" w:eastAsia="Courier New" w:hAnsi="Courier New"/>
          <w:color w:val="2D2D2D"/>
          <w:sz w:val="18"/>
          <w:szCs w:val="18"/>
        </w:rPr>
        <w:t xml:space="preserve">  shofet.escalate({ reason: 'BFT_QUORUM_FAILURE', votes });</w:t>
      </w:r>
    </w:p>
    <w:p>
      <w:pPr>
        <w:shd w:fill="F0EDE8" w:val="clear"/>
        <w:spacing w:before="0" w:after="0"/>
        <w:ind w:left="360" w:right="360"/>
      </w:pPr>
      <w:r>
        <w:rPr>
          <w:rFonts w:ascii="Courier New" w:cs="Courier New" w:eastAsia="Courier New" w:hAnsi="Courier New"/>
          <w:color w:val="2D2D2D"/>
          <w:sz w:val="18"/>
          <w:szCs w:val="18"/>
        </w:rPr>
        <w:t xml:space="preserve">  return { status: 'ESCALATED', requiresHumanReview: true };</w:t>
      </w:r>
    </w:p>
    <w:p>
      <w:pPr>
        <w:shd w:fill="F0EDE8" w:val="clear"/>
        <w:spacing w:before="0" w:after="0"/>
        <w:ind w:left="360" w:right="360"/>
      </w:pPr>
      <w:r>
        <w:rPr>
          <w:rFonts w:ascii="Courier New" w:cs="Courier New" w:eastAsia="Courier New" w:hAnsi="Courier New"/>
          <w:color w:val="2D2D2D"/>
          <w:sz w:val="18"/>
          <w:szCs w:val="18"/>
        </w:rPr>
        <w:t xml:space="preserve">}</w:t>
      </w:r>
    </w:p>
    <w:p>
      <w:pPr>
        <w:shd w:fill="F0EDE8" w:val="clear"/>
        <w:spacing w:before="0" w:after="0"/>
        <w:ind w:left="360" w:right="360"/>
      </w:pPr>
      <w:r>
        <w:rPr>
          <w:rFonts w:ascii="Courier New" w:cs="Courier New" w:eastAsia="Courier New" w:hAnsi="Courier New"/>
          <w:color w:val="2D2D2D"/>
          <w:sz w:val="18"/>
          <w:szCs w:val="18"/>
        </w:rPr>
        <w:t xml:space="preserve">return { status: 'CONSENSUS', value: median(votes), confidence: quorum.length / agents.length };</w:t>
      </w:r>
    </w:p>
    <w:p>
      <w:pPr>
        <w:spacing w:before="0" w:after="0"/>
      </w:pPr>
      <w:r>
        <w:t xml:space="preserve"/>
      </w:r>
    </w:p>
    <w:p>
      <w:pPr>
        <w:spacing w:before="80" w:after="80"/>
      </w:pPr>
      <w:r>
        <w:rPr>
          <w:rFonts w:ascii="Calibri" w:cs="Calibri" w:eastAsia="Calibri" w:hAnsi="Calibri"/>
          <w:color w:val="1C1C1C"/>
          <w:sz w:val="22"/>
          <w:szCs w:val="22"/>
        </w:rPr>
        <w:t xml:space="preserve">The Pythagorean Comma Veto adds a third-tier escalation layer: if the dissent confidence score of the minority agent exceeds 0.85 — meaning the dissenting agent is highly confident it is correct and the majority is wrong — SHOFET issues a veto and the output is escalated to human review rather than suppressed. This prevents confident-minority errors, which are the failure mode BFT alone cannot catch.</w:t>
      </w:r>
    </w:p>
    <w:p>
      <w:pPr>
        <w:pStyle w:val="Heading2"/>
        <w:spacing w:before="280" w:after="120"/>
      </w:pPr>
      <w:r>
        <w:rPr>
          <w:rFonts w:ascii="Garamond" w:cs="Garamond" w:eastAsia="Garamond" w:hAnsi="Garamond"/>
          <w:b/>
          <w:bCs/>
          <w:color w:val="1C1C1C"/>
          <w:sz w:val="28"/>
          <w:szCs w:val="28"/>
        </w:rPr>
        <w:t xml:space="preserve">3.7 — Zero-Knowledge Proof Architecture</w:t>
      </w:r>
    </w:p>
    <w:p>
      <w:pPr>
        <w:spacing w:before="80" w:after="80"/>
      </w:pPr>
      <w:r>
        <w:rPr>
          <w:rFonts w:ascii="Calibri" w:cs="Calibri" w:eastAsia="Calibri" w:hAnsi="Calibri"/>
          <w:color w:val="1C1C1C"/>
          <w:sz w:val="22"/>
          <w:szCs w:val="22"/>
        </w:rPr>
        <w:t xml:space="preserve">Privacy on TriNexus is not a policy. It is mathematics. The ZK proof layer enables a party to prove a statement about their data without revealing the data itself:</w:t>
      </w:r>
    </w:p>
    <w:p>
      <w:pPr>
        <w:spacing w:before="60" w:after="60"/>
        <w:ind w:left="400" w:hanging="260"/>
      </w:pPr>
      <w:r>
        <w:rPr>
          <w:rFonts w:ascii="Calibri" w:cs="Calibri" w:eastAsia="Calibri" w:hAnsi="Calibri"/>
          <w:b/>
          <w:bCs/>
          <w:color w:val="B8922A"/>
          <w:sz w:val="22"/>
          <w:szCs w:val="22"/>
        </w:rPr>
        <w:t xml:space="preserve">— </w:t>
      </w:r>
      <w:r>
        <w:rPr>
          <w:rFonts w:ascii="Calibri" w:cs="Calibri" w:eastAsia="Calibri" w:hAnsi="Calibri"/>
          <w:color w:val="1C1C1C"/>
          <w:sz w:val="22"/>
          <w:szCs w:val="22"/>
        </w:rPr>
        <w:t xml:space="preserve">Deal meets underwriting criteria (IRR &gt; threshold) — without revealing the rent roll or financial model</w:t>
      </w:r>
    </w:p>
    <w:p>
      <w:pPr>
        <w:spacing w:before="60" w:after="60"/>
        <w:ind w:left="400" w:hanging="260"/>
      </w:pPr>
      <w:r>
        <w:rPr>
          <w:rFonts w:ascii="Calibri" w:cs="Calibri" w:eastAsia="Calibri" w:hAnsi="Calibri"/>
          <w:b/>
          <w:bCs/>
          <w:color w:val="B8922A"/>
          <w:sz w:val="22"/>
          <w:szCs w:val="22"/>
        </w:rPr>
        <w:t xml:space="preserve">— </w:t>
      </w:r>
      <w:r>
        <w:rPr>
          <w:rFonts w:ascii="Calibri" w:cs="Calibri" w:eastAsia="Calibri" w:hAnsi="Calibri"/>
          <w:color w:val="1C1C1C"/>
          <w:sz w:val="22"/>
          <w:szCs w:val="22"/>
        </w:rPr>
        <w:t xml:space="preserve">Capital meets deal size requirements — without revealing AUM or fund structure</w:t>
      </w:r>
    </w:p>
    <w:p>
      <w:pPr>
        <w:spacing w:before="60" w:after="60"/>
        <w:ind w:left="400" w:hanging="260"/>
      </w:pPr>
      <w:r>
        <w:rPr>
          <w:rFonts w:ascii="Calibri" w:cs="Calibri" w:eastAsia="Calibri" w:hAnsi="Calibri"/>
          <w:b/>
          <w:bCs/>
          <w:color w:val="B8922A"/>
          <w:sz w:val="22"/>
          <w:szCs w:val="22"/>
        </w:rPr>
        <w:t xml:space="preserve">— </w:t>
      </w:r>
      <w:r>
        <w:rPr>
          <w:rFonts w:ascii="Calibri" w:cs="Calibri" w:eastAsia="Calibri" w:hAnsi="Calibri"/>
          <w:color w:val="1C1C1C"/>
          <w:sz w:val="22"/>
          <w:szCs w:val="22"/>
        </w:rPr>
        <w:t xml:space="preserve">RepID score exceeds minimum threshold — without revealing transaction history</w:t>
      </w:r>
    </w:p>
    <w:p>
      <w:pPr>
        <w:spacing w:before="60" w:after="60"/>
        <w:ind w:left="400" w:hanging="260"/>
      </w:pPr>
      <w:r>
        <w:rPr>
          <w:rFonts w:ascii="Calibri" w:cs="Calibri" w:eastAsia="Calibri" w:hAnsi="Calibri"/>
          <w:b/>
          <w:bCs/>
          <w:color w:val="B8922A"/>
          <w:sz w:val="22"/>
          <w:szCs w:val="22"/>
        </w:rPr>
        <w:t xml:space="preserve">— </w:t>
      </w:r>
      <w:r>
        <w:rPr>
          <w:rFonts w:ascii="Calibri" w:cs="Calibri" w:eastAsia="Calibri" w:hAnsi="Calibri"/>
          <w:color w:val="1C1C1C"/>
          <w:sz w:val="22"/>
          <w:szCs w:val="22"/>
        </w:rPr>
        <w:t xml:space="preserve">Comparable falls within submarket boundary — without revealing the property address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Phase</w:t>
            </w:r>
          </w:p>
        </w:tc>
        <w:tc>
          <w:tcPr>
            <w:tcW w:type="dxa" w:w="2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ZK Technology</w:t>
            </w:r>
          </w:p>
        </w:tc>
        <w:tc>
          <w:tcPr>
            <w:tcW w:type="dxa" w:w="49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Capability</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Phase 1 (Current)</w:t>
            </w:r>
          </w:p>
        </w:tc>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Plonky3 — Recursive STARKs</w:t>
            </w:r>
          </w:p>
        </w:tc>
        <w:tc>
          <w:tcPr>
            <w:tcW w:type="dxa" w:w="4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Deal criteria proofs. Fast generation, EVM-compatible.</w:t>
            </w:r>
          </w:p>
        </w:tc>
      </w:tr>
      <w:tr>
        <w:trPr>
          <w:tblHeader w:val="false"/>
        </w:trPr>
        <w:tc>
          <w:tcPr>
            <w:tcW w:type="dxa" w:w="16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Phase 2 (Q3 2026)</w:t>
            </w:r>
          </w:p>
        </w:tc>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zk-STARKs</w:t>
            </w:r>
          </w:p>
        </w:tc>
        <w:tc>
          <w:tcPr>
            <w:tcW w:type="dxa" w:w="4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Portfolio waterfall proofs, multi-party matching. Quantum-resistant.</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Phase 3 (Q4 2026)</w:t>
            </w:r>
          </w:p>
        </w:tc>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CRYSTALS-Dilithium</w:t>
            </w:r>
          </w:p>
        </w:tc>
        <w:tc>
          <w:tcPr>
            <w:tcW w:type="dxa" w:w="4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Post-quantum signatures. Full quantum resistance for all commitments.</w:t>
            </w:r>
          </w:p>
        </w:tc>
      </w:tr>
    </w:tbl>
    <w:p>
      <w:pPr>
        <w:pBdr>
          <w:bottom w:val="single" w:color="EEEEEE" w:sz="2"/>
        </w:pBdr>
        <w:spacing w:before="200" w:after="200"/>
      </w:pPr>
      <w:r>
        <w:t xml:space="preserve"/>
      </w:r>
    </w:p>
    <w:p>
      <w:pPr>
        <w:spacing w:before="400" w:after="0"/>
      </w:pPr>
      <w:r>
        <w:br w:type="page"/>
      </w:r>
    </w:p>
    <w:p>
      <w:pPr>
        <w:pStyle w:val="Heading1"/>
        <w:pBdr>
          <w:bottom w:val="single" w:color="B8922A" w:sz="6" w:space="8"/>
        </w:pBdr>
        <w:spacing w:before="400" w:after="160"/>
      </w:pPr>
      <w:r>
        <w:rPr>
          <w:rFonts w:ascii="Garamond" w:cs="Garamond" w:eastAsia="Garamond" w:hAnsi="Garamond"/>
          <w:b w:val="false"/>
          <w:bCs w:val="false"/>
          <w:color w:val="0A0A0A"/>
          <w:sz w:val="40"/>
          <w:szCs w:val="40"/>
        </w:rPr>
        <w:t xml:space="preserve">Section 4 — Platform Architecture</w:t>
      </w:r>
    </w:p>
    <w:p>
      <w:pPr>
        <w:spacing w:before="120" w:after="120"/>
      </w:pPr>
      <w:r>
        <w:rPr>
          <w:rFonts w:ascii="Garamond" w:cs="Garamond" w:eastAsia="Garamond" w:hAnsi="Garamond"/>
          <w:i/>
          <w:iCs/>
          <w:color w:val="3A3A3A"/>
          <w:sz w:val="26"/>
          <w:szCs w:val="26"/>
        </w:rPr>
        <w:t xml:space="preserve">The NEXUS CRE engine is built on a 12-agent neuromorphic architecture organized as a 3x3+3 structure — modeled on the layered processing of biological neural systems. Three operational squads plus three orchestration agents provide full-stack coverage from data ingestion to verified output delivery.</w:t>
      </w:r>
    </w:p>
    <w:p>
      <w:pPr>
        <w:pStyle w:val="Heading2"/>
        <w:spacing w:before="280" w:after="120"/>
      </w:pPr>
      <w:r>
        <w:rPr>
          <w:rFonts w:ascii="Garamond" w:cs="Garamond" w:eastAsia="Garamond" w:hAnsi="Garamond"/>
          <w:b/>
          <w:bCs/>
          <w:color w:val="1C1C1C"/>
          <w:sz w:val="28"/>
          <w:szCs w:val="28"/>
        </w:rPr>
        <w:t xml:space="preserve">4.1 — The 3x3+3 Neuromorphic Agent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rPr>
          <w:tblHeader/>
        </w:trPr>
        <w:tc>
          <w:tcPr>
            <w:tcW w:type="dxa" w:w="16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Squad</w:t>
            </w:r>
          </w:p>
        </w:tc>
        <w:tc>
          <w:tcPr>
            <w:tcW w:type="dxa" w:w="1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Role</w:t>
            </w:r>
          </w:p>
        </w:tc>
        <w:tc>
          <w:tcPr>
            <w:tcW w:type="dxa" w:w="20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Agents</w:t>
            </w:r>
          </w:p>
        </w:tc>
        <w:tc>
          <w:tcPr>
            <w:tcW w:type="dxa" w:w="39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Primary Function</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ALPHA — Sensory</w:t>
            </w:r>
          </w:p>
        </w:tc>
        <w:tc>
          <w:tcPr>
            <w:tcW w:type="dxa" w:w="1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Data ingestion</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INTAKE, MARKET, SENSOR</w:t>
            </w:r>
          </w:p>
        </w:tc>
        <w:tc>
          <w:tcPr>
            <w:tcW w:type="dxa" w:w="3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OCR rent roll extraction (&lt;90s), real-time market data pulls, live deal performance monitoring</w:t>
            </w:r>
          </w:p>
        </w:tc>
      </w:tr>
      <w:tr>
        <w:trPr>
          <w:tblHeader w:val="false"/>
        </w:trPr>
        <w:tc>
          <w:tcPr>
            <w:tcW w:type="dxa" w:w="16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BETA — Interneuron</w:t>
            </w:r>
          </w:p>
        </w:tc>
        <w:tc>
          <w:tcPr>
            <w:tcW w:type="dxa" w:w="1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Validation &amp; reasoning</w:t>
            </w:r>
          </w:p>
        </w:tc>
        <w:tc>
          <w:tcPr>
            <w:tcW w:type="dxa" w:w="20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SOPHIA, VERITAS, NEXUS</w:t>
            </w:r>
          </w:p>
        </w:tc>
        <w:tc>
          <w:tcPr>
            <w:tcW w:type="dxa" w:w="3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Truth validation, dual-path mathematical cross-validation (epsilon=1e-8), GNN semantic comp graph</w:t>
            </w:r>
          </w:p>
        </w:tc>
      </w:tr>
      <w:tr>
        <w:trPr>
          <w:tblHeader w:val="false"/>
        </w:trPr>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GAMMA — Motor Neuron</w:t>
            </w:r>
          </w:p>
        </w:tc>
        <w:tc>
          <w:tcPr>
            <w:tcW w:type="dxa" w:w="1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Output generation</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TORCH, STRUCTUR, HERALD</w:t>
            </w:r>
          </w:p>
        </w:tc>
        <w:tc>
          <w:tcPr>
            <w:tcW w:type="dxa" w:w="3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IC memo generation, debt structure modeling (5-10 structures/deal), DSCR monitoring and lender alerts</w:t>
            </w:r>
          </w:p>
        </w:tc>
      </w:tr>
      <w:tr>
        <w:trPr>
          <w:tblHeader w:val="false"/>
        </w:trPr>
        <w:tc>
          <w:tcPr>
            <w:tcW w:type="dxa" w:w="16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ORCH — Orchestration</w:t>
            </w:r>
          </w:p>
        </w:tc>
        <w:tc>
          <w:tcPr>
            <w:tcW w:type="dxa" w:w="1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Coordination</w:t>
            </w:r>
          </w:p>
        </w:tc>
        <w:tc>
          <w:tcPr>
            <w:tcW w:type="dxa" w:w="20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ORCH, SHOFET, W3C</w:t>
            </w:r>
          </w:p>
        </w:tc>
        <w:tc>
          <w:tcPr>
            <w:tcW w:type="dxa" w:w="3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Task routing, BFT adjudication, ERC-8004 agent identity and x402 payment rails</w:t>
            </w:r>
          </w:p>
        </w:tc>
      </w:tr>
    </w:tbl>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4.2 — HyperDAG Workflow Engine</w:t>
      </w:r>
    </w:p>
    <w:p>
      <w:pPr>
        <w:spacing w:before="80" w:after="80"/>
      </w:pPr>
      <w:r>
        <w:rPr>
          <w:rFonts w:ascii="Calibri" w:cs="Calibri" w:eastAsia="Calibri" w:hAnsi="Calibri"/>
          <w:color w:val="1C1C1C"/>
          <w:sz w:val="22"/>
          <w:szCs w:val="22"/>
        </w:rPr>
        <w:t xml:space="preserve">Agent tasks are organized as a Directed Acyclic Graph rather than a sequential pipeline. This enables parallel execution of independent tasks, dependency tracking, and conditional branching — critical for real-time deal analysis where multiple computations must run simultaneously and only proceed when upstream verification is confirmed.</w:t>
      </w:r>
    </w:p>
    <w:p>
      <w:pPr>
        <w:shd w:fill="F0EDE8" w:val="clear"/>
        <w:spacing w:before="0" w:after="0"/>
        <w:ind w:left="360" w:right="360"/>
      </w:pPr>
      <w:r>
        <w:rPr>
          <w:rFonts w:ascii="Courier New" w:cs="Courier New" w:eastAsia="Courier New" w:hAnsi="Courier New"/>
          <w:color w:val="2D2D2D"/>
          <w:sz w:val="18"/>
          <w:szCs w:val="18"/>
        </w:rPr>
        <w:t xml:space="preserve">// HyperDAG node definition — each node produces a ZK proof of its output</w:t>
      </w:r>
    </w:p>
    <w:p>
      <w:pPr>
        <w:shd w:fill="F0EDE8" w:val="clear"/>
        <w:spacing w:before="0" w:after="0"/>
        <w:ind w:left="360" w:right="360"/>
      </w:pPr>
      <w:r>
        <w:rPr>
          <w:rFonts w:ascii="Courier New" w:cs="Courier New" w:eastAsia="Courier New" w:hAnsi="Courier New"/>
          <w:color w:val="2D2D2D"/>
          <w:sz w:val="18"/>
          <w:szCs w:val="18"/>
        </w:rPr>
        <w:t xml:space="preserve">interface DAGNode {</w:t>
      </w:r>
    </w:p>
    <w:p>
      <w:pPr>
        <w:shd w:fill="F0EDE8" w:val="clear"/>
        <w:spacing w:before="0" w:after="0"/>
        <w:ind w:left="360" w:right="360"/>
      </w:pPr>
      <w:r>
        <w:rPr>
          <w:rFonts w:ascii="Courier New" w:cs="Courier New" w:eastAsia="Courier New" w:hAnsi="Courier New"/>
          <w:color w:val="2D2D2D"/>
          <w:sz w:val="18"/>
          <w:szCs w:val="18"/>
        </w:rPr>
        <w:t xml:space="preserve">  agentId: string;</w:t>
      </w:r>
    </w:p>
    <w:p>
      <w:pPr>
        <w:shd w:fill="F0EDE8" w:val="clear"/>
        <w:spacing w:before="0" w:after="0"/>
        <w:ind w:left="360" w:right="360"/>
      </w:pPr>
      <w:r>
        <w:rPr>
          <w:rFonts w:ascii="Courier New" w:cs="Courier New" w:eastAsia="Courier New" w:hAnsi="Courier New"/>
          <w:color w:val="2D2D2D"/>
          <w:sz w:val="18"/>
          <w:szCs w:val="18"/>
        </w:rPr>
        <w:t xml:space="preserve">  task: AnalysisTask;</w:t>
      </w:r>
    </w:p>
    <w:p>
      <w:pPr>
        <w:shd w:fill="F0EDE8" w:val="clear"/>
        <w:spacing w:before="0" w:after="0"/>
        <w:ind w:left="360" w:right="360"/>
      </w:pPr>
      <w:r>
        <w:rPr>
          <w:rFonts w:ascii="Courier New" w:cs="Courier New" w:eastAsia="Courier New" w:hAnsi="Courier New"/>
          <w:color w:val="2D2D2D"/>
          <w:sz w:val="18"/>
          <w:szCs w:val="18"/>
        </w:rPr>
        <w:t xml:space="preserve">  dependencies: string[];         // upstream node IDs</w:t>
      </w:r>
    </w:p>
    <w:p>
      <w:pPr>
        <w:shd w:fill="F0EDE8" w:val="clear"/>
        <w:spacing w:before="0" w:after="0"/>
        <w:ind w:left="360" w:right="360"/>
      </w:pPr>
      <w:r>
        <w:rPr>
          <w:rFonts w:ascii="Courier New" w:cs="Courier New" w:eastAsia="Courier New" w:hAnsi="Courier New"/>
          <w:color w:val="2D2D2D"/>
          <w:sz w:val="18"/>
          <w:szCs w:val="18"/>
        </w:rPr>
        <w:t xml:space="preserve">  zkProof?: PlonkyProof;           // proof generated on completion</w:t>
      </w:r>
    </w:p>
    <w:p>
      <w:pPr>
        <w:shd w:fill="F0EDE8" w:val="clear"/>
        <w:spacing w:before="0" w:after="0"/>
        <w:ind w:left="360" w:right="360"/>
      </w:pPr>
      <w:r>
        <w:rPr>
          <w:rFonts w:ascii="Courier New" w:cs="Courier New" w:eastAsia="Courier New" w:hAnsi="Courier New"/>
          <w:color w:val="2D2D2D"/>
          <w:sz w:val="18"/>
          <w:szCs w:val="18"/>
        </w:rPr>
        <w:t xml:space="preserve">  consensusRequired: boolean;      // routes through BFT if true</w:t>
      </w:r>
    </w:p>
    <w:p>
      <w:pPr>
        <w:shd w:fill="F0EDE8" w:val="clear"/>
        <w:spacing w:before="0" w:after="0"/>
        <w:ind w:left="360" w:right="360"/>
      </w:pPr>
      <w:r>
        <w:rPr>
          <w:rFonts w:ascii="Courier New" w:cs="Courier New" w:eastAsia="Courier New" w:hAnsi="Courier New"/>
          <w:color w:val="2D2D2D"/>
          <w:sz w:val="18"/>
          <w:szCs w:val="18"/>
        </w:rPr>
        <w:t xml:space="preserve">}</w:t>
      </w:r>
    </w:p>
    <w:p>
      <w:pPr>
        <w:shd w:fill="F0EDE8" w:val="clear"/>
        <w:spacing w:before="0" w:after="0"/>
        <w:ind w:left="360" w:right="360"/>
      </w:pPr>
      <w:r>
        <w:rPr>
          <w:rFonts w:ascii="Courier New" w:cs="Courier New" w:eastAsia="Courier New" w:hAnsi="Courier New"/>
          <w:color w:val="2D2D2D"/>
          <w:sz w:val="18"/>
          <w:szCs w:val="18"/>
        </w:rPr>
        <w:t xml:space="preserve"> </w:t>
      </w:r>
    </w:p>
    <w:p>
      <w:pPr>
        <w:shd w:fill="F0EDE8" w:val="clear"/>
        <w:spacing w:before="0" w:after="0"/>
        <w:ind w:left="360" w:right="360"/>
      </w:pPr>
      <w:r>
        <w:rPr>
          <w:rFonts w:ascii="Courier New" w:cs="Courier New" w:eastAsia="Courier New" w:hAnsi="Courier New"/>
          <w:color w:val="2D2D2D"/>
          <w:sz w:val="18"/>
          <w:szCs w:val="18"/>
        </w:rPr>
        <w:t xml:space="preserve">// Downstream agents verify upstream work via proof — no re-execution</w:t>
      </w:r>
    </w:p>
    <w:p>
      <w:pPr>
        <w:shd w:fill="F0EDE8" w:val="clear"/>
        <w:spacing w:before="0" w:after="0"/>
        <w:ind w:left="360" w:right="360"/>
      </w:pPr>
      <w:r>
        <w:rPr>
          <w:rFonts w:ascii="Courier New" w:cs="Courier New" w:eastAsia="Courier New" w:hAnsi="Courier New"/>
          <w:color w:val="2D2D2D"/>
          <w:sz w:val="18"/>
          <w:szCs w:val="18"/>
        </w:rPr>
        <w:t xml:space="preserve">async function executeNode(node: DAGNode): Promise&lt;NodeResult&gt; {</w:t>
      </w:r>
    </w:p>
    <w:p>
      <w:pPr>
        <w:shd w:fill="F0EDE8" w:val="clear"/>
        <w:spacing w:before="0" w:after="0"/>
        <w:ind w:left="360" w:right="360"/>
      </w:pPr>
      <w:r>
        <w:rPr>
          <w:rFonts w:ascii="Courier New" w:cs="Courier New" w:eastAsia="Courier New" w:hAnsi="Courier New"/>
          <w:color w:val="2D2D2D"/>
          <w:sz w:val="18"/>
          <w:szCs w:val="18"/>
        </w:rPr>
        <w:t xml:space="preserve">  await verifyUpstreamProofs(node.dependencies);</w:t>
      </w:r>
    </w:p>
    <w:p>
      <w:pPr>
        <w:shd w:fill="F0EDE8" w:val="clear"/>
        <w:spacing w:before="0" w:after="0"/>
        <w:ind w:left="360" w:right="360"/>
      </w:pPr>
      <w:r>
        <w:rPr>
          <w:rFonts w:ascii="Courier New" w:cs="Courier New" w:eastAsia="Courier New" w:hAnsi="Courier New"/>
          <w:color w:val="2D2D2D"/>
          <w:sz w:val="18"/>
          <w:szCs w:val="18"/>
        </w:rPr>
        <w:t xml:space="preserve">  const result = await node.agent.run(node.task);</w:t>
      </w:r>
    </w:p>
    <w:p>
      <w:pPr>
        <w:shd w:fill="F0EDE8" w:val="clear"/>
        <w:spacing w:before="0" w:after="0"/>
        <w:ind w:left="360" w:right="360"/>
      </w:pPr>
      <w:r>
        <w:rPr>
          <w:rFonts w:ascii="Courier New" w:cs="Courier New" w:eastAsia="Courier New" w:hAnsi="Courier New"/>
          <w:color w:val="2D2D2D"/>
          <w:sz w:val="18"/>
          <w:szCs w:val="18"/>
        </w:rPr>
        <w:t xml:space="preserve">  return { ...result, zkProof: await plonky3.prove(result) };</w:t>
      </w:r>
    </w:p>
    <w:p>
      <w:pPr>
        <w:shd w:fill="F0EDE8" w:val="clear"/>
        <w:spacing w:before="0" w:after="0"/>
        <w:ind w:left="360" w:right="360"/>
      </w:pPr>
      <w:r>
        <w:rPr>
          <w:rFonts w:ascii="Courier New" w:cs="Courier New" w:eastAsia="Courier New" w:hAnsi="Courier New"/>
          <w:color w:val="2D2D2D"/>
          <w:sz w:val="18"/>
          <w:szCs w:val="18"/>
        </w:rPr>
        <w:t xml:space="preserve">}</w:t>
      </w:r>
    </w:p>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4.3 — Web3 Infrastructure: ERC-8004 and x402</w:t>
      </w:r>
    </w:p>
    <w:p>
      <w:pPr>
        <w:spacing w:before="80" w:after="80"/>
      </w:pPr>
      <w:r>
        <w:rPr>
          <w:rFonts w:ascii="Calibri" w:cs="Calibri" w:eastAsia="Calibri" w:hAnsi="Calibri"/>
          <w:color w:val="1C1C1C"/>
          <w:sz w:val="22"/>
          <w:szCs w:val="22"/>
        </w:rPr>
        <w:t xml:space="preserve">On-chain infrastructure operates on Base L2 — Coinbase's Ethereum Layer 2 — providing EVM compatibility at significantly lower gas cost than mainnet. Two protocols govern agent identity and payment:</w:t>
      </w:r>
    </w:p>
    <w:p>
      <w:pPr>
        <w:pStyle w:val="Heading3"/>
        <w:spacing w:before="200" w:after="80"/>
      </w:pPr>
      <w:r>
        <w:rPr>
          <w:rFonts w:ascii="Calibri" w:cs="Calibri" w:eastAsia="Calibri" w:hAnsi="Calibri"/>
          <w:b/>
          <w:bCs/>
          <w:color w:val="3A3A3A"/>
          <w:sz w:val="22"/>
          <w:szCs w:val="22"/>
        </w:rPr>
        <w:t xml:space="preserve">ERC-8004 Agent Identity</w:t>
      </w:r>
    </w:p>
    <w:p>
      <w:pPr>
        <w:spacing w:before="80" w:after="80"/>
      </w:pPr>
      <w:r>
        <w:rPr>
          <w:rFonts w:ascii="Calibri" w:cs="Calibri" w:eastAsia="Calibri" w:hAnsi="Calibri"/>
          <w:color w:val="1C1C1C"/>
          <w:sz w:val="22"/>
          <w:szCs w:val="22"/>
        </w:rPr>
        <w:t xml:space="preserve">ERC-8004 is an emerging standard for on-chain identity and reputation for AI agents. Each NEXUS agent carries a registered ERC-8004 identity, enabling counterparties to verify which agents participated in a given analysis, their consensus history, and their performance record — on-chain and independently verifiable.</w:t>
      </w:r>
    </w:p>
    <w:p>
      <w:pPr>
        <w:pStyle w:val="Heading3"/>
        <w:spacing w:before="200" w:after="80"/>
      </w:pPr>
      <w:r>
        <w:rPr>
          <w:rFonts w:ascii="Calibri" w:cs="Calibri" w:eastAsia="Calibri" w:hAnsi="Calibri"/>
          <w:b/>
          <w:bCs/>
          <w:color w:val="3A3A3A"/>
          <w:sz w:val="22"/>
          <w:szCs w:val="22"/>
        </w:rPr>
        <w:t xml:space="preserve">x402 Micropayment Protocol</w:t>
      </w:r>
    </w:p>
    <w:p>
      <w:pPr>
        <w:spacing w:before="80" w:after="80"/>
      </w:pPr>
      <w:r>
        <w:rPr>
          <w:rFonts w:ascii="Calibri" w:cs="Calibri" w:eastAsia="Calibri" w:hAnsi="Calibri"/>
          <w:color w:val="1C1C1C"/>
          <w:sz w:val="22"/>
          <w:szCs w:val="22"/>
        </w:rPr>
        <w:t xml:space="preserve">x402 is an HTTP-native micropayment protocol operating over the standard HTTP 402 status code. Every API endpoint on the TriNexus data marketplace is priced per-use — no monthly billing cycles, no invoices, no accounts payable. A broker pays for exactly what they use. A capital deployer pre-commits a usage budget. An API consumer pays per call.</w:t>
      </w:r>
    </w:p>
    <w:p>
      <w:pPr>
        <w:shd w:fill="F0EDE8" w:val="clear"/>
        <w:spacing w:before="0" w:after="0"/>
        <w:ind w:left="360" w:right="360"/>
      </w:pPr>
      <w:r>
        <w:rPr>
          <w:rFonts w:ascii="Courier New" w:cs="Courier New" w:eastAsia="Courier New" w:hAnsi="Courier New"/>
          <w:color w:val="2D2D2D"/>
          <w:sz w:val="18"/>
          <w:szCs w:val="18"/>
        </w:rPr>
        <w:t xml:space="preserve">// x402 middleware — payment verification before analysis execution</w:t>
      </w:r>
    </w:p>
    <w:p>
      <w:pPr>
        <w:shd w:fill="F0EDE8" w:val="clear"/>
        <w:spacing w:before="0" w:after="0"/>
        <w:ind w:left="360" w:right="360"/>
      </w:pPr>
      <w:r>
        <w:rPr>
          <w:rFonts w:ascii="Courier New" w:cs="Courier New" w:eastAsia="Courier New" w:hAnsi="Courier New"/>
          <w:color w:val="2D2D2D"/>
          <w:sz w:val="18"/>
          <w:szCs w:val="18"/>
        </w:rPr>
        <w:t xml:space="preserve">export async function x402Middleware(req: Request, res: Response, next: NextFunction) {</w:t>
      </w:r>
    </w:p>
    <w:p>
      <w:pPr>
        <w:shd w:fill="F0EDE8" w:val="clear"/>
        <w:spacing w:before="0" w:after="0"/>
        <w:ind w:left="360" w:right="360"/>
      </w:pPr>
      <w:r>
        <w:rPr>
          <w:rFonts w:ascii="Courier New" w:cs="Courier New" w:eastAsia="Courier New" w:hAnsi="Courier New"/>
          <w:color w:val="2D2D2D"/>
          <w:sz w:val="18"/>
          <w:szCs w:val="18"/>
        </w:rPr>
        <w:t xml:space="preserve">  const paymentHeader = req.headers['x-payment'];</w:t>
      </w:r>
    </w:p>
    <w:p>
      <w:pPr>
        <w:shd w:fill="F0EDE8" w:val="clear"/>
        <w:spacing w:before="0" w:after="0"/>
        <w:ind w:left="360" w:right="360"/>
      </w:pPr>
      <w:r>
        <w:rPr>
          <w:rFonts w:ascii="Courier New" w:cs="Courier New" w:eastAsia="Courier New" w:hAnsi="Courier New"/>
          <w:color w:val="2D2D2D"/>
          <w:sz w:val="18"/>
          <w:szCs w:val="18"/>
        </w:rPr>
        <w:t xml:space="preserve">  if (!paymentHeader) {</w:t>
      </w:r>
    </w:p>
    <w:p>
      <w:pPr>
        <w:shd w:fill="F0EDE8" w:val="clear"/>
        <w:spacing w:before="0" w:after="0"/>
        <w:ind w:left="360" w:right="360"/>
      </w:pPr>
      <w:r>
        <w:rPr>
          <w:rFonts w:ascii="Courier New" w:cs="Courier New" w:eastAsia="Courier New" w:hAnsi="Courier New"/>
          <w:color w:val="2D2D2D"/>
          <w:sz w:val="18"/>
          <w:szCs w:val="18"/>
        </w:rPr>
        <w:t xml:space="preserve">    return res.status(402).json({</w:t>
      </w:r>
    </w:p>
    <w:p>
      <w:pPr>
        <w:shd w:fill="F0EDE8" w:val="clear"/>
        <w:spacing w:before="0" w:after="0"/>
        <w:ind w:left="360" w:right="360"/>
      </w:pPr>
      <w:r>
        <w:rPr>
          <w:rFonts w:ascii="Courier New" w:cs="Courier New" w:eastAsia="Courier New" w:hAnsi="Courier New"/>
          <w:color w:val="2D2D2D"/>
          <w:sz w:val="18"/>
          <w:szCs w:val="18"/>
        </w:rPr>
        <w:t xml:space="preserve">      error: 'Payment Required',</w:t>
      </w:r>
    </w:p>
    <w:p>
      <w:pPr>
        <w:shd w:fill="F0EDE8" w:val="clear"/>
        <w:spacing w:before="0" w:after="0"/>
        <w:ind w:left="360" w:right="360"/>
      </w:pPr>
      <w:r>
        <w:rPr>
          <w:rFonts w:ascii="Courier New" w:cs="Courier New" w:eastAsia="Courier New" w:hAnsi="Courier New"/>
          <w:color w:val="2D2D2D"/>
          <w:sz w:val="18"/>
          <w:szCs w:val="18"/>
        </w:rPr>
        <w:t xml:space="preserve">      accepts: [{ network: 'base-sepolia', asset: 'USDC', amount: req.route.price }]</w:t>
      </w:r>
    </w:p>
    <w:p>
      <w:pPr>
        <w:shd w:fill="F0EDE8" w:val="clear"/>
        <w:spacing w:before="0" w:after="0"/>
        <w:ind w:left="360" w:right="360"/>
      </w:pPr>
      <w:r>
        <w:rPr>
          <w:rFonts w:ascii="Courier New" w:cs="Courier New" w:eastAsia="Courier New" w:hAnsi="Courier New"/>
          <w:color w:val="2D2D2D"/>
          <w:sz w:val="18"/>
          <w:szCs w:val="18"/>
        </w:rPr>
        <w:t xml:space="preserve">    });</w:t>
      </w:r>
    </w:p>
    <w:p>
      <w:pPr>
        <w:shd w:fill="F0EDE8" w:val="clear"/>
        <w:spacing w:before="0" w:after="0"/>
        <w:ind w:left="360" w:right="360"/>
      </w:pPr>
      <w:r>
        <w:rPr>
          <w:rFonts w:ascii="Courier New" w:cs="Courier New" w:eastAsia="Courier New" w:hAnsi="Courier New"/>
          <w:color w:val="2D2D2D"/>
          <w:sz w:val="18"/>
          <w:szCs w:val="18"/>
        </w:rPr>
        <w:t xml:space="preserve">  }</w:t>
      </w:r>
    </w:p>
    <w:p>
      <w:pPr>
        <w:shd w:fill="F0EDE8" w:val="clear"/>
        <w:spacing w:before="0" w:after="0"/>
        <w:ind w:left="360" w:right="360"/>
      </w:pPr>
      <w:r>
        <w:rPr>
          <w:rFonts w:ascii="Courier New" w:cs="Courier New" w:eastAsia="Courier New" w:hAnsi="Courier New"/>
          <w:color w:val="2D2D2D"/>
          <w:sz w:val="18"/>
          <w:szCs w:val="18"/>
        </w:rPr>
        <w:t xml:space="preserve">  const receipt = await verifyX402Payment(paymentHeader);</w:t>
      </w:r>
    </w:p>
    <w:p>
      <w:pPr>
        <w:shd w:fill="F0EDE8" w:val="clear"/>
        <w:spacing w:before="0" w:after="0"/>
        <w:ind w:left="360" w:right="360"/>
      </w:pPr>
      <w:r>
        <w:rPr>
          <w:rFonts w:ascii="Courier New" w:cs="Courier New" w:eastAsia="Courier New" w:hAnsi="Courier New"/>
          <w:color w:val="2D2D2D"/>
          <w:sz w:val="18"/>
          <w:szCs w:val="18"/>
        </w:rPr>
        <w:t xml:space="preserve">  if (!receipt.valid) return res.status(402).json({ error: 'Invalid payment' });</w:t>
      </w:r>
    </w:p>
    <w:p>
      <w:pPr>
        <w:shd w:fill="F0EDE8" w:val="clear"/>
        <w:spacing w:before="0" w:after="0"/>
        <w:ind w:left="360" w:right="360"/>
      </w:pPr>
      <w:r>
        <w:rPr>
          <w:rFonts w:ascii="Courier New" w:cs="Courier New" w:eastAsia="Courier New" w:hAnsi="Courier New"/>
          <w:color w:val="2D2D2D"/>
          <w:sz w:val="18"/>
          <w:szCs w:val="18"/>
        </w:rPr>
        <w:t xml:space="preserve">  req.paymentReceipt = receipt;</w:t>
      </w:r>
    </w:p>
    <w:p>
      <w:pPr>
        <w:shd w:fill="F0EDE8" w:val="clear"/>
        <w:spacing w:before="0" w:after="0"/>
        <w:ind w:left="360" w:right="360"/>
      </w:pPr>
      <w:r>
        <w:rPr>
          <w:rFonts w:ascii="Courier New" w:cs="Courier New" w:eastAsia="Courier New" w:hAnsi="Courier New"/>
          <w:color w:val="2D2D2D"/>
          <w:sz w:val="18"/>
          <w:szCs w:val="18"/>
        </w:rPr>
        <w:t xml:space="preserve">  next();</w:t>
      </w:r>
    </w:p>
    <w:p>
      <w:pPr>
        <w:shd w:fill="F0EDE8" w:val="clear"/>
        <w:spacing w:before="0" w:after="0"/>
        <w:ind w:left="360" w:right="360"/>
      </w:pPr>
      <w:r>
        <w:rPr>
          <w:rFonts w:ascii="Courier New" w:cs="Courier New" w:eastAsia="Courier New" w:hAnsi="Courier New"/>
          <w:color w:val="2D2D2D"/>
          <w:sz w:val="18"/>
          <w:szCs w:val="18"/>
        </w:rPr>
        <w:t xml:space="preser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Endpoint</w:t>
            </w:r>
          </w:p>
        </w:tc>
        <w:tc>
          <w:tcPr>
            <w:tcW w:type="dxa" w:w="16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Price</w:t>
            </w:r>
          </w:p>
        </w:tc>
        <w:tc>
          <w:tcPr>
            <w:tcW w:type="dxa" w:w="53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Description</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/extract/rent-roll</w:t>
            </w:r>
          </w:p>
        </w:tc>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$0.25 / document</w:t>
            </w:r>
          </w:p>
        </w:tc>
        <w:tc>
          <w:tcPr>
            <w:tcW w:type="dxa" w:w="53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OCR extraction and structured data output</w:t>
            </w:r>
          </w:p>
        </w:tc>
      </w:tr>
      <w:tr>
        <w:trPr>
          <w:tblHeader w:val="false"/>
        </w:trPr>
        <w:tc>
          <w:tcPr>
            <w:tcW w:type="dxa" w:w="2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/model/dcf</w:t>
            </w:r>
          </w:p>
        </w:tc>
        <w:tc>
          <w:tcPr>
            <w:tcW w:type="dxa" w:w="16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$0.15 / scenario</w:t>
            </w:r>
          </w:p>
        </w:tc>
        <w:tc>
          <w:tcPr>
            <w:tcW w:type="dxa" w:w="53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Single DCF scenario with XIRR</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/report/ic-memo</w:t>
            </w:r>
          </w:p>
        </w:tc>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$2.50 / report</w:t>
            </w:r>
          </w:p>
        </w:tc>
        <w:tc>
          <w:tcPr>
            <w:tcW w:type="dxa" w:w="53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Full bank-ready IC memo, narrative + numbers</w:t>
            </w:r>
          </w:p>
        </w:tc>
      </w:tr>
      <w:tr>
        <w:trPr>
          <w:tblHeader w:val="false"/>
        </w:trPr>
        <w:tc>
          <w:tcPr>
            <w:tcW w:type="dxa" w:w="2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/data/comp-query</w:t>
            </w:r>
          </w:p>
        </w:tc>
        <w:tc>
          <w:tcPr>
            <w:tcW w:type="dxa" w:w="16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$0.05–$2.00 / query</w:t>
            </w:r>
          </w:p>
        </w:tc>
        <w:tc>
          <w:tcPr>
            <w:tcW w:type="dxa" w:w="53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GNN cap rate query, depth-priced</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/verify/repid</w:t>
            </w:r>
          </w:p>
        </w:tc>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$0.03 / verification</w:t>
            </w:r>
          </w:p>
        </w:tc>
        <w:tc>
          <w:tcPr>
            <w:tcW w:type="dxa" w:w="53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RepID score threshold proof — ZK, no history revealed</w:t>
            </w:r>
          </w:p>
        </w:tc>
      </w:tr>
    </w:tbl>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4.4 — RepID: Verifiable On-Chain Reputation</w:t>
      </w:r>
    </w:p>
    <w:p>
      <w:pPr>
        <w:spacing w:before="80" w:after="80"/>
      </w:pPr>
      <w:r>
        <w:rPr>
          <w:rFonts w:ascii="Calibri" w:cs="Calibri" w:eastAsia="Calibri" w:hAnsi="Calibri"/>
          <w:color w:val="1C1C1C"/>
          <w:sz w:val="22"/>
          <w:szCs w:val="22"/>
        </w:rPr>
        <w:t xml:space="preserve">The RepID system builds verifiable, non-transferable professional reputation on-chain. Reputation cannot be purchased, transferred, or gamed — it can only be earned through verified platform activity. The mechanism uses ERC-5114 soulbound tokens with three tiers: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Token Type</w:t>
            </w:r>
          </w:p>
        </w:tc>
        <w:tc>
          <w:tcPr>
            <w:tcW w:type="dxa" w:w="32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Mechanism</w:t>
            </w:r>
          </w:p>
        </w:tc>
        <w:tc>
          <w:tcPr>
            <w:tcW w:type="dxa" w:w="39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What It Proves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Activity SBT (ABT)</w:t>
            </w:r>
          </w:p>
        </w:tc>
        <w:tc>
          <w:tcPr>
            <w:tcW w:type="dxa" w:w="32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Minted on each verified deal connection or validated comp</w:t>
            </w:r>
          </w:p>
        </w:tc>
        <w:tc>
          <w:tcPr>
            <w:tcW w:type="dxa" w:w="3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Non-transferable record of platform participation</w:t>
            </w:r>
          </w:p>
        </w:tc>
      </w:tr>
      <w:tr>
        <w:trPr>
          <w:tblHeader w:val="false"/>
        </w:trPr>
        <w:tc>
          <w:tcPr>
            <w:tcW w:type="dxa" w:w="22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Reputation SBT (RBT)</w:t>
            </w:r>
          </w:p>
        </w:tc>
        <w:tc>
          <w:tcPr>
            <w:tcW w:type="dxa" w:w="32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Aggregated score from ABT history, updated by BFT consensus</w:t>
            </w:r>
          </w:p>
        </w:tc>
        <w:tc>
          <w:tcPr>
            <w:tcW w:type="dxa" w:w="3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Accuracy, closure rate, and contribution quality — on-chain</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Credential SBT (CBT)</w:t>
            </w:r>
          </w:p>
        </w:tc>
        <w:tc>
          <w:tcPr>
            <w:tcW w:type="dxa" w:w="32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Threshold-gated badge when RBT exceeds defined score levels</w:t>
            </w:r>
          </w:p>
        </w:tc>
        <w:tc>
          <w:tcPr>
            <w:tcW w:type="dxa" w:w="3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Shareable credential — LinkedIn, CoStar profile, email signature</w:t>
            </w:r>
          </w:p>
        </w:tc>
      </w:tr>
    </w:tbl>
    <w:p>
      <w:pPr>
        <w:spacing w:before="0" w:after="0"/>
      </w:pPr>
      <w:r>
        <w:t xml:space="preserve"/>
      </w:r>
    </w:p>
    <w:p>
      <w:pPr>
        <w:spacing w:before="80" w:after="80"/>
      </w:pPr>
      <w:r>
        <w:rPr>
          <w:rFonts w:ascii="Calibri" w:cs="Calibri" w:eastAsia="Calibri" w:hAnsi="Calibri"/>
          <w:color w:val="1C1C1C"/>
          <w:sz w:val="22"/>
          <w:szCs w:val="22"/>
        </w:rPr>
        <w:t xml:space="preserve">Staking: Users can stake their RepID on a market prediction or deal recommendation. Accurate predictions (verified by BFT consensus 90 days later) increase the RepID multiplier. Inaccurate predictions slash it. Staking requires no financial commitment — only reputational skin in the game. The incentive structure rewards the platform's highest-quality participants for doing their best work.</w:t>
      </w:r>
    </w:p>
    <w:p>
      <w:pPr>
        <w:pStyle w:val="Heading2"/>
        <w:spacing w:before="280" w:after="120"/>
      </w:pPr>
      <w:r>
        <w:rPr>
          <w:rFonts w:ascii="Garamond" w:cs="Garamond" w:eastAsia="Garamond" w:hAnsi="Garamond"/>
          <w:b/>
          <w:bCs/>
          <w:color w:val="1C1C1C"/>
          <w:sz w:val="28"/>
          <w:szCs w:val="28"/>
        </w:rPr>
        <w:t xml:space="preserve">4.5 — Technology Stack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Layer</w:t>
            </w:r>
          </w:p>
        </w:tc>
        <w:tc>
          <w:tcPr>
            <w:tcW w:type="dxa" w:w="65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Technology</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Financial Engine</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Python: NumPy, SciPy, Pandas, Prophet — XIRR, GNN, LASSO, Markov</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AI / ANFIS / GNN</w:t>
            </w:r>
          </w:p>
        </w:tc>
        <w:tc>
          <w:tcPr>
            <w:tcW w:type="dxa" w:w="6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PyTorch + scikit-fuzzy + scikit-learn — ANFIS routing, GNN embeddings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Agent Framework</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FastAPI microservices — 12 agents, Railway deployment, shared environment</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x402 Payment Rails</w:t>
            </w:r>
          </w:p>
        </w:tc>
        <w:tc>
          <w:tcPr>
            <w:tcW w:type="dxa" w:w="6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TypeScript / Bun + Base L2 — HTTP-native micropayments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On-Chain Identity</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Solidity: ERC-8004 agent identity, ERC-5114 RepID SBTs — Base Sepolia</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Frontend</w:t>
            </w:r>
          </w:p>
        </w:tc>
        <w:tc>
          <w:tcPr>
            <w:tcW w:type="dxa" w:w="6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React + TypeScript + Tailwind CSS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PostgreSQL + Supabase — 276 tables, 281K daily REST requests active</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Caching / Messaging</w:t>
            </w:r>
          </w:p>
        </w:tc>
        <w:tc>
          <w:tcPr>
            <w:tcW w:type="dxa" w:w="6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Dragonfly DB + Upstash Redis — exponential backoff, Telegram alerting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ZK Engine</w:t>
            </w:r>
          </w:p>
        </w:tc>
        <w:tc>
          <w:tcPr>
            <w:tcW w:type="dxa" w:w="65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Plonky3 (Phase 1) → zk-STARKs (Phase 2) → CRYSTALS-Dilithium (Phase 3)</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LLM Routing</w:t>
            </w:r>
          </w:p>
        </w:tc>
        <w:tc>
          <w:tcPr>
            <w:tcW w:type="dxa" w:w="65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18 providers via ANFIS router — 72.5% confirmed cost reduction</w:t>
            </w:r>
          </w:p>
        </w:tc>
      </w:tr>
    </w:tbl>
    <w:p>
      <w:pPr>
        <w:pBdr>
          <w:bottom w:val="single" w:color="EEEEEE" w:sz="2"/>
        </w:pBdr>
        <w:spacing w:before="200" w:after="200"/>
      </w:pPr>
      <w:r>
        <w:t xml:space="preserve"/>
      </w:r>
    </w:p>
    <w:p>
      <w:pPr>
        <w:spacing w:before="400" w:after="0"/>
      </w:pPr>
      <w:r>
        <w:br w:type="page"/>
      </w:r>
    </w:p>
    <w:p>
      <w:pPr>
        <w:pStyle w:val="Heading1"/>
        <w:pBdr>
          <w:bottom w:val="single" w:color="B8922A" w:sz="6" w:space="8"/>
        </w:pBdr>
        <w:spacing w:before="400" w:after="160"/>
      </w:pPr>
      <w:r>
        <w:rPr>
          <w:rFonts w:ascii="Garamond" w:cs="Garamond" w:eastAsia="Garamond" w:hAnsi="Garamond"/>
          <w:b w:val="false"/>
          <w:bCs w:val="false"/>
          <w:color w:val="0A0A0A"/>
          <w:sz w:val="40"/>
          <w:szCs w:val="40"/>
        </w:rPr>
        <w:t xml:space="preserve">Section 5 — DealPulse: Private Notification Infrastructure</w:t>
      </w:r>
    </w:p>
    <w:p>
      <w:pPr>
        <w:spacing w:before="120" w:after="120"/>
      </w:pPr>
      <w:r>
        <w:rPr>
          <w:rFonts w:ascii="Garamond" w:cs="Garamond" w:eastAsia="Garamond" w:hAnsi="Garamond"/>
          <w:i/>
          <w:iCs/>
          <w:color w:val="3A3A3A"/>
          <w:sz w:val="26"/>
          <w:szCs w:val="26"/>
        </w:rPr>
        <w:t xml:space="preserve">The best intelligence network in the world is worth nothing if the signal doesn't reach the right person at the right moment. DealPulse solves the last mile of deal communication — privately, on the principal's terms.</w:t>
      </w:r>
    </w:p>
    <w:p>
      <w:pPr>
        <w:pStyle w:val="Heading2"/>
        <w:spacing w:before="280" w:after="120"/>
      </w:pPr>
      <w:r>
        <w:rPr>
          <w:rFonts w:ascii="Garamond" w:cs="Garamond" w:eastAsia="Garamond" w:hAnsi="Garamond"/>
          <w:b/>
          <w:bCs/>
          <w:color w:val="1C1C1C"/>
          <w:sz w:val="28"/>
          <w:szCs w:val="28"/>
        </w:rPr>
        <w:t xml:space="preserve">5.1 — The Communication Breakdown</w:t>
      </w:r>
    </w:p>
    <w:p>
      <w:pPr>
        <w:spacing w:before="80" w:after="80"/>
      </w:pPr>
      <w:r>
        <w:rPr>
          <w:rFonts w:ascii="Calibri" w:cs="Calibri" w:eastAsia="Calibri" w:hAnsi="Calibri"/>
          <w:color w:val="1C1C1C"/>
          <w:sz w:val="22"/>
          <w:szCs w:val="22"/>
        </w:rPr>
        <w:t xml:space="preserve">Check writers are out of the office. Decision makers are in meetings, on flights, at dinner with family. The communication funnel that runs through assistants and front desks breaks down at exactly the moments when it matters most. A liquid investor who just posted $1M to deploy and a broker with a matching opportunity have a 48-hour window — and no private, reliable channel to find each other.</w:t>
      </w:r>
    </w:p>
    <w:p>
      <w:pPr>
        <w:spacing w:before="80" w:after="80"/>
      </w:pPr>
      <w:r>
        <w:rPr>
          <w:rFonts w:ascii="Calibri" w:cs="Calibri" w:eastAsia="Calibri" w:hAnsi="Calibri"/>
          <w:color w:val="1C1C1C"/>
          <w:sz w:val="22"/>
          <w:szCs w:val="22"/>
        </w:rPr>
        <w:t xml:space="preserve">DealPulse is the configurable private notification layer that bridges that gap. It is not a chat platform. It is not another inbox. It is a signal system — precision-tuned by each user to their role, their urgency thresholds, and their preferred channel — that fires only when something worth knowing has happened.</w:t>
      </w:r>
    </w:p>
    <w:p>
      <w:pPr>
        <w:pStyle w:val="Heading2"/>
        <w:spacing w:before="280" w:after="120"/>
      </w:pPr>
      <w:r>
        <w:rPr>
          <w:rFonts w:ascii="Garamond" w:cs="Garamond" w:eastAsia="Garamond" w:hAnsi="Garamond"/>
          <w:b/>
          <w:bCs/>
          <w:color w:val="1C1C1C"/>
          <w:sz w:val="28"/>
          <w:szCs w:val="28"/>
        </w:rPr>
        <w:t xml:space="preserve">5.2 — Channel Architecture</w:t>
      </w:r>
    </w:p>
    <w:p>
      <w:pPr>
        <w:spacing w:before="80" w:after="80"/>
      </w:pPr>
      <w:r>
        <w:rPr>
          <w:rFonts w:ascii="Calibri" w:cs="Calibri" w:eastAsia="Calibri" w:hAnsi="Calibri"/>
          <w:color w:val="1C1C1C"/>
          <w:sz w:val="22"/>
          <w:szCs w:val="22"/>
        </w:rPr>
        <w:t xml:space="preserve">Every DealPulse notification is user-configured before it is sent. The platform supports four notification channels, each designed for a distinct communication context: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960"/>
        <w:gridCol w:w="3600"/>
      </w:tblGrid>
      <w:tr>
        <w:trPr>
          <w:tblHeader/>
        </w:trPr>
        <w:tc>
          <w:tcPr>
            <w:tcW w:type="dxa" w:w="1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Channel</w:t>
            </w:r>
          </w:p>
        </w:tc>
        <w:tc>
          <w:tcPr>
            <w:tcW w:type="dxa" w:w="20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Context</w:t>
            </w:r>
          </w:p>
        </w:tc>
        <w:tc>
          <w:tcPr>
            <w:tcW w:type="dxa" w:w="19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Detail Level</w:t>
            </w:r>
          </w:p>
        </w:tc>
        <w:tc>
          <w:tcPr>
            <w:tcW w:type="dxa" w:w="36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Use Case</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SMS / Text</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High urgency, mobile-first</w:t>
            </w:r>
          </w:p>
        </w:tc>
        <w:tc>
          <w:tcPr>
            <w:tcW w:type="dxa" w:w="1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Single line + one-tap response</w:t>
            </w:r>
          </w:p>
        </w:tc>
        <w:tc>
          <w:tcPr>
            <w:tcW w:type="dxa" w:w="3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Capital match, closing confirmation, time-sensitive alert</w:t>
            </w:r>
          </w:p>
        </w:tc>
      </w:tr>
      <w:tr>
        <w:trPr>
          <w:tblHeader w:val="false"/>
        </w:trPr>
        <w:tc>
          <w:tcPr>
            <w:tcW w:type="dxa" w:w="1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Telegram Private Channel</w:t>
            </w:r>
          </w:p>
        </w:tc>
        <w:tc>
          <w:tcPr>
            <w:tcW w:type="dxa" w:w="20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Encrypted, grouped by category</w:t>
            </w:r>
          </w:p>
        </w:tc>
        <w:tc>
          <w:tcPr>
            <w:tcW w:type="dxa" w:w="1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Configurable — summary or full detail</w:t>
            </w:r>
          </w:p>
        </w:tc>
        <w:tc>
          <w:tcPr>
            <w:tcW w:type="dxa" w:w="36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Deal flow monitoring, grouped by asset class or market</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Email</w:t>
            </w:r>
          </w:p>
        </w:tc>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Comprehensive, archivable</w:t>
            </w:r>
          </w:p>
        </w:tc>
        <w:tc>
          <w:tcPr>
            <w:tcW w:type="dxa" w:w="1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Full reports, IC memos, match summaries</w:t>
            </w:r>
          </w:p>
        </w:tc>
        <w:tc>
          <w:tcPr>
            <w:tcW w:type="dxa" w:w="3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IC memo delivery, weekly portfolio digest, due diligence packages</w:t>
            </w:r>
          </w:p>
        </w:tc>
      </w:tr>
      <w:tr>
        <w:trPr>
          <w:tblHeader w:val="false"/>
        </w:trPr>
        <w:tc>
          <w:tcPr>
            <w:tcW w:type="dxa" w:w="1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Dashboard Only</w:t>
            </w:r>
          </w:p>
        </w:tc>
        <w:tc>
          <w:tcPr>
            <w:tcW w:type="dxa" w:w="20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Maximum privacy</w:t>
            </w:r>
          </w:p>
        </w:tc>
        <w:tc>
          <w:tcPr>
            <w:tcW w:type="dxa" w:w="1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Nothing leaves the platform</w:t>
            </w:r>
          </w:p>
        </w:tc>
        <w:tc>
          <w:tcPr>
            <w:tcW w:type="dxa" w:w="36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Principals who log in on their terms — no external signals</w:t>
            </w:r>
          </w:p>
        </w:tc>
      </w:tr>
    </w:tbl>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5.3 — Privacy by Design</w:t>
      </w:r>
    </w:p>
    <w:p>
      <w:pPr>
        <w:spacing w:before="80" w:after="80"/>
      </w:pPr>
      <w:r>
        <w:rPr>
          <w:rFonts w:ascii="Calibri" w:cs="Calibri" w:eastAsia="Calibri" w:hAnsi="Calibri"/>
          <w:color w:val="1C1C1C"/>
          <w:sz w:val="22"/>
          <w:szCs w:val="22"/>
        </w:rPr>
        <w:t xml:space="preserve">DealPulse notifications are generated from ZK-verified events — which means the notification itself can confirm that a match occurred, a threshold was crossed, or a deal closed, without revealing the underlying data to any party that has not been granted consent.</w:t>
      </w:r>
    </w:p>
    <w:p>
      <w:pPr>
        <w:spacing w:before="80" w:after="80"/>
      </w:pPr>
      <w:r>
        <w:rPr>
          <w:rFonts w:ascii="Calibri" w:cs="Calibri" w:eastAsia="Calibri" w:hAnsi="Calibri"/>
          <w:color w:val="1C1C1C"/>
          <w:sz w:val="22"/>
          <w:szCs w:val="22"/>
        </w:rPr>
        <w:t xml:space="preserve">A capital deployer receives a notification that a deal matching their criteria has been AI Verified — without knowing who posted it. A broker receives a notification that a qualifying capital deployer has reviewed their listing — without knowing who it is. Mutual introduction occurs only when both parties consent. The notification is proof of relevance. The data behind it remains private until both parties choose to unlock it.</w:t>
      </w:r>
    </w:p>
    <w:p>
      <w:pPr>
        <w:spacing w:before="80" w:after="80"/>
      </w:pPr>
      <w:r>
        <w:rPr>
          <w:rFonts w:ascii="Calibri" w:cs="Calibri" w:eastAsia="Calibri" w:hAnsi="Calibri"/>
          <w:color w:val="1C1C1C"/>
          <w:sz w:val="22"/>
          <w:szCs w:val="22"/>
        </w:rPr>
        <w:t xml:space="preserve">No DealPulse notification ever reaches a third-party advertising network. No notification data is used for targeting, profiling, or resale. The communication infrastructure is governed by the same ZK architecture that governs the matching layer.</w:t>
      </w:r>
    </w:p>
    <w:p>
      <w:pPr>
        <w:pBdr>
          <w:bottom w:val="single" w:color="EEEEEE" w:sz="2"/>
        </w:pBdr>
        <w:spacing w:before="200" w:after="200"/>
      </w:pPr>
      <w:r>
        <w:t xml:space="preserve"/>
      </w:r>
    </w:p>
    <w:p>
      <w:pPr>
        <w:spacing w:before="400" w:after="0"/>
      </w:pPr>
      <w:r>
        <w:br w:type="page"/>
      </w:r>
    </w:p>
    <w:p>
      <w:pPr>
        <w:pStyle w:val="Heading1"/>
        <w:pBdr>
          <w:bottom w:val="single" w:color="B8922A" w:sz="6" w:space="8"/>
        </w:pBdr>
        <w:spacing w:before="400" w:after="160"/>
      </w:pPr>
      <w:r>
        <w:rPr>
          <w:rFonts w:ascii="Garamond" w:cs="Garamond" w:eastAsia="Garamond" w:hAnsi="Garamond"/>
          <w:b w:val="false"/>
          <w:bCs w:val="false"/>
          <w:color w:val="0A0A0A"/>
          <w:sz w:val="40"/>
          <w:szCs w:val="40"/>
        </w:rPr>
        <w:t xml:space="preserve">Section 6 — AI Safety and Ethics</w:t>
      </w:r>
    </w:p>
    <w:p>
      <w:pPr>
        <w:spacing w:before="120" w:after="120"/>
      </w:pPr>
      <w:r>
        <w:rPr>
          <w:rFonts w:ascii="Garamond" w:cs="Garamond" w:eastAsia="Garamond" w:hAnsi="Garamond"/>
          <w:i/>
          <w:iCs/>
          <w:color w:val="3A3A3A"/>
          <w:sz w:val="26"/>
          <w:szCs w:val="26"/>
        </w:rPr>
        <w:t xml:space="preserve">The financial stakes of commercial real estate mean that an AI system that is fast but wrong is worse than no AI at all. TriNexus's architecture treats AI safety not as a compliance checkbox but as a core engineering constraint — embedded at every layer of the stack.</w:t>
      </w:r>
    </w:p>
    <w:p>
      <w:pPr>
        <w:pStyle w:val="Heading2"/>
        <w:spacing w:before="280" w:after="120"/>
      </w:pPr>
      <w:r>
        <w:rPr>
          <w:rFonts w:ascii="Garamond" w:cs="Garamond" w:eastAsia="Garamond" w:hAnsi="Garamond"/>
          <w:b/>
          <w:bCs/>
          <w:color w:val="1C1C1C"/>
          <w:sz w:val="28"/>
          <w:szCs w:val="28"/>
        </w:rPr>
        <w:t xml:space="preserve">6.1 — The Hallucination Problem in Financial AI</w:t>
      </w:r>
    </w:p>
    <w:p>
      <w:pPr>
        <w:spacing w:before="80" w:after="80"/>
      </w:pPr>
      <w:r>
        <w:rPr>
          <w:rFonts w:ascii="Calibri" w:cs="Calibri" w:eastAsia="Calibri" w:hAnsi="Calibri"/>
          <w:color w:val="1C1C1C"/>
          <w:sz w:val="22"/>
          <w:szCs w:val="22"/>
        </w:rPr>
        <w:t xml:space="preserve">Language models hallucinate. This is not a bug that will be patched — it is a structural property of probabilistic generation. For a system producing rent roll extractions, cap rate estimates, and IC memos that will be presented to institutional lenders, hallucination is not an acceptable failure mode.</w:t>
      </w:r>
    </w:p>
    <w:p>
      <w:pPr>
        <w:spacing w:before="80" w:after="80"/>
      </w:pPr>
      <w:r>
        <w:rPr>
          <w:rFonts w:ascii="Calibri" w:cs="Calibri" w:eastAsia="Calibri" w:hAnsi="Calibri"/>
          <w:color w:val="1C1C1C"/>
          <w:sz w:val="22"/>
          <w:szCs w:val="22"/>
        </w:rPr>
        <w:t xml:space="preserve">TriNexus's response is architectural: no single model output is ever published to a user without passing through the BFT consensus layer. The Pythagorean Comma Veto provides a third escalation path that catches confident-minority errors — the failure mode where a single agent is highly confident it is correct and the majority is wrong. The consensus mechanism exists precisely because any individual model, however capable, can be wrong in ways it cannot self-detect.</w:t>
      </w:r>
    </w:p>
    <w:p>
      <w:pPr>
        <w:pStyle w:val="Heading2"/>
        <w:spacing w:before="280" w:after="120"/>
      </w:pPr>
      <w:r>
        <w:rPr>
          <w:rFonts w:ascii="Garamond" w:cs="Garamond" w:eastAsia="Garamond" w:hAnsi="Garamond"/>
          <w:b/>
          <w:bCs/>
          <w:color w:val="1C1C1C"/>
          <w:sz w:val="28"/>
          <w:szCs w:val="28"/>
        </w:rPr>
        <w:t xml:space="preserve">6.2 — Human-in-the-Loop (HITL) Governance</w:t>
      </w:r>
    </w:p>
    <w:p>
      <w:pPr>
        <w:spacing w:before="80" w:after="80"/>
      </w:pPr>
      <w:r>
        <w:rPr>
          <w:rFonts w:ascii="Calibri" w:cs="Calibri" w:eastAsia="Calibri" w:hAnsi="Calibri"/>
          <w:color w:val="1C1C1C"/>
          <w:sz w:val="22"/>
          <w:szCs w:val="22"/>
        </w:rPr>
        <w:t xml:space="preserve">The MEL agent manages the HITL queue — a structured escalation pathway that ensures human review occurs at defined thresholds. HITL is triggered when:</w:t>
      </w:r>
    </w:p>
    <w:p>
      <w:pPr>
        <w:spacing w:before="60" w:after="60"/>
        <w:ind w:left="400" w:hanging="260"/>
      </w:pPr>
      <w:r>
        <w:rPr>
          <w:rFonts w:ascii="Calibri" w:cs="Calibri" w:eastAsia="Calibri" w:hAnsi="Calibri"/>
          <w:b/>
          <w:bCs/>
          <w:color w:val="B8922A"/>
          <w:sz w:val="22"/>
          <w:szCs w:val="22"/>
        </w:rPr>
        <w:t xml:space="preserve">— </w:t>
      </w:r>
      <w:r>
        <w:rPr>
          <w:rFonts w:ascii="Calibri" w:cs="Calibri" w:eastAsia="Calibri" w:hAnsi="Calibri"/>
          <w:color w:val="1C1C1C"/>
          <w:sz w:val="22"/>
          <w:szCs w:val="22"/>
        </w:rPr>
        <w:t xml:space="preserve">BFT quorum fails — consensus cannot be reached among validation agents</w:t>
      </w:r>
    </w:p>
    <w:p>
      <w:pPr>
        <w:spacing w:before="60" w:after="60"/>
        <w:ind w:left="400" w:hanging="260"/>
      </w:pPr>
      <w:r>
        <w:rPr>
          <w:rFonts w:ascii="Calibri" w:cs="Calibri" w:eastAsia="Calibri" w:hAnsi="Calibri"/>
          <w:b/>
          <w:bCs/>
          <w:color w:val="B8922A"/>
          <w:sz w:val="22"/>
          <w:szCs w:val="22"/>
        </w:rPr>
        <w:t xml:space="preserve">— </w:t>
      </w:r>
      <w:r>
        <w:rPr>
          <w:rFonts w:ascii="Calibri" w:cs="Calibri" w:eastAsia="Calibri" w:hAnsi="Calibri"/>
          <w:color w:val="1C1C1C"/>
          <w:sz w:val="22"/>
          <w:szCs w:val="22"/>
        </w:rPr>
        <w:t xml:space="preserve">Pythagorean Comma Veto fires — minority agent confidence exceeds 0.85</w:t>
      </w:r>
    </w:p>
    <w:p>
      <w:pPr>
        <w:spacing w:before="60" w:after="60"/>
        <w:ind w:left="400" w:hanging="260"/>
      </w:pPr>
      <w:r>
        <w:rPr>
          <w:rFonts w:ascii="Calibri" w:cs="Calibri" w:eastAsia="Calibri" w:hAnsi="Calibri"/>
          <w:b/>
          <w:bCs/>
          <w:color w:val="B8922A"/>
          <w:sz w:val="22"/>
          <w:szCs w:val="22"/>
        </w:rPr>
        <w:t xml:space="preserve">— </w:t>
      </w:r>
      <w:r>
        <w:rPr>
          <w:rFonts w:ascii="Calibri" w:cs="Calibri" w:eastAsia="Calibri" w:hAnsi="Calibri"/>
          <w:color w:val="1C1C1C"/>
          <w:sz w:val="22"/>
          <w:szCs w:val="22"/>
        </w:rPr>
        <w:t xml:space="preserve">XIRR dual-path divergence exceeds epsilon=1e-8</w:t>
      </w:r>
    </w:p>
    <w:p>
      <w:pPr>
        <w:spacing w:before="60" w:after="60"/>
        <w:ind w:left="400" w:hanging="260"/>
      </w:pPr>
      <w:r>
        <w:rPr>
          <w:rFonts w:ascii="Calibri" w:cs="Calibri" w:eastAsia="Calibri" w:hAnsi="Calibri"/>
          <w:b/>
          <w:bCs/>
          <w:color w:val="B8922A"/>
          <w:sz w:val="22"/>
          <w:szCs w:val="22"/>
        </w:rPr>
        <w:t xml:space="preserve">— </w:t>
      </w:r>
      <w:r>
        <w:rPr>
          <w:rFonts w:ascii="Calibri" w:cs="Calibri" w:eastAsia="Calibri" w:hAnsi="Calibri"/>
          <w:color w:val="1C1C1C"/>
          <w:sz w:val="22"/>
          <w:szCs w:val="22"/>
        </w:rPr>
        <w:t xml:space="preserve">User explicitly requests human review for any output</w:t>
      </w:r>
    </w:p>
    <w:p>
      <w:pPr>
        <w:spacing w:before="60" w:after="60"/>
        <w:ind w:left="400" w:hanging="260"/>
      </w:pPr>
      <w:r>
        <w:rPr>
          <w:rFonts w:ascii="Calibri" w:cs="Calibri" w:eastAsia="Calibri" w:hAnsi="Calibri"/>
          <w:b/>
          <w:bCs/>
          <w:color w:val="B8922A"/>
          <w:sz w:val="22"/>
          <w:szCs w:val="22"/>
        </w:rPr>
        <w:t xml:space="preserve">— </w:t>
      </w:r>
      <w:r>
        <w:rPr>
          <w:rFonts w:ascii="Calibri" w:cs="Calibri" w:eastAsia="Calibri" w:hAnsi="Calibri"/>
          <w:color w:val="1C1C1C"/>
          <w:sz w:val="22"/>
          <w:szCs w:val="22"/>
        </w:rPr>
        <w:t xml:space="preserve">Output involves a novel deal structure not represented in the GNN training set</w:t>
      </w:r>
    </w:p>
    <w:p>
      <w:pPr>
        <w:spacing w:before="80" w:after="80"/>
      </w:pPr>
      <w:r>
        <w:rPr>
          <w:rFonts w:ascii="Calibri" w:cs="Calibri" w:eastAsia="Calibri" w:hAnsi="Calibri"/>
          <w:color w:val="1C1C1C"/>
          <w:sz w:val="22"/>
          <w:szCs w:val="22"/>
        </w:rPr>
        <w:t xml:space="preserve">Human review is not a fallback of last resort. It is a designed element of the verification architecture — available at any point, triggered automatically at defined thresholds, and logged permanently to the audit trail.</w:t>
      </w:r>
    </w:p>
    <w:p>
      <w:pPr>
        <w:pStyle w:val="Heading2"/>
        <w:spacing w:before="280" w:after="120"/>
      </w:pPr>
      <w:r>
        <w:rPr>
          <w:rFonts w:ascii="Garamond" w:cs="Garamond" w:eastAsia="Garamond" w:hAnsi="Garamond"/>
          <w:b/>
          <w:bCs/>
          <w:color w:val="1C1C1C"/>
          <w:sz w:val="28"/>
          <w:szCs w:val="28"/>
        </w:rPr>
        <w:t xml:space="preserve">6.3 — Audit Trail and Explainability</w:t>
      </w:r>
    </w:p>
    <w:p>
      <w:pPr>
        <w:spacing w:before="80" w:after="80"/>
      </w:pPr>
      <w:r>
        <w:rPr>
          <w:rFonts w:ascii="Calibri" w:cs="Calibri" w:eastAsia="Calibri" w:hAnsi="Calibri"/>
          <w:color w:val="1C1C1C"/>
          <w:sz w:val="22"/>
          <w:szCs w:val="22"/>
        </w:rPr>
        <w:t xml:space="preserve">Every analysis output is accompanied by a complete audit trail: which agents participated, what their individual outputs were, whether consensus was reached on the first pass or required escalation, what comparable transactions grounded the cap rate estimate, and what the LASSO sensitivity ranking was for that specific deal. The output is not a black box — it is a documented, reproducible computation.</w:t>
      </w:r>
    </w:p>
    <w:p>
      <w:pPr>
        <w:shd w:fill="F0EDE8" w:val="clear"/>
        <w:spacing w:before="0" w:after="0"/>
        <w:ind w:left="360" w:right="360"/>
      </w:pPr>
      <w:r>
        <w:rPr>
          <w:rFonts w:ascii="Courier New" w:cs="Courier New" w:eastAsia="Courier New" w:hAnsi="Courier New"/>
          <w:color w:val="2D2D2D"/>
          <w:sz w:val="18"/>
          <w:szCs w:val="18"/>
        </w:rPr>
        <w:t xml:space="preserve">// Every output includes a full provenance record</w:t>
      </w:r>
    </w:p>
    <w:p>
      <w:pPr>
        <w:shd w:fill="F0EDE8" w:val="clear"/>
        <w:spacing w:before="0" w:after="0"/>
        <w:ind w:left="360" w:right="360"/>
      </w:pPr>
      <w:r>
        <w:rPr>
          <w:rFonts w:ascii="Courier New" w:cs="Courier New" w:eastAsia="Courier New" w:hAnsi="Courier New"/>
          <w:color w:val="2D2D2D"/>
          <w:sz w:val="18"/>
          <w:szCs w:val="18"/>
        </w:rPr>
        <w:t xml:space="preserve">interface AnalysisOutput {</w:t>
      </w:r>
    </w:p>
    <w:p>
      <w:pPr>
        <w:shd w:fill="F0EDE8" w:val="clear"/>
        <w:spacing w:before="0" w:after="0"/>
        <w:ind w:left="360" w:right="360"/>
      </w:pPr>
      <w:r>
        <w:rPr>
          <w:rFonts w:ascii="Courier New" w:cs="Courier New" w:eastAsia="Courier New" w:hAnsi="Courier New"/>
          <w:color w:val="2D2D2D"/>
          <w:sz w:val="18"/>
          <w:szCs w:val="18"/>
        </w:rPr>
        <w:t xml:space="preserve">  result: FinancialAnalysis;</w:t>
      </w:r>
    </w:p>
    <w:p>
      <w:pPr>
        <w:shd w:fill="F0EDE8" w:val="clear"/>
        <w:spacing w:before="0" w:after="0"/>
        <w:ind w:left="360" w:right="360"/>
      </w:pPr>
      <w:r>
        <w:rPr>
          <w:rFonts w:ascii="Courier New" w:cs="Courier New" w:eastAsia="Courier New" w:hAnsi="Courier New"/>
          <w:color w:val="2D2D2D"/>
          <w:sz w:val="18"/>
          <w:szCs w:val="18"/>
        </w:rPr>
        <w:t xml:space="preserve">  consensus: {</w:t>
      </w:r>
    </w:p>
    <w:p>
      <w:pPr>
        <w:shd w:fill="F0EDE8" w:val="clear"/>
        <w:spacing w:before="0" w:after="0"/>
        <w:ind w:left="360" w:right="360"/>
      </w:pPr>
      <w:r>
        <w:rPr>
          <w:rFonts w:ascii="Courier New" w:cs="Courier New" w:eastAsia="Courier New" w:hAnsi="Courier New"/>
          <w:color w:val="2D2D2D"/>
          <w:sz w:val="18"/>
          <w:szCs w:val="18"/>
        </w:rPr>
        <w:t xml:space="preserve">    quorumReached: boolean;</w:t>
      </w:r>
    </w:p>
    <w:p>
      <w:pPr>
        <w:shd w:fill="F0EDE8" w:val="clear"/>
        <w:spacing w:before="0" w:after="0"/>
        <w:ind w:left="360" w:right="360"/>
      </w:pPr>
      <w:r>
        <w:rPr>
          <w:rFonts w:ascii="Courier New" w:cs="Courier New" w:eastAsia="Courier New" w:hAnsi="Courier New"/>
          <w:color w:val="2D2D2D"/>
          <w:sz w:val="18"/>
          <w:szCs w:val="18"/>
        </w:rPr>
        <w:t xml:space="preserve">    agentVotes: AgentVote[];          // individual agent outputs</w:t>
      </w:r>
    </w:p>
    <w:p>
      <w:pPr>
        <w:shd w:fill="F0EDE8" w:val="clear"/>
        <w:spacing w:before="0" w:after="0"/>
        <w:ind w:left="360" w:right="360"/>
      </w:pPr>
      <w:r>
        <w:rPr>
          <w:rFonts w:ascii="Courier New" w:cs="Courier New" w:eastAsia="Courier New" w:hAnsi="Courier New"/>
          <w:color w:val="2D2D2D"/>
          <w:sz w:val="18"/>
          <w:szCs w:val="18"/>
        </w:rPr>
        <w:t xml:space="preserve">    convergenceDelta: number;          // max divergence across agents</w:t>
      </w:r>
    </w:p>
    <w:p>
      <w:pPr>
        <w:shd w:fill="F0EDE8" w:val="clear"/>
        <w:spacing w:before="0" w:after="0"/>
        <w:ind w:left="360" w:right="360"/>
      </w:pPr>
      <w:r>
        <w:rPr>
          <w:rFonts w:ascii="Courier New" w:cs="Courier New" w:eastAsia="Courier New" w:hAnsi="Courier New"/>
          <w:color w:val="2D2D2D"/>
          <w:sz w:val="18"/>
          <w:szCs w:val="18"/>
        </w:rPr>
        <w:t xml:space="preserve">    vetoFired: boolean;</w:t>
      </w:r>
    </w:p>
    <w:p>
      <w:pPr>
        <w:shd w:fill="F0EDE8" w:val="clear"/>
        <w:spacing w:before="0" w:after="0"/>
        <w:ind w:left="360" w:right="360"/>
      </w:pPr>
      <w:r>
        <w:rPr>
          <w:rFonts w:ascii="Courier New" w:cs="Courier New" w:eastAsia="Courier New" w:hAnsi="Courier New"/>
          <w:color w:val="2D2D2D"/>
          <w:sz w:val="18"/>
          <w:szCs w:val="18"/>
        </w:rPr>
        <w:t xml:space="preserve">    escalatedToHITL: boolean;</w:t>
      </w:r>
    </w:p>
    <w:p>
      <w:pPr>
        <w:shd w:fill="F0EDE8" w:val="clear"/>
        <w:spacing w:before="0" w:after="0"/>
        <w:ind w:left="360" w:right="360"/>
      </w:pPr>
      <w:r>
        <w:rPr>
          <w:rFonts w:ascii="Courier New" w:cs="Courier New" w:eastAsia="Courier New" w:hAnsi="Courier New"/>
          <w:color w:val="2D2D2D"/>
          <w:sz w:val="18"/>
          <w:szCs w:val="18"/>
        </w:rPr>
        <w:t xml:space="preserve">  };</w:t>
      </w:r>
    </w:p>
    <w:p>
      <w:pPr>
        <w:shd w:fill="F0EDE8" w:val="clear"/>
        <w:spacing w:before="0" w:after="0"/>
        <w:ind w:left="360" w:right="360"/>
      </w:pPr>
      <w:r>
        <w:rPr>
          <w:rFonts w:ascii="Courier New" w:cs="Courier New" w:eastAsia="Courier New" w:hAnsi="Courier New"/>
          <w:color w:val="2D2D2D"/>
          <w:sz w:val="18"/>
          <w:szCs w:val="18"/>
        </w:rPr>
        <w:t xml:space="preserve">  comparables: Comparable[];          // GNN-sourced, verifiable</w:t>
      </w:r>
    </w:p>
    <w:p>
      <w:pPr>
        <w:shd w:fill="F0EDE8" w:val="clear"/>
        <w:spacing w:before="0" w:after="0"/>
        <w:ind w:left="360" w:right="360"/>
      </w:pPr>
      <w:r>
        <w:rPr>
          <w:rFonts w:ascii="Courier New" w:cs="Courier New" w:eastAsia="Courier New" w:hAnsi="Courier New"/>
          <w:color w:val="2D2D2D"/>
          <w:sz w:val="18"/>
          <w:szCs w:val="18"/>
        </w:rPr>
        <w:t xml:space="preserve">  sensitivityRanking: LassoResult[];  // top drivers by weight</w:t>
      </w:r>
    </w:p>
    <w:p>
      <w:pPr>
        <w:shd w:fill="F0EDE8" w:val="clear"/>
        <w:spacing w:before="0" w:after="0"/>
        <w:ind w:left="360" w:right="360"/>
      </w:pPr>
      <w:r>
        <w:rPr>
          <w:rFonts w:ascii="Courier New" w:cs="Courier New" w:eastAsia="Courier New" w:hAnsi="Courier New"/>
          <w:color w:val="2D2D2D"/>
          <w:sz w:val="18"/>
          <w:szCs w:val="18"/>
        </w:rPr>
        <w:t xml:space="preserve">  zkProof: PlonkyProof;               // cryptographic output proof</w:t>
      </w:r>
    </w:p>
    <w:p>
      <w:pPr>
        <w:shd w:fill="F0EDE8" w:val="clear"/>
        <w:spacing w:before="0" w:after="0"/>
        <w:ind w:left="360" w:right="360"/>
      </w:pPr>
      <w:r>
        <w:rPr>
          <w:rFonts w:ascii="Courier New" w:cs="Courier New" w:eastAsia="Courier New" w:hAnsi="Courier New"/>
          <w:color w:val="2D2D2D"/>
          <w:sz w:val="18"/>
          <w:szCs w:val="18"/>
        </w:rPr>
        <w:t xml:space="preserve">  auditTimestamp: string;             // immutable, chain-anchored</w:t>
      </w:r>
    </w:p>
    <w:p>
      <w:pPr>
        <w:shd w:fill="F0EDE8" w:val="clear"/>
        <w:spacing w:before="0" w:after="0"/>
        <w:ind w:left="360" w:right="360"/>
      </w:pPr>
      <w:r>
        <w:rPr>
          <w:rFonts w:ascii="Courier New" w:cs="Courier New" w:eastAsia="Courier New" w:hAnsi="Courier New"/>
          <w:color w:val="2D2D2D"/>
          <w:sz w:val="18"/>
          <w:szCs w:val="18"/>
        </w:rPr>
        <w:t xml:space="preserve">}</w:t>
      </w:r>
    </w:p>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6.4 — Data Minimization and Privacy Ethics</w:t>
      </w:r>
    </w:p>
    <w:p>
      <w:pPr>
        <w:spacing w:before="80" w:after="80"/>
      </w:pPr>
      <w:r>
        <w:rPr>
          <w:rFonts w:ascii="Calibri" w:cs="Calibri" w:eastAsia="Calibri" w:hAnsi="Calibri"/>
          <w:color w:val="1C1C1C"/>
          <w:sz w:val="22"/>
          <w:szCs w:val="22"/>
        </w:rPr>
        <w:t xml:space="preserve">TriNexus collects only the data required to produce a verified analysis or a verified match. Property addresses are never required for marketplace posting. Capital criteria are never stored in cleartext. Rent rolls submitted for analysis are processed, hashed, and cleared — not retained for training or resale.</w:t>
      </w:r>
    </w:p>
    <w:p>
      <w:pPr>
        <w:spacing w:before="80" w:after="80"/>
      </w:pPr>
      <w:r>
        <w:rPr>
          <w:rFonts w:ascii="Calibri" w:cs="Calibri" w:eastAsia="Calibri" w:hAnsi="Calibri"/>
          <w:color w:val="1C1C1C"/>
          <w:sz w:val="22"/>
          <w:szCs w:val="22"/>
        </w:rPr>
        <w:t xml:space="preserve">The ZK architecture is the technical implementation of a straightforward ethical position: the platform connects people. It does not need to own their data to do that. The less data the platform retains, the less risk it creates for the people it serves.</w:t>
      </w:r>
    </w:p>
    <w:p>
      <w:pPr>
        <w:pStyle w:val="Heading2"/>
        <w:spacing w:before="280" w:after="120"/>
      </w:pPr>
      <w:r>
        <w:rPr>
          <w:rFonts w:ascii="Garamond" w:cs="Garamond" w:eastAsia="Garamond" w:hAnsi="Garamond"/>
          <w:b/>
          <w:bCs/>
          <w:color w:val="1C1C1C"/>
          <w:sz w:val="28"/>
          <w:szCs w:val="28"/>
        </w:rPr>
        <w:t xml:space="preserve">6.5 — Bias Mitigation in GNN Comparables</w:t>
      </w:r>
    </w:p>
    <w:p>
      <w:pPr>
        <w:spacing w:before="80" w:after="80"/>
      </w:pPr>
      <w:r>
        <w:rPr>
          <w:rFonts w:ascii="Calibri" w:cs="Calibri" w:eastAsia="Calibri" w:hAnsi="Calibri"/>
          <w:color w:val="1C1C1C"/>
          <w:sz w:val="22"/>
          <w:szCs w:val="22"/>
        </w:rPr>
        <w:t xml:space="preserve">The GNN cap rate model is only as good as its training data. TriNexus addresses this through three mechanisms: verified submission requirements (users who contribute comps must verify the transaction, not just report it), geographic coverage monitoring (the platform flags submarket gaps where comp density is insufficient for reliable estimation), and continuous recalibration (the model is retrained as new verified transactions enter the graph).</w:t>
      </w:r>
    </w:p>
    <w:p>
      <w:pPr>
        <w:spacing w:before="80" w:after="80"/>
      </w:pPr>
      <w:r>
        <w:rPr>
          <w:rFonts w:ascii="Calibri" w:cs="Calibri" w:eastAsia="Calibri" w:hAnsi="Calibri"/>
          <w:color w:val="1C1C1C"/>
          <w:sz w:val="22"/>
          <w:szCs w:val="22"/>
        </w:rPr>
        <w:t xml:space="preserve">When the GNN cannot produce a reliable estimate for a given property — because submarket comp density is insufficient — it says so. The output is a confidence interval with an explicit coverage warning, not a false precision number. Admitting uncertainty is a feature, not a failure.</w:t>
      </w:r>
    </w:p>
    <w:p>
      <w:pPr>
        <w:pBdr>
          <w:bottom w:val="single" w:color="EEEEEE" w:sz="2"/>
        </w:pBdr>
        <w:spacing w:before="200" w:after="200"/>
      </w:pPr>
      <w:r>
        <w:t xml:space="preserve"/>
      </w:r>
    </w:p>
    <w:p>
      <w:pPr>
        <w:spacing w:before="400" w:after="0"/>
      </w:pPr>
      <w:r>
        <w:br w:type="page"/>
      </w:r>
    </w:p>
    <w:p>
      <w:pPr>
        <w:pStyle w:val="Heading1"/>
        <w:pBdr>
          <w:bottom w:val="single" w:color="B8922A" w:sz="6" w:space="8"/>
        </w:pBdr>
        <w:spacing w:before="400" w:after="160"/>
      </w:pPr>
      <w:r>
        <w:rPr>
          <w:rFonts w:ascii="Garamond" w:cs="Garamond" w:eastAsia="Garamond" w:hAnsi="Garamond"/>
          <w:b w:val="false"/>
          <w:bCs w:val="false"/>
          <w:color w:val="0A0A0A"/>
          <w:sz w:val="40"/>
          <w:szCs w:val="40"/>
        </w:rPr>
        <w:t xml:space="preserve">Section 7 — Marketplace and Platform Mechanics</w:t>
      </w:r>
    </w:p>
    <w:p>
      <w:pPr>
        <w:pStyle w:val="Heading2"/>
        <w:spacing w:before="280" w:after="120"/>
      </w:pPr>
      <w:r>
        <w:rPr>
          <w:rFonts w:ascii="Garamond" w:cs="Garamond" w:eastAsia="Garamond" w:hAnsi="Garamond"/>
          <w:b/>
          <w:bCs/>
          <w:color w:val="1C1C1C"/>
          <w:sz w:val="28"/>
          <w:szCs w:val="28"/>
        </w:rPr>
        <w:t xml:space="preserve">7.1 — The Bumble Mechanic: Who Initiates</w:t>
      </w:r>
    </w:p>
    <w:p>
      <w:pPr>
        <w:spacing w:before="80" w:after="80"/>
      </w:pPr>
      <w:r>
        <w:rPr>
          <w:rFonts w:ascii="Calibri" w:cs="Calibri" w:eastAsia="Calibri" w:hAnsi="Calibri"/>
          <w:color w:val="1C1C1C"/>
          <w:sz w:val="22"/>
          <w:szCs w:val="22"/>
        </w:rPr>
        <w:t xml:space="preserve">Capital-side participants initiate introductions. Deal-side participants post. This asymmetry is structural and intentional: there will always be more deals seeking capital than capital seeking deals. Putting matching power on the scarce side — verified, deployed capital — reduces noise for everyone and ensures that every outreach a broker receives reflects genuine intent.</w:t>
      </w:r>
    </w:p>
    <w:p>
      <w:pPr>
        <w:spacing w:before="80" w:after="80"/>
      </w:pPr>
      <w:r>
        <w:rPr>
          <w:rFonts w:ascii="Calibri" w:cs="Calibri" w:eastAsia="Calibri" w:hAnsi="Calibri"/>
          <w:color w:val="1C1C1C"/>
          <w:sz w:val="22"/>
          <w:szCs w:val="22"/>
        </w:rPr>
        <w:t xml:space="preserve">When a capital deployer's ZK-committed criteria match a deal in the system, they see the deal's characteristics — market, asset type, size, structure, target returns, AI Verification status — but not the deal's address, the broker's name, or any identifying information. If they choose to connect, the broker receives a connection request. Only when the broker also accepts does the mutual introduction occur.</w:t>
      </w:r>
    </w:p>
    <w:p>
      <w:pPr>
        <w:pStyle w:val="Heading2"/>
        <w:spacing w:before="280" w:after="120"/>
      </w:pPr>
      <w:r>
        <w:rPr>
          <w:rFonts w:ascii="Garamond" w:cs="Garamond" w:eastAsia="Garamond" w:hAnsi="Garamond"/>
          <w:b/>
          <w:bCs/>
          <w:color w:val="1C1C1C"/>
          <w:sz w:val="28"/>
          <w:szCs w:val="28"/>
        </w:rPr>
        <w:t xml:space="preserve">7.2 — AI Verified Badge</w:t>
      </w:r>
    </w:p>
    <w:p>
      <w:pPr>
        <w:spacing w:before="80" w:after="80"/>
      </w:pPr>
      <w:r>
        <w:rPr>
          <w:rFonts w:ascii="Calibri" w:cs="Calibri" w:eastAsia="Calibri" w:hAnsi="Calibri"/>
          <w:color w:val="1C1C1C"/>
          <w:sz w:val="22"/>
          <w:szCs w:val="22"/>
        </w:rPr>
        <w:t xml:space="preserve">The AI Verified badge is earned by submitting a rent roll, T-12, and offering memorandum for NEXUS engine verification. The badge signals that the deal's financial assumptions have been cross-validated by the BFT consensus layer, that the cap rate estimate is GNN-grounded in verified comparables, and that the XIRR has passed dual-path convergence.</w:t>
      </w:r>
    </w:p>
    <w:p>
      <w:pPr>
        <w:spacing w:before="80" w:after="80"/>
      </w:pPr>
      <w:r>
        <w:rPr>
          <w:rFonts w:ascii="Calibri" w:cs="Calibri" w:eastAsia="Calibri" w:hAnsi="Calibri"/>
          <w:color w:val="1C1C1C"/>
          <w:sz w:val="22"/>
          <w:szCs w:val="22"/>
        </w:rPr>
        <w:t xml:space="preserve">AI Verified listings receive priority placement in matching. For capital deployers reviewing 8–40 inbound pitches per week, the AI Verified badge is the first filter: it means the numbers were checked by something other than the person who wants the check to clear.</w:t>
      </w:r>
    </w:p>
    <w:p>
      <w:pPr>
        <w:pStyle w:val="Heading2"/>
        <w:spacing w:before="280" w:after="120"/>
      </w:pPr>
      <w:r>
        <w:rPr>
          <w:rFonts w:ascii="Garamond" w:cs="Garamond" w:eastAsia="Garamond" w:hAnsi="Garamond"/>
          <w:b/>
          <w:bCs/>
          <w:color w:val="1C1C1C"/>
          <w:sz w:val="28"/>
          <w:szCs w:val="28"/>
        </w:rPr>
        <w:t xml:space="preserve">7.3 — Bird Dog Monetization</w:t>
      </w:r>
    </w:p>
    <w:p>
      <w:pPr>
        <w:spacing w:before="80" w:after="80"/>
      </w:pPr>
      <w:r>
        <w:rPr>
          <w:rFonts w:ascii="Calibri" w:cs="Calibri" w:eastAsia="Calibri" w:hAnsi="Calibri"/>
          <w:color w:val="1C1C1C"/>
          <w:sz w:val="22"/>
          <w:szCs w:val="22"/>
        </w:rPr>
        <w:t xml:space="preserve">A bird dog on TriNexus is a verified participant who introduces a deal to a capital deployer outside their existing network. When that connection results in a closed transaction, the bird dog automatically receives a platform credit reward — posted in advance by the deal originator as a bounty. Bird dogs stake their RepID on the quality of their introduction. A bird dog with a 90%+ accuracy rating commands significantly higher bounties than a new participant with no track record.</w:t>
      </w:r>
    </w:p>
    <w:p>
      <w:pPr>
        <w:spacing w:before="80" w:after="80"/>
      </w:pPr>
      <w:r>
        <w:rPr>
          <w:rFonts w:ascii="Calibri" w:cs="Calibri" w:eastAsia="Calibri" w:hAnsi="Calibri"/>
          <w:color w:val="1C1C1C"/>
          <w:sz w:val="22"/>
          <w:szCs w:val="22"/>
        </w:rPr>
        <w:t xml:space="preserve">Platform credits reduce future platform fees and unlock premium features. They are utility rewards for platform participation — not securities, not investment interests, and not redeemable for cash.</w:t>
      </w:r>
    </w:p>
    <w:p>
      <w:pPr>
        <w:pStyle w:val="Heading2"/>
        <w:spacing w:before="280" w:after="120"/>
      </w:pPr>
      <w:r>
        <w:rPr>
          <w:rFonts w:ascii="Garamond" w:cs="Garamond" w:eastAsia="Garamond" w:hAnsi="Garamond"/>
          <w:b/>
          <w:bCs/>
          <w:color w:val="1C1C1C"/>
          <w:sz w:val="28"/>
          <w:szCs w:val="28"/>
        </w:rPr>
        <w:t xml:space="preserve">7.4 — Membership and Access</w:t>
      </w:r>
    </w:p>
    <w:p>
      <w:pPr>
        <w:spacing w:before="80" w:after="80"/>
      </w:pPr>
      <w:r>
        <w:rPr>
          <w:rFonts w:ascii="Calibri" w:cs="Calibri" w:eastAsia="Calibri" w:hAnsi="Calibri"/>
          <w:color w:val="1C1C1C"/>
          <w:sz w:val="22"/>
          <w:szCs w:val="22"/>
        </w:rPr>
        <w:t xml:space="preserve">TriNexus does not have subscribers — it has members. The distinction matters. Membership is earned through an application process reviewed by the platform's credentialing system. Deal volume, market focus, and track record are evaluated. Qualifying applicants receive an invitation. The platform does not accept everyone — and that selectivity is a feature, not a constraint.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Membership Tier</w:t>
            </w:r>
          </w:p>
        </w:tc>
        <w:tc>
          <w:tcPr>
            <w:tcW w:type="dxa" w:w="14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Monthly Price</w:t>
            </w:r>
          </w:p>
        </w:tc>
        <w:tc>
          <w:tcPr>
            <w:tcW w:type="dxa" w:w="59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Core Access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DealPulse</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$97</w:t>
            </w:r>
          </w:p>
        </w:tc>
        <w:tc>
          <w:tcPr>
            <w:tcW w:type="dxa" w:w="5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ZK-anonymous deal or capital posting, DealPulse alerts via chosen channel, RepID profile (auto-builds), mutual introduction on consent, first month free (founding cohort)</w:t>
            </w:r>
          </w:p>
        </w:tc>
      </w:tr>
      <w:tr>
        <w:trPr>
          <w:tblHeader w:val="false"/>
        </w:trPr>
        <w:tc>
          <w:tcPr>
            <w:tcW w:type="dxa" w:w="20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NEXUS Verified</w:t>
            </w:r>
          </w:p>
        </w:tc>
        <w:tc>
          <w:tcPr>
            <w:tcW w:type="dxa" w:w="1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$499</w:t>
            </w:r>
          </w:p>
        </w:tc>
        <w:tc>
          <w:tcPr>
            <w:tcW w:type="dxa" w:w="5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Everything in DealPulse plus unlimited NEXUS AI underwriting, AI Verified badge, GNN cap rate + LASSO reports, full IC memo generation, RepID staking and multiplier access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A La Carte</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$25–$199 per analysis</w:t>
            </w:r>
          </w:p>
        </w:tc>
        <w:tc>
          <w:tcPr>
            <w:tcW w:type="dxa" w:w="5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Rent roll extraction $25 · Full DCF at 3 leverage scenarios $75 · Complete IC memo $150 · Full bundle $199 · No subscription required</w:t>
            </w:r>
          </w:p>
        </w:tc>
      </w:tr>
    </w:tbl>
    <w:p>
      <w:pPr>
        <w:pBdr>
          <w:bottom w:val="single" w:color="EEEEEE" w:sz="2"/>
        </w:pBdr>
        <w:spacing w:before="200" w:after="200"/>
      </w:pPr>
      <w:r>
        <w:t xml:space="preserve"/>
      </w:r>
    </w:p>
    <w:p>
      <w:pPr>
        <w:spacing w:before="400" w:after="0"/>
      </w:pPr>
      <w:r>
        <w:br w:type="page"/>
      </w:r>
    </w:p>
    <w:p>
      <w:pPr>
        <w:pStyle w:val="Heading1"/>
        <w:pBdr>
          <w:bottom w:val="single" w:color="B8922A" w:sz="6" w:space="8"/>
        </w:pBdr>
        <w:spacing w:before="400" w:after="160"/>
      </w:pPr>
      <w:r>
        <w:rPr>
          <w:rFonts w:ascii="Garamond" w:cs="Garamond" w:eastAsia="Garamond" w:hAnsi="Garamond"/>
          <w:b w:val="false"/>
          <w:bCs w:val="false"/>
          <w:color w:val="0A0A0A"/>
          <w:sz w:val="40"/>
          <w:szCs w:val="40"/>
        </w:rPr>
        <w:t xml:space="preserve">Section 8 — Market Opportunity</w:t>
      </w:r>
    </w:p>
    <w:p>
      <w:pPr>
        <w:spacing w:before="120" w:after="120"/>
      </w:pPr>
      <w:r>
        <w:rPr>
          <w:rFonts w:ascii="Garamond" w:cs="Garamond" w:eastAsia="Garamond" w:hAnsi="Garamond"/>
          <w:i/>
          <w:iCs/>
          <w:color w:val="3A3A3A"/>
          <w:sz w:val="26"/>
          <w:szCs w:val="26"/>
        </w:rPr>
        <w:t xml:space="preserve">TriNexus does not compete in a single product category. It is a displacement play — replacing three line items in a CRE professional's budget with one integrated platform at a fraction of the cost.</w:t>
      </w:r>
    </w:p>
    <w:p>
      <w:pPr>
        <w:pStyle w:val="Heading2"/>
        <w:spacing w:before="280" w:after="120"/>
      </w:pPr>
      <w:r>
        <w:rPr>
          <w:rFonts w:ascii="Garamond" w:cs="Garamond" w:eastAsia="Garamond" w:hAnsi="Garamond"/>
          <w:b/>
          <w:bCs/>
          <w:color w:val="1C1C1C"/>
          <w:sz w:val="28"/>
          <w:szCs w:val="28"/>
        </w:rPr>
        <w:t xml:space="preserve">8.1 — The Addressable Market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Market Segment</w:t>
            </w:r>
          </w:p>
        </w:tc>
        <w:tc>
          <w:tcPr>
            <w:tcW w:type="dxa" w:w="16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TAM</w:t>
            </w:r>
          </w:p>
        </w:tc>
        <w:tc>
          <w:tcPr>
            <w:tcW w:type="dxa" w:w="49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TriNexus Entry Point</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CRE SaaS — Argus/CoStar replacement</w:t>
            </w:r>
          </w:p>
        </w:tc>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$567M</w:t>
            </w:r>
          </w:p>
        </w:tc>
        <w:tc>
          <w:tcPr>
            <w:tcW w:type="dxa" w:w="4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NEXUS Verified at $499/mo vs. $5K-50K/yr incumbents</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CRE Data Intelligence</w:t>
            </w:r>
          </w:p>
        </w:tc>
        <w:tc>
          <w:tcPr>
            <w:tcW w:type="dxa" w:w="16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$5B</w:t>
            </w:r>
          </w:p>
        </w:tc>
        <w:tc>
          <w:tcPr>
            <w:tcW w:type="dxa" w:w="4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ZK-private GNN comps, per-query x402 pricing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Annual CRE Transaction Volume</w:t>
            </w:r>
          </w:p>
        </w:tc>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$120B</w:t>
            </w:r>
          </w:p>
        </w:tc>
        <w:tc>
          <w:tcPr>
            <w:tcW w:type="dxa" w:w="4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Marketplace fee (5-15%) on matched and closed deals</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Cross-Vertical Licensing (pharma, medical, legal)</w:t>
            </w:r>
          </w:p>
        </w:tc>
        <w:tc>
          <w:tcPr>
            <w:tcW w:type="dxa" w:w="16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$12B+</w:t>
            </w:r>
          </w:p>
        </w:tc>
        <w:tc>
          <w:tcPr>
            <w:tcW w:type="dxa" w:w="49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Pending — same tech applied to analogous matching problems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Total Addressable Market</w:t>
            </w:r>
          </w:p>
        </w:tc>
        <w:tc>
          <w:tcPr>
            <w:tcW w:type="dxa" w:w="1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$5.6B+ core</w:t>
            </w:r>
          </w:p>
        </w:tc>
        <w:tc>
          <w:tcPr>
            <w:tcW w:type="dxa" w:w="49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$17.6B+ with cross-vertical expansion</w:t>
            </w:r>
          </w:p>
        </w:tc>
      </w:tr>
    </w:tbl>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8.2 — Revenue Projections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Revenue Stream</w:t>
            </w:r>
          </w:p>
        </w:tc>
        <w:tc>
          <w:tcPr>
            <w:tcW w:type="dxa" w:w="14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Year 1 ARR</w:t>
            </w:r>
          </w:p>
        </w:tc>
        <w:tc>
          <w:tcPr>
            <w:tcW w:type="dxa" w:w="140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Year 3 ARR</w:t>
            </w:r>
          </w:p>
        </w:tc>
        <w:tc>
          <w:tcPr>
            <w:tcW w:type="dxa" w:w="3760"/>
            <w:tcBorders>
              <w:top w:val="single" w:color="DDDDDD" w:sz="1"/>
              <w:left w:val="single" w:color="DDDDDD" w:sz="1"/>
              <w:bottom w:val="single" w:color="DDDDDD" w:sz="1"/>
              <w:right w:val="single" w:color="DDDDDD" w:sz="1"/>
            </w:tcBorders>
            <w:shd w:fill="0A0A0A" w:val="clear"/>
            <w:tcMar>
              <w:top w:type="dxa" w:w="120"/>
              <w:left w:type="dxa" w:w="160"/>
              <w:bottom w:type="dxa" w:w="120"/>
              <w:right w:type="dxa" w:w="160"/>
            </w:tcMar>
          </w:tcPr>
          <w:p>
            <w:r>
              <w:rPr>
                <w:rFonts w:ascii="Calibri" w:cs="Calibri" w:eastAsia="Calibri" w:hAnsi="Calibri"/>
                <w:b/>
                <w:bCs/>
                <w:color w:val="FFFFFF"/>
                <w:sz w:val="18"/>
                <w:szCs w:val="18"/>
              </w:rPr>
              <w:t xml:space="preserve">Model</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SaaS Subscriptions ($97-$499/mo)</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$1.9M</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$60M</w:t>
            </w:r>
          </w:p>
        </w:tc>
        <w:tc>
          <w:tcPr>
            <w:tcW w:type="dxa" w:w="3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3-tier membership</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x402 Metered Usage</w:t>
            </w:r>
          </w:p>
        </w:tc>
        <w:tc>
          <w:tcPr>
            <w:tcW w:type="dxa" w:w="1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$340K</w:t>
            </w:r>
          </w:p>
        </w:tc>
        <w:tc>
          <w:tcPr>
            <w:tcW w:type="dxa" w:w="1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$18M</w:t>
            </w:r>
          </w:p>
        </w:tc>
        <w:tc>
          <w:tcPr>
            <w:tcW w:type="dxa" w:w="37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Per-call, per-analysis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Marketplace Transaction Fees (5-15%)</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$220K</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$22M</w:t>
            </w:r>
          </w:p>
        </w:tc>
        <w:tc>
          <w:tcPr>
            <w:tcW w:type="dxa" w:w="3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Closing fee on matched deals</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RepID Staking (0.5% of staked value)</w:t>
            </w:r>
          </w:p>
        </w:tc>
        <w:tc>
          <w:tcPr>
            <w:tcW w:type="dxa" w:w="1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$85K</w:t>
            </w:r>
          </w:p>
        </w:tc>
        <w:tc>
          <w:tcPr>
            <w:tcW w:type="dxa" w:w="1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$8M</w:t>
            </w:r>
          </w:p>
        </w:tc>
        <w:tc>
          <w:tcPr>
            <w:tcW w:type="dxa" w:w="37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On-chain</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Agent API + Institutional Data Licensing</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$320K</w:t>
            </w:r>
          </w:p>
        </w:tc>
        <w:tc>
          <w:tcPr>
            <w:tcW w:type="dxa" w:w="14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$27M</w:t>
            </w:r>
          </w:p>
        </w:tc>
        <w:tc>
          <w:tcPr>
            <w:tcW w:type="dxa" w:w="3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Developer and enterprise tiers</w:t>
            </w:r>
          </w:p>
        </w:tc>
      </w:tr>
      <w:tr>
        <w:trPr>
          <w:tblHeader w:val="false"/>
        </w:trPr>
        <w:tc>
          <w:tcPr>
            <w:tcW w:type="dxa" w:w="28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TOTAL</w:t>
            </w:r>
          </w:p>
        </w:tc>
        <w:tc>
          <w:tcPr>
            <w:tcW w:type="dxa" w:w="1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$2.9M</w:t>
            </w:r>
          </w:p>
        </w:tc>
        <w:tc>
          <w:tcPr>
            <w:tcW w:type="dxa" w:w="140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$135M</w:t>
            </w:r>
          </w:p>
        </w:tc>
        <w:tc>
          <w:tcPr>
            <w:tcW w:type="dxa" w:w="37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Calibri" w:cs="Calibri" w:eastAsia="Calibri" w:hAnsi="Calibri"/>
                <w:b w:val="false"/>
                <w:bCs w:val="false"/>
                <w:color w:val="1C1C1C"/>
                <w:sz w:val="20"/>
                <w:szCs w:val="20"/>
              </w:rPr>
              <w:t xml:space="preserve"/>
            </w:r>
          </w:p>
        </w:tc>
      </w:tr>
    </w:tbl>
    <w:p>
      <w:pPr>
        <w:spacing w:before="0" w:after="0"/>
      </w:pPr>
      <w:r>
        <w:t xml:space="preserve"/>
      </w:r>
    </w:p>
    <w:p>
      <w:pPr>
        <w:pStyle w:val="Heading2"/>
        <w:spacing w:before="280" w:after="120"/>
      </w:pPr>
      <w:r>
        <w:rPr>
          <w:rFonts w:ascii="Garamond" w:cs="Garamond" w:eastAsia="Garamond" w:hAnsi="Garamond"/>
          <w:b/>
          <w:bCs/>
          <w:color w:val="1C1C1C"/>
          <w:sz w:val="28"/>
          <w:szCs w:val="28"/>
        </w:rPr>
        <w:t xml:space="preserve">8.3 — Go-To-Market: The Hard Money Beachhead</w:t>
      </w:r>
    </w:p>
    <w:p>
      <w:pPr>
        <w:spacing w:before="80" w:after="80"/>
      </w:pPr>
      <w:r>
        <w:rPr>
          <w:rFonts w:ascii="Calibri" w:cs="Calibri" w:eastAsia="Calibri" w:hAnsi="Calibri"/>
          <w:color w:val="1C1C1C"/>
          <w:sz w:val="22"/>
          <w:szCs w:val="22"/>
        </w:rPr>
        <w:t xml:space="preserve">The initial target market is the hard money lending sector: deal cycles of 7-14 days, high tolerance for technology that saves time, deep familiarity with private capital networks, and a culture that already values discretion. This community has the most acute pain — they lose deals to speed more than any other segment — and the highest willingness to pay for a faster, more private alternative.</w:t>
      </w:r>
    </w:p>
    <w:p>
      <w:pPr>
        <w:spacing w:before="80" w:after="80"/>
      </w:pPr>
      <w:r>
        <w:rPr>
          <w:rFonts w:ascii="Calibri" w:cs="Calibri" w:eastAsia="Calibri" w:hAnsi="Calibri"/>
          <w:color w:val="1C1C1C"/>
          <w:sz w:val="22"/>
          <w:szCs w:val="22"/>
        </w:rPr>
        <w:t xml:space="preserve">The founding cohort model applies engineered scarcity and peer validation simultaneously. 200 founding members. Application required. Each founding member receives two invitations — creating viral growth within exactly the right network segment. Founding members receive lifetime RepID multiplier bonuses and first access to new marketplace categories.</w:t>
      </w:r>
    </w:p>
    <w:p>
      <w:pPr>
        <w:pStyle w:val="Heading2"/>
        <w:spacing w:before="280" w:after="120"/>
      </w:pPr>
      <w:r>
        <w:rPr>
          <w:rFonts w:ascii="Garamond" w:cs="Garamond" w:eastAsia="Garamond" w:hAnsi="Garamond"/>
          <w:b/>
          <w:bCs/>
          <w:color w:val="1C1C1C"/>
          <w:sz w:val="28"/>
          <w:szCs w:val="28"/>
        </w:rPr>
        <w:t xml:space="preserve">8.4 — Cross-Vertical Applicability</w:t>
      </w:r>
    </w:p>
    <w:p>
      <w:pPr>
        <w:spacing w:before="80" w:after="80"/>
      </w:pPr>
      <w:r>
        <w:rPr>
          <w:rFonts w:ascii="Calibri" w:cs="Calibri" w:eastAsia="Calibri" w:hAnsi="Calibri"/>
          <w:color w:val="1C1C1C"/>
          <w:sz w:val="22"/>
          <w:szCs w:val="22"/>
        </w:rPr>
        <w:t xml:space="preserve">The methods protected by TriNexus's pending patent portfolio are domain-agnostic. Commercial real estate is the proof-of-concept market — it has the data richness, deal velocity, and privacy requirements to validate the technology. The underlying architecture, however — ANFIS routing, BFT consensus, ZK proof generation, and on-chain reputation — is equally applicable to pharmaceutical trial matching, medical record privacy, and legal intelligence.</w:t>
      </w:r>
    </w:p>
    <w:p>
      <w:pPr>
        <w:spacing w:before="80" w:after="80"/>
      </w:pPr>
      <w:r>
        <w:rPr>
          <w:rFonts w:ascii="Calibri" w:cs="Calibri" w:eastAsia="Calibri" w:hAnsi="Calibri"/>
          <w:color w:val="1C1C1C"/>
          <w:sz w:val="22"/>
          <w:szCs w:val="22"/>
        </w:rPr>
        <w:t xml:space="preserve">These cross-vertical applications are expressly covered by pending patents. CRE is the market TriNexus launches in. It is not the only market TriNexus is designed for.</w:t>
      </w:r>
    </w:p>
    <w:p>
      <w:pPr>
        <w:pStyle w:val="Heading2"/>
        <w:spacing w:before="280" w:after="120"/>
      </w:pPr>
      <w:r>
        <w:rPr>
          <w:rFonts w:ascii="Garamond" w:cs="Garamond" w:eastAsia="Garamond" w:hAnsi="Garamond"/>
          <w:b/>
          <w:bCs/>
          <w:color w:val="1C1C1C"/>
          <w:sz w:val="28"/>
          <w:szCs w:val="28"/>
        </w:rPr>
        <w:t xml:space="preserve">8.5 — The Compounding Moat</w:t>
      </w:r>
    </w:p>
    <w:p>
      <w:pPr>
        <w:pStyle w:val="Heading3"/>
        <w:spacing w:before="200" w:after="80"/>
      </w:pPr>
      <w:r>
        <w:rPr>
          <w:rFonts w:ascii="Calibri" w:cs="Calibri" w:eastAsia="Calibri" w:hAnsi="Calibri"/>
          <w:b/>
          <w:bCs/>
          <w:color w:val="3A3A3A"/>
          <w:sz w:val="22"/>
          <w:szCs w:val="22"/>
        </w:rPr>
        <w:t xml:space="preserve">Data Network Effect</w:t>
      </w:r>
    </w:p>
    <w:p>
      <w:pPr>
        <w:spacing w:before="80" w:after="80"/>
      </w:pPr>
      <w:r>
        <w:rPr>
          <w:rFonts w:ascii="Calibri" w:cs="Calibri" w:eastAsia="Calibri" w:hAnsi="Calibri"/>
          <w:color w:val="1C1C1C"/>
          <w:sz w:val="22"/>
          <w:szCs w:val="22"/>
        </w:rPr>
        <w:t xml:space="preserve">Every verified comparable submitted by a platform participant enriches the GNN training set. Every verified deal connection adds a data point to the submarket intelligence layer. The longer the platform operates, the more accurate its models become — and the larger the gap between TriNexus's GNN-estimated cap rates and a new entrant's analyst-estimated cap rates.</w:t>
      </w:r>
    </w:p>
    <w:p>
      <w:pPr>
        <w:pStyle w:val="Heading3"/>
        <w:spacing w:before="200" w:after="80"/>
      </w:pPr>
      <w:r>
        <w:rPr>
          <w:rFonts w:ascii="Calibri" w:cs="Calibri" w:eastAsia="Calibri" w:hAnsi="Calibri"/>
          <w:b/>
          <w:bCs/>
          <w:color w:val="3A3A3A"/>
          <w:sz w:val="22"/>
          <w:szCs w:val="22"/>
        </w:rPr>
        <w:t xml:space="preserve">Reputation Lock-In</w:t>
      </w:r>
    </w:p>
    <w:p>
      <w:pPr>
        <w:spacing w:before="80" w:after="80"/>
      </w:pPr>
      <w:r>
        <w:rPr>
          <w:rFonts w:ascii="Calibri" w:cs="Calibri" w:eastAsia="Calibri" w:hAnsi="Calibri"/>
          <w:color w:val="1C1C1C"/>
          <w:sz w:val="22"/>
          <w:szCs w:val="22"/>
        </w:rPr>
        <w:t xml:space="preserve">A participant's RepID score is non-transferable by design. A broker with a 94% accuracy rating built over three years of verified platform activity cannot take that credential to a competitor. The credential's value grows with time on the platform — and that growth is compounding.</w:t>
      </w:r>
    </w:p>
    <w:p>
      <w:pPr>
        <w:pStyle w:val="Heading3"/>
        <w:spacing w:before="200" w:after="80"/>
      </w:pPr>
      <w:r>
        <w:rPr>
          <w:rFonts w:ascii="Calibri" w:cs="Calibri" w:eastAsia="Calibri" w:hAnsi="Calibri"/>
          <w:b/>
          <w:bCs/>
          <w:color w:val="3A3A3A"/>
          <w:sz w:val="22"/>
          <w:szCs w:val="22"/>
        </w:rPr>
        <w:t xml:space="preserve">Proprietary Protection</w:t>
      </w:r>
    </w:p>
    <w:p>
      <w:pPr>
        <w:spacing w:before="80" w:after="80"/>
      </w:pPr>
      <w:r>
        <w:rPr>
          <w:rFonts w:ascii="Calibri" w:cs="Calibri" w:eastAsia="Calibri" w:hAnsi="Calibri"/>
          <w:color w:val="1C1C1C"/>
          <w:sz w:val="22"/>
          <w:szCs w:val="22"/>
        </w:rPr>
        <w:t xml:space="preserve">The specific combination of ANFIS routing, BFT consensus, ZK proof generation, ERC-8004 agent identity, and on-chain reputation infrastructure — integrated into a single workflow for grounded intelligence at scale — is protected as a method and system under 7 pending patent applications. Any competitor replicating the architecture is replicating the claims.</w:t>
      </w:r>
    </w:p>
    <w:p>
      <w:pPr>
        <w:pBdr>
          <w:bottom w:val="single" w:color="EEEEEE" w:sz="2"/>
        </w:pBdr>
        <w:spacing w:before="200" w:after="200"/>
      </w:pPr>
      <w:r>
        <w:t xml:space="preserve"/>
      </w:r>
    </w:p>
    <w:p>
      <w:pPr>
        <w:spacing w:before="400" w:after="0"/>
      </w:pPr>
      <w:r>
        <w:br w:type="page"/>
      </w:r>
    </w:p>
    <w:p>
      <w:pPr>
        <w:pStyle w:val="Heading1"/>
        <w:pBdr>
          <w:bottom w:val="single" w:color="B8922A" w:sz="6" w:space="8"/>
        </w:pBdr>
        <w:spacing w:before="400" w:after="160"/>
      </w:pPr>
      <w:r>
        <w:rPr>
          <w:rFonts w:ascii="Garamond" w:cs="Garamond" w:eastAsia="Garamond" w:hAnsi="Garamond"/>
          <w:b w:val="false"/>
          <w:bCs w:val="false"/>
          <w:color w:val="0A0A0A"/>
          <w:sz w:val="40"/>
          <w:szCs w:val="40"/>
        </w:rPr>
        <w:t xml:space="preserve">Section 9 — Intellectual Property and Closing Statement</w:t>
      </w:r>
    </w:p>
    <w:p>
      <w:pPr>
        <w:pStyle w:val="Heading2"/>
        <w:spacing w:before="280" w:after="120"/>
      </w:pPr>
      <w:r>
        <w:rPr>
          <w:rFonts w:ascii="Garamond" w:cs="Garamond" w:eastAsia="Garamond" w:hAnsi="Garamond"/>
          <w:b/>
          <w:bCs/>
          <w:color w:val="1C1C1C"/>
          <w:sz w:val="28"/>
          <w:szCs w:val="28"/>
        </w:rPr>
        <w:t xml:space="preserve">9.1 — Patent Portfolio</w:t>
      </w:r>
    </w:p>
    <w:p>
      <w:pPr>
        <w:spacing w:before="80" w:after="80"/>
      </w:pPr>
      <w:r>
        <w:rPr>
          <w:rFonts w:ascii="Calibri" w:cs="Calibri" w:eastAsia="Calibri" w:hAnsi="Calibri"/>
          <w:color w:val="1C1C1C"/>
          <w:sz w:val="22"/>
          <w:szCs w:val="22"/>
        </w:rPr>
        <w:t xml:space="preserve">TriNexus's core technology is protected by a portfolio of 7 pending patent applications covering: neuromorphic multi-agent AI architecture with ANFIS intelligent routing, Byzantine Fault-Tolerant consensus with dissent-confidence veto, zero-knowledge proof integration for privacy-preserving intelligence matching, on-chain reputation systems with adaptive governance, DAG workflow orchestration with recursive ZK proof generation, ERC-8004 plus x402 agent-to-agent commerce protocol, and cross-vertical methods for grounded privacy-preserving intelligence marketplaces.</w:t>
      </w:r>
    </w:p>
    <w:p>
      <w:pPr>
        <w:spacing w:before="80" w:after="80"/>
      </w:pPr>
      <w:r>
        <w:rPr>
          <w:rFonts w:ascii="Calibri" w:cs="Calibri" w:eastAsia="Calibri" w:hAnsi="Calibri"/>
          <w:color w:val="1C1C1C"/>
          <w:sz w:val="22"/>
          <w:szCs w:val="22"/>
        </w:rPr>
        <w:t xml:space="preserve">Patent claims are written to protect the method, not the market. The same architecture that serves CRE professionals today is protected for application to pharmaceutical trial matching, medical record privacy, and legal intelligence — in any industry where data has value and privacy has teeth.</w:t>
      </w:r>
    </w:p>
    <w:p>
      <w:pPr>
        <w:spacing w:before="80" w:after="80"/>
      </w:pPr>
      <w:r>
        <w:rPr>
          <w:rFonts w:ascii="Calibri" w:cs="Calibri" w:eastAsia="Calibri" w:hAnsi="Calibri"/>
          <w:color w:val="1C1C1C"/>
          <w:sz w:val="22"/>
          <w:szCs w:val="22"/>
        </w:rPr>
        <w:t xml:space="preserve">Specific claim details, parameter values, and architectural specifications are not disclosed in this document pending non-provisional filings. All proprietary formulas, methods, and systems referenced herein are protected.</w:t>
      </w:r>
    </w:p>
    <w:p>
      <w:pPr>
        <w:pStyle w:val="Heading2"/>
        <w:spacing w:before="280" w:after="120"/>
      </w:pPr>
      <w:r>
        <w:rPr>
          <w:rFonts w:ascii="Garamond" w:cs="Garamond" w:eastAsia="Garamond" w:hAnsi="Garamond"/>
          <w:b/>
          <w:bCs/>
          <w:color w:val="1C1C1C"/>
          <w:sz w:val="28"/>
          <w:szCs w:val="28"/>
        </w:rPr>
        <w:t xml:space="preserve">9.2 — Closing Statement</w:t>
      </w:r>
    </w:p>
    <w:p>
      <w:pPr>
        <w:pBdr>
          <w:left w:val="single" w:color="B8922A" w:sz="8" w:space="12"/>
        </w:pBdr>
        <w:spacing w:before="200" w:after="200"/>
        <w:ind w:left="560"/>
      </w:pPr>
      <w:r>
        <w:rPr>
          <w:rFonts w:ascii="Garamond" w:cs="Garamond" w:eastAsia="Garamond" w:hAnsi="Garamond"/>
          <w:i/>
          <w:iCs/>
          <w:color w:val="3A3A3A"/>
          <w:sz w:val="28"/>
          <w:szCs w:val="28"/>
        </w:rPr>
        <w:t xml:space="preserve">The professionals who move capital in commercial real estate are not looking for software. They are looking for an edge — private, verifiable, and fast enough to matter. TriNexus is that edge.</w:t>
      </w:r>
    </w:p>
    <w:p>
      <w:pPr>
        <w:spacing w:before="80" w:after="80"/>
      </w:pPr>
      <w:r>
        <w:rPr>
          <w:rFonts w:ascii="Calibri" w:cs="Calibri" w:eastAsia="Calibri" w:hAnsi="Calibri"/>
          <w:color w:val="1C1C1C"/>
          <w:sz w:val="22"/>
          <w:szCs w:val="22"/>
        </w:rPr>
        <w:t xml:space="preserve">The problem is not that CRE professionals lack intelligence. It is that the infrastructure around them cannot move at the speed of their best judgment. The analysis takes too long. The data costs too much and proves too little. The capital that would close the deal is invisible until it is too late.</w:t>
      </w:r>
    </w:p>
    <w:p>
      <w:pPr>
        <w:spacing w:before="80" w:after="80"/>
      </w:pPr>
      <w:r>
        <w:rPr>
          <w:rFonts w:ascii="Calibri" w:cs="Calibri" w:eastAsia="Calibri" w:hAnsi="Calibri"/>
          <w:color w:val="1C1C1C"/>
          <w:sz w:val="22"/>
          <w:szCs w:val="22"/>
        </w:rPr>
        <w:t xml:space="preserve">TriNexus resolves all three — through mathematics, not promises. The ZK proofs are not a marketing claim. The BFT consensus is not a feature description. The 72.5% cost reduction is a confirmed result. The 27-minute underwriting is an engineering output, not an aspiration.</w:t>
      </w:r>
    </w:p>
    <w:p>
      <w:pPr>
        <w:spacing w:before="80" w:after="80"/>
      </w:pPr>
      <w:r>
        <w:rPr>
          <w:rFonts w:ascii="Calibri" w:cs="Calibri" w:eastAsia="Calibri" w:hAnsi="Calibri"/>
          <w:color w:val="1C1C1C"/>
          <w:sz w:val="22"/>
          <w:szCs w:val="22"/>
        </w:rPr>
        <w:t xml:space="preserve">The founding cohort is open. The network is private. The invitation is selective. The results are verifiable.</w:t>
      </w:r>
    </w:p>
    <w:p>
      <w:pPr>
        <w:spacing w:before="0" w:after="0"/>
      </w:pPr>
      <w:r>
        <w:t xml:space="preserve"/>
      </w:r>
    </w:p>
    <w:p>
      <w:pPr>
        <w:spacing w:before="0" w:after="0"/>
      </w:pPr>
      <w:r>
        <w:t xml:space="preserve"/>
      </w:r>
    </w:p>
    <w:p>
      <w:pPr>
        <w:spacing w:before="0" w:after="60"/>
        <w:jc w:val="center"/>
      </w:pPr>
      <w:r>
        <w:rPr>
          <w:rFonts w:ascii="Garamond" w:cs="Garamond" w:eastAsia="Garamond" w:hAnsi="Garamond"/>
          <w:color w:val="B8922A"/>
          <w:spacing w:val="300"/>
          <w:sz w:val="36"/>
          <w:szCs w:val="36"/>
        </w:rPr>
        <w:t xml:space="preserve">TRINEXUS.IO</w:t>
      </w:r>
    </w:p>
    <w:p>
      <w:pPr>
        <w:spacing w:before="0" w:after="60"/>
        <w:jc w:val="center"/>
      </w:pPr>
      <w:r>
        <w:rPr>
          <w:rFonts w:ascii="Calibri" w:cs="Calibri" w:eastAsia="Calibri" w:hAnsi="Calibri"/>
          <w:i/>
          <w:iCs/>
          <w:color w:val="777777"/>
          <w:sz w:val="20"/>
          <w:szCs w:val="20"/>
        </w:rPr>
        <w:t xml:space="preserve">Private Intelligence for CRE Principals</w:t>
      </w:r>
    </w:p>
    <w:p>
      <w:pPr>
        <w:spacing w:before="0" w:after="60"/>
        <w:jc w:val="center"/>
      </w:pPr>
      <w:r>
        <w:rPr>
          <w:rFonts w:ascii="Calibri" w:cs="Calibri" w:eastAsia="Calibri" w:hAnsi="Calibri"/>
          <w:color w:val="777777"/>
          <w:sz w:val="18"/>
          <w:szCs w:val="18"/>
        </w:rPr>
        <w:t xml:space="preserve">hello@trinexus.io  ·  Founding Cohort — Application Required</w:t>
      </w:r>
    </w:p>
    <w:p>
      <w:pPr>
        <w:pBdr>
          <w:bottom w:val="single" w:color="EEEEEE" w:sz="2"/>
        </w:pBdr>
        <w:spacing w:before="200" w:after="200"/>
      </w:pPr>
      <w:r>
        <w:t xml:space="preserve"/>
      </w:r>
    </w:p>
    <w:p>
      <w:pPr>
        <w:spacing w:before="80" w:after="0"/>
      </w:pPr>
      <w:r>
        <w:rPr>
          <w:rFonts w:ascii="Calibri" w:cs="Calibri" w:eastAsia="Calibri" w:hAnsi="Calibri"/>
          <w:i/>
          <w:iCs/>
          <w:color w:val="AAAAAA"/>
          <w:sz w:val="16"/>
          <w:szCs w:val="16"/>
        </w:rPr>
        <w:t xml:space="preserve">CONFIDENTIAL — 7 patents pending. Proprietary methods, systems, and cross-vertical applications. Not for distribution. © 2026 TriNexus. This document does not constitute an offer of securities, investment advice, or broker-dealer services. Platform credits are utility rewards and do not represent investment interests.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aramond" w:cs="Garamond" w:eastAsia="Garamond" w:hAnsi="Garamond"/>
      <w:b w:val="false"/>
      <w:bCs w:val="false"/>
      <w:color w:val="0A0A0A"/>
      <w:sz w:val="40"/>
      <w:szCs w:val="40"/>
    </w:rPr>
  </w:style>
  <w:style w:type="paragraph" w:styleId="Heading2">
    <w:name w:val="Heading 2"/>
    <w:basedOn w:val="Normal"/>
    <w:next w:val="Normal"/>
    <w:qFormat/>
    <w:pPr>
      <w:spacing w:before="280" w:after="120"/>
      <w:outlineLvl w:val="1"/>
    </w:pPr>
    <w:rPr>
      <w:rFonts w:ascii="Garamond" w:cs="Garamond" w:eastAsia="Garamond" w:hAnsi="Garamond"/>
      <w:b/>
      <w:bCs/>
      <w:color w:val="1C1C1C"/>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TriNexus — Technical White Paper</dc:title>
  <dc:creator>TriNexus</dc:creator>
  <dc:description>Private Intelligence Network for Commercial Real Estate Principals</dc:description>
  <cp:lastModifiedBy>Un-named</cp:lastModifiedBy>
  <cp:revision>1</cp:revision>
  <dcterms:created xsi:type="dcterms:W3CDTF">2026-03-10T02:12:56.395Z</dcterms:created>
  <dcterms:modified xsi:type="dcterms:W3CDTF">2026-03-10T02:12:56.396Z</dcterms:modified>
</cp:coreProperties>
</file>

<file path=docProps/custom.xml><?xml version="1.0" encoding="utf-8"?>
<Properties xmlns="http://schemas.openxmlformats.org/officeDocument/2006/custom-properties" xmlns:vt="http://schemas.openxmlformats.org/officeDocument/2006/docPropsVTypes"/>
</file>