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before="0" w:after="80"/>
      </w:pPr>
      <w:r>
        <w:rPr>
          <w:rFonts w:ascii="Calibri" w:cs="Calibri" w:eastAsia="Calibri" w:hAnsi="Calibri"/>
          <w:b/>
          <w:bCs/>
          <w:color w:val="B8922A"/>
          <w:spacing w:val="220"/>
          <w:sz w:val="18"/>
          <w:szCs w:val="18"/>
        </w:rPr>
        <w:t xml:space="preserve">TECHNICAL WHITE PAPER — VERSION 2.1  ·  MARCH 2026</w:t>
      </w:r>
    </w:p>
    <w:p>
      <w:pPr>
        <w:bidi w:val="false"/>
        <w:spacing w:before="0" w:after="120"/>
      </w:pPr>
      <w:r>
        <w:rPr>
          <w:rFonts w:ascii="Garamond" w:cs="Garamond" w:eastAsia="Garamond" w:hAnsi="Garamond"/>
          <w:b w:val="false"/>
          <w:bCs w:val="false"/>
          <w:color w:val="0A0A0A"/>
          <w:sz w:val="80"/>
          <w:szCs w:val="80"/>
        </w:rPr>
        <w:t xml:space="preserve">TriNexus</w:t>
      </w:r>
    </w:p>
    <w:p>
      <w:pPr>
        <w:bidi w:val="false"/>
        <w:spacing w:before="0" w:after="100"/>
      </w:pPr>
      <w:r>
        <w:rPr>
          <w:rFonts w:ascii="Calibri" w:cs="Calibri" w:eastAsia="Calibri" w:hAnsi="Calibri"/>
          <w:i/>
          <w:iCs/>
          <w:color w:val="444444"/>
          <w:sz w:val="28"/>
          <w:szCs w:val="28"/>
        </w:rPr>
        <w:t xml:space="preserve">Private Intelligence Network for Commercial Real Estate Principals</w:t>
      </w:r>
    </w:p>
    <w:p>
      <w:pPr>
        <w:pBdr>
          <w:bottom w:val="single" w:color="B8922A" w:sz="6"/>
        </w:pBdr>
        <w:bidi w:val="false"/>
        <w:spacing w:before="160" w:after="160"/>
      </w:pPr>
      <w:r>
        <w:t xml:space="preserve"/>
      </w:r>
    </w:p>
    <w:p>
      <w:pPr>
        <w:bidi w:val="false"/>
        <w:spacing w:before="0" w:after="0"/>
      </w:pPr>
      <w:r>
        <w:t xml:space="preserve"/>
      </w:r>
    </w:p>
    <w:p>
      <w:pPr>
        <w:bidi w:val="false"/>
        <w:spacing w:before="0" w:after="60"/>
      </w:pPr>
      <w:r>
        <w:rPr>
          <w:rFonts w:ascii="Calibri" w:cs="Calibri" w:eastAsia="Calibri" w:hAnsi="Calibri"/>
          <w:color w:val="888888"/>
          <w:sz w:val="20"/>
          <w:szCs w:val="20"/>
        </w:rPr>
        <w:t xml:space="preserve">AI-Verified Underwriting  ·  Zero-Knowledge Privacy  ·  On-Chain Reputation</w:t>
      </w:r>
    </w:p>
    <w:p>
      <w:pPr>
        <w:bidi w:val="false"/>
        <w:spacing w:before="0" w:after="60"/>
      </w:pPr>
      <w:r>
        <w:rPr>
          <w:rFonts w:ascii="Calibri" w:cs="Calibri" w:eastAsia="Calibri" w:hAnsi="Calibri"/>
          <w:color w:val="888888"/>
          <w:sz w:val="20"/>
          <w:szCs w:val="20"/>
        </w:rPr>
        <w:t xml:space="preserve">Byzantine Fault-Tolerant Consensus  ·  ANFIS Intelligent Routing  ·  DealPulse</w:t>
      </w:r>
    </w:p>
    <w:p>
      <w:pPr>
        <w:bidi w:val="false"/>
        <w:spacing w:before="0" w:after="60"/>
      </w:pPr>
      <w:r>
        <w:rPr>
          <w:rFonts w:ascii="Calibri" w:cs="Calibri" w:eastAsia="Calibri" w:hAnsi="Calibri"/>
          <w:color w:val="888888"/>
          <w:sz w:val="20"/>
          <w:szCs w:val="20"/>
        </w:rPr>
        <w:t xml:space="preserve">Adversarial Model Ensemble  ·  Full Principal Control  ·  Zero Hallucinations</w:t>
      </w:r>
    </w:p>
    <w:p>
      <w:pPr>
        <w:bidi w:val="false"/>
        <w:spacing w:before="0" w:after="0"/>
      </w:pPr>
      <w:r>
        <w:t xml:space="preserve"/>
      </w:r>
    </w:p>
    <w:p>
      <w:pPr>
        <w:bidi w:val="false"/>
        <w:spacing w:before="0" w:after="0"/>
      </w:pPr>
      <w:r>
        <w:t xml:space="preserve"/>
      </w:r>
    </w:p>
    <w:p>
      <w:pPr>
        <w:spacing w:before="0" w:after="80"/>
      </w:pPr>
      <w:r>
        <w:rPr>
          <w:rFonts w:ascii="Calibri" w:cs="Calibri" w:eastAsia="Calibri" w:hAnsi="Calibri"/>
          <w:b/>
          <w:bCs/>
          <w:color w:val="B8922A"/>
          <w:sz w:val="18"/>
          <w:szCs w:val="18"/>
        </w:rPr>
        <w:t xml:space="preserve">CONFIDENTIAL  —  </w:t>
      </w:r>
      <w:r>
        <w:rPr>
          <w:rFonts w:ascii="Calibri" w:cs="Calibri" w:eastAsia="Calibri" w:hAnsi="Calibri"/>
          <w:i/>
          <w:iCs/>
          <w:color w:val="888888"/>
          <w:sz w:val="18"/>
          <w:szCs w:val="18"/>
        </w:rPr>
        <w:t xml:space="preserve">7 patents pending. Proprietary methods, systems, and cross-vertical applications. Do not distribute.</w:t>
      </w:r>
    </w:p>
    <w:p>
      <w:pPr>
        <w:pBdr>
          <w:bottom w:val="single" w:color="EEEEEE" w:sz="1"/>
        </w:pBdr>
        <w:bidi w:val="false"/>
        <w:spacing w:before="160" w:after="160"/>
      </w:pPr>
      <w:r>
        <w:t xml:space="preserve"/>
      </w:r>
    </w:p>
    <w:p>
      <w:pPr>
        <w:bidi w:val="false"/>
        <w:spacing w:before="240" w:after="80"/>
      </w:pPr>
      <w:r>
        <w:rPr>
          <w:rFonts w:ascii="Calibri" w:cs="Calibri" w:eastAsia="Calibri" w:hAnsi="Calibri"/>
          <w:b/>
          <w:bCs/>
          <w:color w:val="B8922A"/>
          <w:spacing w:val="200"/>
          <w:sz w:val="18"/>
          <w:szCs w:val="18"/>
        </w:rPr>
        <w:t xml:space="preserve">ABSTRACT</w:t>
      </w:r>
    </w:p>
    <w:p>
      <w:pPr>
        <w:bidi w:val="false"/>
        <w:spacing w:before="110" w:after="110"/>
      </w:pPr>
      <w:r>
        <w:rPr>
          <w:rFonts w:ascii="Calibri" w:cs="Calibri" w:eastAsia="Calibri" w:hAnsi="Calibri"/>
          <w:color w:val="1C1C1C"/>
          <w:sz w:val="26"/>
          <w:szCs w:val="26"/>
        </w:rPr>
        <w:t xml:space="preserve">TriNexus is a private intelligence platform for commercial real estate principals — built at the convergence of neuromorphic multi-agent AI, Byzantine Fault-Tolerant consensus, zero-knowledge cryptographic proofs, and on-chain reputation infrastructure. It solves the three frictions that cost CRE professionals the most: speed, intelligence, and capital access.</w:t>
      </w:r>
    </w:p>
    <w:p>
      <w:pPr>
        <w:bidi w:val="false"/>
        <w:spacing w:before="110" w:after="110"/>
      </w:pPr>
      <w:r>
        <w:rPr>
          <w:rFonts w:ascii="Calibri" w:cs="Calibri" w:eastAsia="Calibri" w:hAnsi="Calibri"/>
          <w:color w:val="1C1C1C"/>
          <w:sz w:val="26"/>
          <w:szCs w:val="26"/>
        </w:rPr>
        <w:t xml:space="preserve">The platform's defining characteristic is control. Principals determine what data they share, with whom, at every step. Nothing is visible without their consent. Nothing is stored in cleartext. No counterparty sees their identity until they choose to reveal it. The cryptographic architecture makes this guarantee mathematical — not contractual.</w:t>
      </w:r>
    </w:p>
    <w:p>
      <w:pPr>
        <w:bidi w:val="false"/>
        <w:spacing w:before="110" w:after="110"/>
      </w:pPr>
      <w:r>
        <w:rPr>
          <w:rFonts w:ascii="Calibri" w:cs="Calibri" w:eastAsia="Calibri" w:hAnsi="Calibri"/>
          <w:color w:val="1C1C1C"/>
          <w:sz w:val="26"/>
          <w:szCs w:val="26"/>
        </w:rPr>
        <w:t xml:space="preserve">The result: AI-verified underwriting in 27 minutes, private ZK-matched capital introduction, verifiable on-chain reputation that compounds over time, and DealPulse — a configurable private notification system that reaches principals on their terms, through their channel, at the moment that matters. All of it grounded by an Adversarial Model Ensemble that stress-tests every output from opposing analytical angles — virtually eliminating AI hallucinations from financial analysis.</w:t>
      </w:r>
    </w:p>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1 — The Problem: Three Frictions, Every Deal</w:t>
      </w:r>
    </w:p>
    <w:p>
      <w:pPr>
        <w:bidi w:val="false"/>
        <w:spacing w:before="160" w:after="160"/>
      </w:pPr>
      <w:r>
        <w:rPr>
          <w:rFonts w:ascii="Garamond" w:cs="Garamond" w:eastAsia="Garamond" w:hAnsi="Garamond"/>
          <w:i/>
          <w:iCs/>
          <w:color w:val="444444"/>
          <w:sz w:val="30"/>
          <w:szCs w:val="30"/>
        </w:rPr>
        <w:t xml:space="preserve">Commercial real estate has run on information asymmetry for thirty years. The tools professionals rely on were built for a slower world — and the frictions have compounded, not resolved.</w:t>
      </w:r>
    </w:p>
    <w:p>
      <w:pPr>
        <w:pStyle w:val="Heading2"/>
        <w:keepNext/>
        <w:bidi w:val="false"/>
        <w:spacing w:before="340" w:after="160"/>
      </w:pPr>
      <w:r>
        <w:rPr>
          <w:rFonts w:ascii="Garamond" w:cs="Garamond" w:eastAsia="Garamond" w:hAnsi="Garamond"/>
          <w:b/>
          <w:bCs/>
          <w:color w:val="1C1C1C"/>
          <w:sz w:val="32"/>
          <w:szCs w:val="32"/>
        </w:rPr>
        <w:t xml:space="preserve">1.1  The 48-Hour Window</w:t>
      </w:r>
    </w:p>
    <w:p>
      <w:pPr>
        <w:bidi w:val="false"/>
        <w:spacing w:before="110" w:after="110"/>
      </w:pPr>
      <w:r>
        <w:rPr>
          <w:rFonts w:ascii="Calibri" w:cs="Calibri" w:eastAsia="Calibri" w:hAnsi="Calibri"/>
          <w:color w:val="1C1C1C"/>
          <w:sz w:val="26"/>
          <w:szCs w:val="26"/>
        </w:rPr>
        <w:t xml:space="preserve">Institutional-standard underwriting — DCF modeling, waterfall analysis, rent roll verification, sensitivity testing — requires three to five business days. The best hard money opportunities close in forty-eight hours or less. That gap is not a workflow problem. It is a technology gap.</w:t>
      </w:r>
    </w:p>
    <w:p>
      <w:pPr>
        <w:bidi w:val="false"/>
        <w:spacing w:before="110" w:after="110"/>
      </w:pPr>
      <w:r>
        <w:rPr>
          <w:rFonts w:ascii="Calibri" w:cs="Calibri" w:eastAsia="Calibri" w:hAnsi="Calibri"/>
          <w:color w:val="1C1C1C"/>
          <w:sz w:val="26"/>
          <w:szCs w:val="26"/>
        </w:rPr>
        <w:t xml:space="preserve">Manual data entry from rent rolls and T-12s introduces errors that cascade through models. Cap rate assumptions come from stale published indices or analyst memory. IRR projections are single-path, unverified, and siloed to one spreadsheet. The analyst who built the model is the only person who can verify it — and that verification is usually 'looks right to me.'</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Legacy Standard</w:t>
            </w:r>
          </w:p>
        </w:tc>
        <w:tc>
          <w:tcPr>
            <w:tcW w:type="dxa" w:w="3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TriNexus NEXUS Engine</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Underwriting time</w:t>
            </w:r>
          </w:p>
        </w:tc>
        <w:tc>
          <w:tcPr>
            <w:tcW w:type="dxa" w:w="3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72+ hours</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27 minutes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Cap rate source</w:t>
            </w:r>
          </w:p>
        </w:tc>
        <w:tc>
          <w:tcPr>
            <w:tcW w:type="dxa" w:w="3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Stale indices / analyst memory</w:t>
            </w:r>
          </w:p>
        </w:tc>
        <w:tc>
          <w:tcPr>
            <w:tcW w:type="dxa" w:w="3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GNN trained on verified comparable transactions</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Validation method</w:t>
            </w:r>
          </w:p>
        </w:tc>
        <w:tc>
          <w:tcPr>
            <w:tcW w:type="dxa" w:w="3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Single analyst — manual spot-checks</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Dual-path BFT consensus, convergence tolerance ε=1e-8</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Error detection</w:t>
            </w:r>
          </w:p>
        </w:tc>
        <w:tc>
          <w:tcPr>
            <w:tcW w:type="dxa" w:w="3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Post-hoc, if at all</w:t>
            </w:r>
          </w:p>
        </w:tc>
        <w:tc>
          <w:tcPr>
            <w:tcW w:type="dxa" w:w="3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Real-time — divergence escalates, never silently outputs</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Cost per analysis</w:t>
            </w:r>
          </w:p>
        </w:tc>
        <w:tc>
          <w:tcPr>
            <w:tcW w:type="dxa" w:w="3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$5,000–$15,000 (Argus seat license)</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$25–$199 per deal, or $499/month unlimited</w:t>
            </w:r>
          </w:p>
        </w:tc>
      </w:tr>
    </w:tbl>
    <w:p>
      <w:pPr>
        <w:bidi w:val="false"/>
        <w:spacing w:before="0" w:after="0"/>
      </w:pPr>
      <w:r>
        <w:t xml:space="preserve"/>
      </w:r>
    </w:p>
    <w:p>
      <w:pPr>
        <w:pStyle w:val="Heading2"/>
        <w:keepNext/>
        <w:bidi w:val="false"/>
        <w:spacing w:before="340" w:after="160"/>
      </w:pPr>
      <w:r>
        <w:rPr>
          <w:rFonts w:ascii="Garamond" w:cs="Garamond" w:eastAsia="Garamond" w:hAnsi="Garamond"/>
          <w:b/>
          <w:bCs/>
          <w:color w:val="1C1C1C"/>
          <w:sz w:val="32"/>
          <w:szCs w:val="32"/>
        </w:rPr>
        <w:t xml:space="preserve">1.2  The Intelligence Lock</w:t>
      </w:r>
    </w:p>
    <w:p>
      <w:pPr>
        <w:bidi w:val="false"/>
        <w:spacing w:before="110" w:after="110"/>
      </w:pPr>
      <w:r>
        <w:rPr>
          <w:rFonts w:ascii="Calibri" w:cs="Calibri" w:eastAsia="Calibri" w:hAnsi="Calibri"/>
          <w:color w:val="1C1C1C"/>
          <w:sz w:val="26"/>
          <w:szCs w:val="26"/>
        </w:rPr>
        <w:t xml:space="preserve">The hard money lender who has closed forty deals in a single submarket knows the real street-level cap rate — not the published one. They know which investors close on time, which brokers overstate rents, and what the market will actually bear. That intelligence has always been worth more than any data subscription, and it has never had a trusted, private home.</w:t>
      </w:r>
    </w:p>
    <w:p>
      <w:pPr>
        <w:bidi w:val="false"/>
        <w:spacing w:before="110" w:after="110"/>
      </w:pPr>
      <w:r>
        <w:rPr>
          <w:rFonts w:ascii="Calibri" w:cs="Calibri" w:eastAsia="Calibri" w:hAnsi="Calibri"/>
          <w:color w:val="1C1C1C"/>
          <w:sz w:val="26"/>
          <w:szCs w:val="26"/>
        </w:rPr>
        <w:t xml:space="preserve">CoStar charges $50,000+ per year for data that experienced operators on the street already possess. There was no channel for the people who know things to share them safely and get something meaningful in return. So the intelligence stayed locked inside relationships and phone calls, accessible only to those already inside the network.</w:t>
      </w:r>
    </w:p>
    <w:p>
      <w:pPr>
        <w:pBdr>
          <w:left w:val="single" w:color="B8922A" w:sz="10" w:space="16"/>
        </w:pBdr>
        <w:bidi w:val="false"/>
        <w:spacing w:before="240" w:after="240"/>
        <w:ind w:left="640"/>
      </w:pPr>
      <w:r>
        <w:rPr>
          <w:rFonts w:ascii="Garamond" w:cs="Garamond" w:eastAsia="Garamond" w:hAnsi="Garamond"/>
          <w:i/>
          <w:iCs/>
          <w:color w:val="444444"/>
          <w:sz w:val="30"/>
          <w:szCs w:val="30"/>
        </w:rPr>
        <w:t xml:space="preserve">The professionals with the best market intelligence have never had a trusted, private way to monetize what they know. Until now.</w:t>
      </w:r>
    </w:p>
    <w:p>
      <w:pPr>
        <w:pStyle w:val="Heading2"/>
        <w:keepNext/>
        <w:bidi w:val="false"/>
        <w:spacing w:before="340" w:after="160"/>
      </w:pPr>
      <w:r>
        <w:rPr>
          <w:rFonts w:ascii="Garamond" w:cs="Garamond" w:eastAsia="Garamond" w:hAnsi="Garamond"/>
          <w:b/>
          <w:bCs/>
          <w:color w:val="1C1C1C"/>
          <w:sz w:val="32"/>
          <w:szCs w:val="32"/>
        </w:rPr>
        <w:t xml:space="preserve">1.3  The Invisible Capital Problem</w:t>
      </w:r>
    </w:p>
    <w:p>
      <w:pPr>
        <w:bidi w:val="false"/>
        <w:spacing w:before="110" w:after="110"/>
      </w:pPr>
      <w:r>
        <w:rPr>
          <w:rFonts w:ascii="Calibri" w:cs="Calibri" w:eastAsia="Calibri" w:hAnsi="Calibri"/>
          <w:color w:val="1C1C1C"/>
          <w:sz w:val="26"/>
          <w:szCs w:val="26"/>
        </w:rPr>
        <w:t xml:space="preserve">Investors with serious private capital do not advertise. The moment it becomes known they are looking, the calls are relentless — ninety percent from brokers who did not read their criteria. Capital sits quiet, waiting for the right deal through a trusted relationship. The supply of capital is not the constraint. The supply of good deals reaching that capital is.</w:t>
      </w:r>
    </w:p>
    <w:p>
      <w:pPr>
        <w:bidi w:val="false"/>
        <w:spacing w:before="110" w:after="110"/>
      </w:pPr>
      <w:r>
        <w:rPr>
          <w:rFonts w:ascii="Calibri" w:cs="Calibri" w:eastAsia="Calibri" w:hAnsi="Calibri"/>
          <w:color w:val="1C1C1C"/>
          <w:sz w:val="26"/>
          <w:szCs w:val="26"/>
        </w:rPr>
        <w:t xml:space="preserve">On the other side, a broker with a genuine hard-money opportunity is running out of time and out of network. Both sides want the same match. Neither has a safe, private way to find it without showing their hand. TriNexus's zero-knowledge matching layer solves this structurally — anonymous criteria, verified matching, mutual introduction only on consent.</w:t>
      </w:r>
    </w:p>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2 — Why Incumbents Cannot Solve This</w:t>
      </w:r>
    </w:p>
    <w:p>
      <w:pPr>
        <w:bidi w:val="false"/>
        <w:spacing w:before="160" w:after="160"/>
      </w:pPr>
      <w:r>
        <w:rPr>
          <w:rFonts w:ascii="Garamond" w:cs="Garamond" w:eastAsia="Garamond" w:hAnsi="Garamond"/>
          <w:i/>
          <w:iCs/>
          <w:color w:val="444444"/>
          <w:sz w:val="30"/>
          <w:szCs w:val="30"/>
        </w:rPr>
        <w:t xml:space="preserve">The CRE software market is projected to reach $26–34 billion by 2032. Yet 92% of firms attempt AI adoption and only 5% achieve meaningful ROI. The infrastructure is broken — and the incumbents built the break.</w:t>
      </w:r>
    </w:p>
    <w:p>
      <w:pPr>
        <w:pStyle w:val="Heading2"/>
        <w:keepNext/>
        <w:bidi w:val="false"/>
        <w:spacing w:before="340" w:after="160"/>
      </w:pPr>
      <w:r>
        <w:rPr>
          <w:rFonts w:ascii="Garamond" w:cs="Garamond" w:eastAsia="Garamond" w:hAnsi="Garamond"/>
          <w:b/>
          <w:bCs/>
          <w:color w:val="1C1C1C"/>
          <w:sz w:val="32"/>
          <w:szCs w:val="32"/>
        </w:rPr>
        <w:t xml:space="preserve">2.1  CoStar: The Data Monopoly</w:t>
      </w:r>
    </w:p>
    <w:p>
      <w:pPr>
        <w:bidi w:val="false"/>
        <w:spacing w:before="110" w:after="110"/>
      </w:pPr>
      <w:r>
        <w:rPr>
          <w:rFonts w:ascii="Calibri" w:cs="Calibri" w:eastAsia="Calibri" w:hAnsi="Calibri"/>
          <w:color w:val="1C1C1C"/>
          <w:sz w:val="26"/>
          <w:szCs w:val="26"/>
        </w:rPr>
        <w:t xml:space="preserve">CoStar commands $50,000+ per professional per year for data access that is publicly indexed, frequently stale, and explicitly designed to create lock-in. Its subsidiary LoopNet generates spammy leads, unverified contacts, and stale listings through a pay-to-be-seen model that serves the platform's economics, not the professional's deal. The system charges a premium for an information asymmetry it claims to solve.</w:t>
      </w:r>
    </w:p>
    <w:p>
      <w:pPr>
        <w:pStyle w:val="Heading2"/>
        <w:keepNext/>
        <w:bidi w:val="false"/>
        <w:spacing w:before="340" w:after="160"/>
      </w:pPr>
      <w:r>
        <w:rPr>
          <w:rFonts w:ascii="Garamond" w:cs="Garamond" w:eastAsia="Garamond" w:hAnsi="Garamond"/>
          <w:b/>
          <w:bCs/>
          <w:color w:val="1C1C1C"/>
          <w:sz w:val="32"/>
          <w:szCs w:val="32"/>
        </w:rPr>
        <w:t xml:space="preserve">2.2  Argus: The Speed Wall</w:t>
      </w:r>
    </w:p>
    <w:p>
      <w:pPr>
        <w:bidi w:val="false"/>
        <w:spacing w:before="110" w:after="110"/>
      </w:pPr>
      <w:r>
        <w:rPr>
          <w:rFonts w:ascii="Calibri" w:cs="Calibri" w:eastAsia="Calibri" w:hAnsi="Calibri"/>
          <w:color w:val="1C1C1C"/>
          <w:sz w:val="26"/>
          <w:szCs w:val="26"/>
        </w:rPr>
        <w:t xml:space="preserve">Argus Enterprise is the industry-standard DCF platform. A seat costs $5,000–$15,000. The interface has not fundamentally changed in a decade. A seasoned analyst still requires days to build a model that, when complete, reflects assumptions that are already 72 hours old. There is no verification layer, no comparable-grounding mechanism, no connection to capital markets. Powerful — but far too slow for the markets that matter most.</w:t>
      </w:r>
    </w:p>
    <w:p>
      <w:pPr>
        <w:pStyle w:val="Heading2"/>
        <w:keepNext/>
        <w:bidi w:val="false"/>
        <w:spacing w:before="340" w:after="160"/>
      </w:pPr>
      <w:r>
        <w:rPr>
          <w:rFonts w:ascii="Garamond" w:cs="Garamond" w:eastAsia="Garamond" w:hAnsi="Garamond"/>
          <w:b/>
          <w:bCs/>
          <w:color w:val="1C1C1C"/>
          <w:sz w:val="32"/>
          <w:szCs w:val="32"/>
        </w:rPr>
        <w:t xml:space="preserve">2.3  AI Without Verification: A Liability, Not a Lever</w:t>
      </w:r>
    </w:p>
    <w:p>
      <w:pPr>
        <w:bidi w:val="false"/>
        <w:spacing w:before="110" w:after="110"/>
      </w:pPr>
      <w:r>
        <w:rPr>
          <w:rFonts w:ascii="Calibri" w:cs="Calibri" w:eastAsia="Calibri" w:hAnsi="Calibri"/>
          <w:color w:val="1C1C1C"/>
          <w:sz w:val="26"/>
          <w:szCs w:val="26"/>
        </w:rPr>
        <w:t xml:space="preserve">Zillow's Zestimate was the first mass demonstration of what happens when AI operates without a verification layer — publicly wrong, frequently by material amounts, and yet cited as authoritative. AppFolio reports 98% AI adoption among its users. But adoption of automation is not adoption of accuracy. When 92% of CRE firms attempt AI and 5% achieve full ROI, the gap is not enthusiasm — it is the absence of a trust mechanism.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Borders>
              <w:top w:val="none" w:color="FFFFFF" w:sz="0"/>
              <w:left w:val="single" w:color="B8922A" w:sz="14" w:space="0"/>
              <w:bottom w:val="none" w:color="FFFFFF" w:sz="0"/>
              <w:right w:val="none" w:color="FFFFFF" w:sz="0"/>
            </w:tcBorders>
            <w:shd w:fill="F7F4EF" w:val="clear"/>
            <w:tcMar>
              <w:top w:type="dxa" w:w="200"/>
              <w:left w:type="dxa" w:w="320"/>
              <w:bottom w:type="dxa" w:w="200"/>
              <w:right w:type="dxa" w:w="320"/>
            </w:tcMar>
          </w:tcPr>
          <w:p>
            <w:pPr>
              <w:bidi w:val="false"/>
              <w:spacing w:before="0" w:after="80"/>
            </w:pPr>
            <w:r>
              <w:rPr>
                <w:rFonts w:ascii="Calibri" w:cs="Calibri" w:eastAsia="Calibri" w:hAnsi="Calibri"/>
                <w:b/>
                <w:bCs/>
                <w:color w:val="1C1C1C"/>
                <w:sz w:val="26"/>
                <w:szCs w:val="26"/>
              </w:rPr>
              <w:t xml:space="preserve">The hard truth: </w:t>
            </w:r>
          </w:p>
          <w:p>
            <w:pPr>
              <w:bidi w:val="false"/>
              <w:spacing w:before="0" w:after="0"/>
            </w:pPr>
            <w:r>
              <w:rPr>
                <w:rFonts w:ascii="Calibri" w:cs="Calibri" w:eastAsia="Calibri" w:hAnsi="Calibri"/>
                <w:color w:val="444444"/>
                <w:sz w:val="26"/>
                <w:szCs w:val="26"/>
              </w:rPr>
              <w:t xml:space="preserve">A model that hallucinates a cap rate by 75 basis points does not save time. It costs a deal. The CRE industry has learned — slowly and expensively — that AI without grounding is liability, not leverage.</w:t>
            </w:r>
          </w:p>
        </w:tc>
      </w:tr>
    </w:tbl>
    <w:p>
      <w:pPr>
        <w:pStyle w:val="Heading2"/>
        <w:keepNext/>
        <w:bidi w:val="false"/>
        <w:spacing w:before="340" w:after="160"/>
      </w:pPr>
      <w:r>
        <w:rPr>
          <w:rFonts w:ascii="Garamond" w:cs="Garamond" w:eastAsia="Garamond" w:hAnsi="Garamond"/>
          <w:b/>
          <w:bCs/>
          <w:color w:val="1C1C1C"/>
          <w:sz w:val="32"/>
          <w:szCs w:val="32"/>
        </w:rPr>
        <w:t xml:space="preserve">2.4  Privacy: Built for the Platform, Not the Professional</w:t>
      </w:r>
    </w:p>
    <w:p>
      <w:pPr>
        <w:bidi w:val="false"/>
        <w:spacing w:before="110" w:after="110"/>
      </w:pPr>
      <w:r>
        <w:rPr>
          <w:rFonts w:ascii="Calibri" w:cs="Calibri" w:eastAsia="Calibri" w:hAnsi="Calibri"/>
          <w:color w:val="1C1C1C"/>
          <w:sz w:val="26"/>
          <w:szCs w:val="26"/>
        </w:rPr>
        <w:t xml:space="preserve">Every major incumbent operates on a public-by-default model. Posting a deal reveals the address, the broker, the pricing expectation, and the urgency. Capital deployers who publish criteria become inbound targets for every broker in the market. Privacy is not a feature any incumbent has built — because it has not been technically possible without cryptographic infrastructure the legacy players do not possess.</w:t>
      </w:r>
    </w:p>
    <w:p>
      <w:pPr>
        <w:pStyle w:val="Heading2"/>
        <w:keepNext/>
        <w:bidi w:val="false"/>
        <w:spacing w:before="340" w:after="160"/>
      </w:pPr>
      <w:r>
        <w:rPr>
          <w:rFonts w:ascii="Garamond" w:cs="Garamond" w:eastAsia="Garamond" w:hAnsi="Garamond"/>
          <w:b/>
          <w:bCs/>
          <w:color w:val="1C1C1C"/>
          <w:sz w:val="32"/>
          <w:szCs w:val="32"/>
        </w:rPr>
        <w:t xml:space="preserve">2.5  The Invisible Track Record</w:t>
      </w:r>
    </w:p>
    <w:p>
      <w:pPr>
        <w:bidi w:val="false"/>
        <w:spacing w:before="110" w:after="110"/>
      </w:pPr>
      <w:r>
        <w:rPr>
          <w:rFonts w:ascii="Calibri" w:cs="Calibri" w:eastAsia="Calibri" w:hAnsi="Calibri"/>
          <w:color w:val="1C1C1C"/>
          <w:sz w:val="26"/>
          <w:szCs w:val="26"/>
        </w:rPr>
        <w:t xml:space="preserve">A broker who has closed 40 transactions in a specific submarket with a 91% prediction accuracy rate has no verifiable way to communicate that credential to a new counterparty. Closings on a resume are unverifiable, easily exaggerated, and visible only within existing networks. The professionals who most need their track record to work for them have no infrastructure for that. The credential they have earned is invisible to the capital that would pay for it.</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cantSplit/>
          <w:tblHeader/>
        </w:trPr>
        <w:tc>
          <w:tcPr>
            <w:tcW w:type="dxa" w:w="2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Incumbent</w:t>
            </w:r>
          </w:p>
        </w:tc>
        <w:tc>
          <w:tcPr>
            <w:tcW w:type="dxa" w:w="3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Core Failure</w:t>
            </w:r>
          </w:p>
        </w:tc>
        <w:tc>
          <w:tcPr>
            <w:tcW w:type="dxa" w:w="4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TriNexus Resolution</w:t>
            </w:r>
          </w:p>
        </w:tc>
      </w:tr>
      <w:tr>
        <w:trPr>
          <w:cantSplit/>
          <w:tblHeader w:val="false"/>
        </w:trPr>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CoStar / LoopNet</w:t>
            </w:r>
          </w:p>
        </w:tc>
        <w:tc>
          <w:tcPr>
            <w:tcW w:type="dxa" w:w="3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$50K+/yr, public data, no privacy, no modeling</w:t>
            </w:r>
          </w:p>
        </w:tc>
        <w:tc>
          <w:tcPr>
            <w:tcW w:type="dxa" w:w="4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ZK-private GNN comps + integrated analysis at per-use x402 pricing</w:t>
            </w:r>
          </w:p>
        </w:tc>
      </w:tr>
      <w:tr>
        <w:trPr>
          <w:cantSplit/>
          <w:tblHeader w:val="false"/>
        </w:trPr>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Argus Enterprise</w:t>
            </w:r>
          </w:p>
        </w:tc>
        <w:tc>
          <w:tcPr>
            <w:tcW w:type="dxa" w:w="3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3-5 day underwriting, $5-15K/seat, no verification</w:t>
            </w:r>
          </w:p>
        </w:tc>
        <w:tc>
          <w:tcPr>
            <w:tcW w:type="dxa" w:w="4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27-minute NEXUS analysis — BFT verified, dual-path convergence</w:t>
            </w:r>
          </w:p>
        </w:tc>
      </w:tr>
      <w:tr>
        <w:trPr>
          <w:cantSplit/>
          <w:tblHeader w:val="false"/>
        </w:trPr>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Zillow / AppFolio AI</w:t>
            </w:r>
          </w:p>
        </w:tc>
        <w:tc>
          <w:tcPr>
            <w:tcW w:type="dxa" w:w="3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No verification layer — hallucinations reach the user</w:t>
            </w:r>
          </w:p>
        </w:tc>
        <w:tc>
          <w:tcPr>
            <w:tcW w:type="dxa" w:w="4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Adversarial Model Ensemble + BFT consensus — no unverified output</w:t>
            </w:r>
          </w:p>
        </w:tc>
      </w:tr>
      <w:tr>
        <w:trPr>
          <w:cantSplit/>
          <w:tblHeader w:val="false"/>
        </w:trPr>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LoopNet listings</w:t>
            </w:r>
          </w:p>
        </w:tc>
        <w:tc>
          <w:tcPr>
            <w:tcW w:type="dxa" w:w="3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Public exposure, stale data, pay-to-be-seen</w:t>
            </w:r>
          </w:p>
        </w:tc>
        <w:tc>
          <w:tcPr>
            <w:tcW w:type="dxa" w:w="4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ZK-anonymous matching — identity revealed only on mutual consent</w:t>
            </w:r>
          </w:p>
        </w:tc>
      </w:tr>
      <w:tr>
        <w:trPr>
          <w:cantSplit/>
          <w:tblHeader w:val="false"/>
        </w:trPr>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Industry track records</w:t>
            </w:r>
          </w:p>
        </w:tc>
        <w:tc>
          <w:tcPr>
            <w:tcW w:type="dxa" w:w="3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Unverifiable, transferable only within existing networks</w:t>
            </w:r>
          </w:p>
        </w:tc>
        <w:tc>
          <w:tcPr>
            <w:tcW w:type="dxa" w:w="4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RepID on-chain credential — non-transferable, mathematically earned</w:t>
            </w:r>
          </w:p>
        </w:tc>
      </w:tr>
    </w:tbl>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3 — The Technology: What Makes This Different</w:t>
      </w:r>
    </w:p>
    <w:p>
      <w:pPr>
        <w:bidi w:val="false"/>
        <w:spacing w:before="160" w:after="160"/>
      </w:pPr>
      <w:r>
        <w:rPr>
          <w:rFonts w:ascii="Garamond" w:cs="Garamond" w:eastAsia="Garamond" w:hAnsi="Garamond"/>
          <w:i/>
          <w:iCs/>
          <w:color w:val="444444"/>
          <w:sz w:val="30"/>
          <w:szCs w:val="30"/>
        </w:rPr>
        <w:t xml:space="preserve">TriNexus is built on five proprietary capabilities, each protected by pending patents, that no incumbent possesses in combination — and that cannot be replicated through incremental software updates.</w:t>
      </w:r>
    </w:p>
    <w:p>
      <w:pPr>
        <w:pStyle w:val="Heading2"/>
        <w:keepNext/>
        <w:bidi w:val="false"/>
        <w:spacing w:before="340" w:after="160"/>
      </w:pPr>
      <w:r>
        <w:rPr>
          <w:rFonts w:ascii="Garamond" w:cs="Garamond" w:eastAsia="Garamond" w:hAnsi="Garamond"/>
          <w:b/>
          <w:bCs/>
          <w:color w:val="1C1C1C"/>
          <w:sz w:val="32"/>
          <w:szCs w:val="32"/>
        </w:rPr>
        <w:t xml:space="preserve">3.1  Adversarial Model Ensemble — Ending AI Cognitive Bias</w:t>
      </w:r>
    </w:p>
    <w:p>
      <w:pPr>
        <w:bidi w:val="false"/>
        <w:spacing w:before="110" w:after="110"/>
      </w:pPr>
      <w:r>
        <w:rPr>
          <w:rFonts w:ascii="Calibri" w:cs="Calibri" w:eastAsia="Calibri" w:hAnsi="Calibri"/>
          <w:color w:val="1C1C1C"/>
          <w:sz w:val="26"/>
          <w:szCs w:val="26"/>
        </w:rPr>
        <w:t xml:space="preserve">The single biggest risk in AI-assisted financial analysis is not a software bug. It is cognitive bias baked into the model at training time. A language model trained on a particular corpus of data will systematically favor the assumptions embedded in that corpus. A single AI model analyzing a deal is, in effect, a single analyst — with all the blind spots that implies.</w:t>
      </w:r>
    </w:p>
    <w:p>
      <w:pPr>
        <w:bidi w:val="false"/>
        <w:spacing w:before="110" w:after="110"/>
      </w:pPr>
      <w:r>
        <w:rPr>
          <w:rFonts w:ascii="Calibri" w:cs="Calibri" w:eastAsia="Calibri" w:hAnsi="Calibri"/>
          <w:color w:val="1C1C1C"/>
          <w:sz w:val="26"/>
          <w:szCs w:val="26"/>
        </w:rPr>
        <w:t xml:space="preserve">TriNexus resolves this with an Adversarial Model Ensemble architecture: different AI models, trained on fundamentally different data sets and using different underlying architectures, are assigned to different analytical squads and tasked with stress-testing each other's outputs from opposing angles. No squad uses the same model as another. No single model's perspective dominates.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Borders>
              <w:top w:val="none" w:color="FFFFFF" w:sz="0"/>
              <w:left w:val="single" w:color="B8922A" w:sz="14" w:space="0"/>
              <w:bottom w:val="none" w:color="FFFFFF" w:sz="0"/>
              <w:right w:val="none" w:color="FFFFFF" w:sz="0"/>
            </w:tcBorders>
            <w:shd w:fill="F7F4EF" w:val="clear"/>
            <w:tcMar>
              <w:top w:type="dxa" w:w="200"/>
              <w:left w:type="dxa" w:w="320"/>
              <w:bottom w:type="dxa" w:w="200"/>
              <w:right w:type="dxa" w:w="320"/>
            </w:tcMar>
          </w:tcPr>
          <w:p>
            <w:pPr>
              <w:bidi w:val="false"/>
              <w:spacing w:before="0" w:after="80"/>
            </w:pPr>
            <w:r>
              <w:rPr>
                <w:rFonts w:ascii="Calibri" w:cs="Calibri" w:eastAsia="Calibri" w:hAnsi="Calibri"/>
                <w:b/>
                <w:bCs/>
                <w:color w:val="1C1C1C"/>
                <w:sz w:val="26"/>
                <w:szCs w:val="26"/>
              </w:rPr>
              <w:t xml:space="preserve">The result: </w:t>
            </w:r>
          </w:p>
          <w:p>
            <w:pPr>
              <w:bidi w:val="false"/>
              <w:spacing w:before="0" w:after="0"/>
            </w:pPr>
            <w:r>
              <w:rPr>
                <w:rFonts w:ascii="Calibri" w:cs="Calibri" w:eastAsia="Calibri" w:hAnsi="Calibri"/>
                <w:color w:val="444444"/>
                <w:sz w:val="26"/>
                <w:szCs w:val="26"/>
              </w:rPr>
              <w:t xml:space="preserve">What you receive is not the opinion of one AI. It is the survivor of a structured argument between multiple AIs — each trying to find the flaw in the others' reasoning.</w:t>
            </w:r>
          </w:p>
        </w:tc>
      </w:tr>
    </w:tbl>
    <w:p>
      <w:pPr>
        <w:bidi w:val="false"/>
        <w:spacing w:before="110" w:after="110"/>
      </w:pPr>
      <w:r>
        <w:rPr>
          <w:rFonts w:ascii="Calibri" w:cs="Calibri" w:eastAsia="Calibri" w:hAnsi="Calibri"/>
          <w:color w:val="1C1C1C"/>
          <w:sz w:val="26"/>
          <w:szCs w:val="26"/>
        </w:rPr>
        <w:t xml:space="preserve">This is the AI equivalent of standard institutional practice: hiring both a bull-case analyst and a bear-case analyst before making a capital allocation decision. The difference is that TriNexus runs this process in minutes, not months, across every analysis it produces.</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Analytical Squad</w:t>
            </w:r>
          </w:p>
        </w:tc>
        <w:tc>
          <w:tcPr>
            <w:tcW w:type="dxa" w:w="2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Focus</w:t>
            </w:r>
          </w:p>
        </w:tc>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AI Architecture</w:t>
            </w:r>
          </w:p>
        </w:tc>
        <w:tc>
          <w:tcPr>
            <w:tcW w:type="dxa" w:w="2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Role in Ensemble</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Sensory — Data Ingestion</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Raw data extraction and market feeds</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Optimized for speed and structured extraction</w:t>
            </w:r>
          </w:p>
        </w:tc>
        <w:tc>
          <w:tcPr>
            <w:tcW w:type="dxa" w:w="2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Provides the factual foundation — numbers only, no interpretation</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Interneuron — Validation</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Mathematical cross-validation and comparables</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Optimized for reasoning and pattern recognition</w:t>
            </w:r>
          </w:p>
        </w:tc>
        <w:tc>
          <w:tcPr>
            <w:tcW w:type="dxa" w:w="2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Challenges the numbers — finds the flaws in the data layer</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Motor Neuron — Output</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Report generation and structural modeling</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Optimized for synthesis and narrative coherence</w:t>
            </w:r>
          </w:p>
        </w:tc>
        <w:tc>
          <w:tcPr>
            <w:tcW w:type="dxa" w:w="2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Produces the deliverable — but only after passing validation</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Orchestration — Consensus</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BFT adjudication and conflict resolution</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Multi-model arbitration layer</w:t>
            </w:r>
          </w:p>
        </w:tc>
        <w:tc>
          <w:tcPr>
            <w:tcW w:type="dxa" w:w="2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Resolves disagreements — escalates rather than suppresses conflict</w:t>
            </w:r>
          </w:p>
        </w:tc>
      </w:tr>
    </w:tbl>
    <w:p>
      <w:pPr>
        <w:bidi w:val="false"/>
        <w:spacing w:before="0" w:after="0"/>
      </w:pPr>
      <w:r>
        <w:t xml:space="preserve"/>
      </w:r>
    </w:p>
    <w:p>
      <w:pPr>
        <w:bidi w:val="false"/>
        <w:spacing w:before="110" w:after="110"/>
      </w:pPr>
      <w:r>
        <w:rPr>
          <w:rFonts w:ascii="Calibri" w:cs="Calibri" w:eastAsia="Calibri" w:hAnsi="Calibri"/>
          <w:color w:val="1C1C1C"/>
          <w:sz w:val="26"/>
          <w:szCs w:val="26"/>
        </w:rPr>
        <w:t xml:space="preserve">The diversity of the ensemble is a feature, not an accident. When three analytical squads using three different AI architectures arrive at the same conclusion, that conclusion is substantially more reliable than any single model could produce. When they disagree, the disagreement itself is the signal — and the platform escalates rather than suppresses it.</w:t>
      </w:r>
    </w:p>
    <w:p>
      <w:pPr>
        <w:pStyle w:val="Heading2"/>
        <w:keepNext/>
        <w:bidi w:val="false"/>
        <w:spacing w:before="340" w:after="160"/>
      </w:pPr>
      <w:r>
        <w:rPr>
          <w:rFonts w:ascii="Garamond" w:cs="Garamond" w:eastAsia="Garamond" w:hAnsi="Garamond"/>
          <w:b/>
          <w:bCs/>
          <w:color w:val="1C1C1C"/>
          <w:sz w:val="32"/>
          <w:szCs w:val="32"/>
        </w:rPr>
        <w:t xml:space="preserve">3.2  Byzantine Fault-Tolerant Consensus — No Single Point of Failure</w:t>
      </w:r>
    </w:p>
    <w:p>
      <w:pPr>
        <w:bidi w:val="false"/>
        <w:spacing w:before="110" w:after="110"/>
      </w:pPr>
      <w:r>
        <w:rPr>
          <w:rFonts w:ascii="Calibri" w:cs="Calibri" w:eastAsia="Calibri" w:hAnsi="Calibri"/>
          <w:color w:val="1C1C1C"/>
          <w:sz w:val="26"/>
          <w:szCs w:val="26"/>
        </w:rPr>
        <w:t xml:space="preserve">Byzantine Fault Tolerance is a computer science property that guarantees correct system behavior even when some components are faulty, compromised, or actively providing wrong answers. TriNexus applies BFT consensus to financial analysis — which means no single agent output is ever published without independent verification by a quorum of validation agents.</w:t>
      </w:r>
    </w:p>
    <w:p>
      <w:pPr>
        <w:bidi w:val="false"/>
        <w:spacing w:before="110" w:after="110"/>
      </w:pPr>
      <w:r>
        <w:rPr>
          <w:rFonts w:ascii="Calibri" w:cs="Calibri" w:eastAsia="Calibri" w:hAnsi="Calibri"/>
          <w:color w:val="1C1C1C"/>
          <w:sz w:val="26"/>
          <w:szCs w:val="26"/>
        </w:rPr>
        <w:t xml:space="preserve">The mathematics are precise: with n=5 validation agents and fault tolerance f=1, the system requires 3-of-5 agreement before any output is released. For numerical outputs, agreement is defined as all participating agents producing values within ε=1e-8 of the consensus value. For qualitative outputs, agreement is measured via semantic embedding cosine similarity with threshold 0.92.</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BFT requirement:  n ≥ 3f + 1   [n=5, f=1 → 3-of-5 quorum required]</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Numerical consensus:  |result_i - median(results)| &lt; ε,  ε = 1e-8</w:t>
      </w:r>
    </w:p>
    <w:p>
      <w:pPr>
        <w:bidi w:val="false"/>
        <w:spacing w:before="110" w:after="110"/>
      </w:pPr>
      <w:r>
        <w:rPr>
          <w:rFonts w:ascii="Calibri" w:cs="Calibri" w:eastAsia="Calibri" w:hAnsi="Calibri"/>
          <w:color w:val="1C1C1C"/>
          <w:sz w:val="26"/>
          <w:szCs w:val="26"/>
        </w:rPr>
        <w:t xml:space="preserve">The Pythagorean Comma Veto adds a third-tier escalation: if a minority agent's dissent confidence score exceeds 0.85 — meaning it is highly confident the majority is wrong — the output is escalated to human review rather than suppressed. This catches the failure mode BFT alone cannot: the confident minority that is actually correct.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Borders>
              <w:top w:val="none" w:color="FFFFFF" w:sz="0"/>
              <w:left w:val="single" w:color="B8922A" w:sz="14" w:space="0"/>
              <w:bottom w:val="none" w:color="FFFFFF" w:sz="0"/>
              <w:right w:val="none" w:color="FFFFFF" w:sz="0"/>
            </w:tcBorders>
            <w:shd w:fill="F7F4EF" w:val="clear"/>
            <w:tcMar>
              <w:top w:type="dxa" w:w="200"/>
              <w:left w:type="dxa" w:w="320"/>
              <w:bottom w:type="dxa" w:w="200"/>
              <w:right w:type="dxa" w:w="320"/>
            </w:tcMar>
          </w:tcPr>
          <w:p>
            <w:pPr>
              <w:bidi w:val="false"/>
              <w:spacing w:before="0" w:after="80"/>
            </w:pPr>
            <w:r>
              <w:rPr>
                <w:rFonts w:ascii="Calibri" w:cs="Calibri" w:eastAsia="Calibri" w:hAnsi="Calibri"/>
                <w:b/>
                <w:bCs/>
                <w:color w:val="1C1C1C"/>
                <w:sz w:val="26"/>
                <w:szCs w:val="26"/>
              </w:rPr>
              <w:t xml:space="preserve">What this means practically: </w:t>
            </w:r>
          </w:p>
          <w:p>
            <w:pPr>
              <w:bidi w:val="false"/>
              <w:spacing w:before="0" w:after="0"/>
            </w:pPr>
            <w:r>
              <w:rPr>
                <w:rFonts w:ascii="Calibri" w:cs="Calibri" w:eastAsia="Calibri" w:hAnsi="Calibri"/>
                <w:color w:val="444444"/>
                <w:sz w:val="26"/>
                <w:szCs w:val="26"/>
              </w:rPr>
              <w:t xml:space="preserve">If the platform cannot reach verified consensus, it tells you. It does not guess. It does not average. It escalates to human review. A 'we're not sure' from TriNexus is more valuable than a confident wrong answer from any single-model system.</w:t>
            </w:r>
          </w:p>
        </w:tc>
      </w:tr>
    </w:tbl>
    <w:p>
      <w:pPr>
        <w:pStyle w:val="Heading2"/>
        <w:keepNext/>
        <w:bidi w:val="false"/>
        <w:spacing w:before="340" w:after="160"/>
      </w:pPr>
      <w:r>
        <w:rPr>
          <w:rFonts w:ascii="Garamond" w:cs="Garamond" w:eastAsia="Garamond" w:hAnsi="Garamond"/>
          <w:b/>
          <w:bCs/>
          <w:color w:val="1C1C1C"/>
          <w:sz w:val="32"/>
          <w:szCs w:val="32"/>
        </w:rPr>
        <w:t xml:space="preserve">3.3  ANFIS Intelligent Routing — Precision at Scale, Cost Under Control</w:t>
      </w:r>
    </w:p>
    <w:p>
      <w:pPr>
        <w:bidi w:val="false"/>
        <w:spacing w:before="110" w:after="110"/>
      </w:pPr>
      <w:r>
        <w:rPr>
          <w:rFonts w:ascii="Calibri" w:cs="Calibri" w:eastAsia="Calibri" w:hAnsi="Calibri"/>
          <w:color w:val="1C1C1C"/>
          <w:sz w:val="26"/>
          <w:szCs w:val="26"/>
        </w:rPr>
        <w:t xml:space="preserve">ANFIS (Adaptive Neuro-Fuzzy Inference System) is the routing intelligence that governs how every query moves through the platform. Rather than sending every task to the most expensive frontier model available — burning cost on work that does not require it — ANFIS routes each task to the minimum-cost AI capable of handling it reliably, based on task complexity, required accuracy, and output type.</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ANFIS output:  f(x) = Σ_i [w_i · f_i(x)] / Σ_i [w_i]</w:t>
      </w:r>
    </w:p>
    <w:p>
      <w:pPr>
        <w:bidi w:val="false"/>
        <w:spacing w:before="110" w:after="110"/>
      </w:pPr>
      <w:r>
        <w:rPr>
          <w:rFonts w:ascii="Calibri" w:cs="Calibri" w:eastAsia="Calibri" w:hAnsi="Calibri"/>
          <w:color w:val="1C1C1C"/>
          <w:sz w:val="26"/>
          <w:szCs w:val="26"/>
        </w:rPr>
        <w:t xml:space="preserve">The firing strengths w_i are computed from Gaussian membership functions over the input feature vector — task type, token count, required accuracy, previous error rate for this task class. Three routing tiers govern 100% of analytical volume:</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1800"/>
        <w:gridCol w:w="1200"/>
      </w:tblGrid>
      <w:tr>
        <w:trPr>
          <w:cantSplit/>
          <w:tblHeader/>
        </w:trPr>
        <w:tc>
          <w:tcPr>
            <w:tcW w:type="dxa" w:w="1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Tier</w:t>
            </w:r>
          </w:p>
        </w:tc>
        <w:tc>
          <w:tcPr>
            <w:tcW w:type="dxa" w:w="2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AI Class</w:t>
            </w:r>
          </w:p>
        </w:tc>
        <w:tc>
          <w:tcPr>
            <w:tcW w:type="dxa" w:w="28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Typical Tasks</w:t>
            </w:r>
          </w:p>
        </w:tc>
        <w:tc>
          <w:tcPr>
            <w:tcW w:type="dxa" w:w="18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Cost / M Tokens</w:t>
            </w:r>
          </w:p>
        </w:tc>
        <w:tc>
          <w:tcPr>
            <w:tcW w:type="dxa" w:w="1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Volume</w:t>
            </w:r>
          </w:p>
        </w:tc>
      </w:tr>
      <w:tr>
        <w:trPr>
          <w:cantSplit/>
          <w:tblHeader w:val="false"/>
        </w:trPr>
        <w:tc>
          <w:tcPr>
            <w:tcW w:type="dxa" w:w="1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Utility</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Efficient open-source models</w:t>
            </w:r>
          </w:p>
        </w:tc>
        <w:tc>
          <w:tcPr>
            <w:tcW w:type="dxa" w:w="2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Extraction, classification, data structuring</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~$0.27</w:t>
            </w:r>
          </w:p>
        </w:tc>
        <w:tc>
          <w:tcPr>
            <w:tcW w:type="dxa" w:w="1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~80%</w:t>
            </w:r>
          </w:p>
        </w:tc>
      </w:tr>
      <w:tr>
        <w:trPr>
          <w:cantSplit/>
          <w:tblHeader w:val="false"/>
        </w:trPr>
        <w:tc>
          <w:tcPr>
            <w:tcW w:type="dxa" w:w="1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Standard</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Mid-tier reasoning models</w:t>
            </w:r>
          </w:p>
        </w:tc>
        <w:tc>
          <w:tcPr>
            <w:tcW w:type="dxa" w:w="2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Financial reasoning, comp analysis, memos</w:t>
            </w:r>
          </w:p>
        </w:tc>
        <w:tc>
          <w:tcPr>
            <w:tcW w:type="dxa" w:w="1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~$2.75</w:t>
            </w:r>
          </w:p>
        </w:tc>
        <w:tc>
          <w:tcPr>
            <w:tcW w:type="dxa" w:w="1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~17%</w:t>
            </w:r>
          </w:p>
        </w:tc>
      </w:tr>
      <w:tr>
        <w:trPr>
          <w:cantSplit/>
          <w:tblHeader w:val="false"/>
        </w:trPr>
        <w:tc>
          <w:tcPr>
            <w:tcW w:type="dxa" w:w="1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Frontier</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Top-tier reasoning models</w:t>
            </w:r>
          </w:p>
        </w:tc>
        <w:tc>
          <w:tcPr>
            <w:tcW w:type="dxa" w:w="2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Veto adjudication, novel structures, edge cases</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~$15.00</w:t>
            </w:r>
          </w:p>
        </w:tc>
        <w:tc>
          <w:tcPr>
            <w:tcW w:type="dxa" w:w="1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~3%</w:t>
            </w:r>
          </w:p>
        </w:tc>
      </w:tr>
    </w:tbl>
    <w:p>
      <w:pPr>
        <w:bidi w:val="false"/>
        <w:spacing w:before="0" w:after="0"/>
      </w:pPr>
      <w:r>
        <w:t xml:space="preserve"/>
      </w:r>
    </w:p>
    <w:p>
      <w:pPr>
        <w:bidi w:val="false"/>
        <w:spacing w:before="110" w:after="110"/>
      </w:pPr>
      <w:r>
        <w:rPr>
          <w:rFonts w:ascii="Calibri" w:cs="Calibri" w:eastAsia="Calibri" w:hAnsi="Calibri"/>
          <w:color w:val="1C1C1C"/>
          <w:sz w:val="26"/>
          <w:szCs w:val="26"/>
        </w:rPr>
        <w:t xml:space="preserve">Confirmed result: ANFIS routing achieves a 72.5% cost reduction versus naive frontier-model deployment across the same task set. This result is confirmed, reproducible, and protected by pending patent. The savings compound at scale — and are passed directly to the professional in the form of per-use pricing that is a fraction of incumbent subscription costs.</w:t>
      </w:r>
    </w:p>
    <w:p>
      <w:pPr>
        <w:pStyle w:val="Heading2"/>
        <w:keepNext/>
        <w:bidi w:val="false"/>
        <w:spacing w:before="340" w:after="160"/>
      </w:pPr>
      <w:r>
        <w:rPr>
          <w:rFonts w:ascii="Garamond" w:cs="Garamond" w:eastAsia="Garamond" w:hAnsi="Garamond"/>
          <w:b/>
          <w:bCs/>
          <w:color w:val="1C1C1C"/>
          <w:sz w:val="32"/>
          <w:szCs w:val="32"/>
        </w:rPr>
        <w:t xml:space="preserve">3.4  Quantitative Foundations: The Math Behind the Analysis</w:t>
      </w:r>
    </w:p>
    <w:p>
      <w:pPr>
        <w:pStyle w:val="Heading3"/>
        <w:keepNext/>
        <w:bidi w:val="false"/>
        <w:spacing w:before="240" w:after="110"/>
      </w:pPr>
      <w:r>
        <w:rPr>
          <w:rFonts w:ascii="Calibri" w:cs="Calibri" w:eastAsia="Calibri" w:hAnsi="Calibri"/>
          <w:b/>
          <w:bCs/>
          <w:color w:val="444444"/>
          <w:sz w:val="26"/>
          <w:szCs w:val="26"/>
        </w:rPr>
        <w:t xml:space="preserve">GNN Cap Rate Estimation</w:t>
      </w:r>
    </w:p>
    <w:p>
      <w:pPr>
        <w:bidi w:val="false"/>
        <w:spacing w:before="110" w:after="110"/>
      </w:pPr>
      <w:r>
        <w:rPr>
          <w:rFonts w:ascii="Calibri" w:cs="Calibri" w:eastAsia="Calibri" w:hAnsi="Calibri"/>
          <w:color w:val="1C1C1C"/>
          <w:sz w:val="26"/>
          <w:szCs w:val="26"/>
        </w:rPr>
        <w:t xml:space="preserve">Cap rate selection is the single most influential assumption in a CRE DCF model. Analyst-selected cap rates based on rule-of-thumb or stale published indices introduce systematic error. TriNexus uses a Graph Neural Network trained on verified comparable transactions to produce submarket-specific, property-type-specific cap rate estimates grounded in actual transaction data.</w:t>
      </w:r>
    </w:p>
    <w:p>
      <w:pPr>
        <w:bidi w:val="false"/>
        <w:spacing w:before="110" w:after="110"/>
      </w:pPr>
      <w:r>
        <w:rPr>
          <w:rFonts w:ascii="Calibri" w:cs="Calibri" w:eastAsia="Calibri" w:hAnsi="Calibri"/>
          <w:color w:val="1C1C1C"/>
          <w:sz w:val="26"/>
          <w:szCs w:val="26"/>
        </w:rPr>
        <w:t xml:space="preserve">The GNN represents each property as a node in a transaction graph, with edges weighted by semantic similarity between deal characteristics. The embedding space captures asset class, vintage, location (via PostGIS submarket polygons), leverage structure, and tenant credit quality:</w:t>
      </w:r>
    </w:p>
    <w:p>
      <w:pPr>
        <w:keepNext/>
        <w:keepLines/>
        <w:shd w:fill="F7F4EF" w:val="clear"/>
        <w:bidi w:val="false"/>
        <w:spacing w:before="160" w:after="2"/>
        <w:ind w:left="600" w:right="600"/>
        <w:jc w:val="center"/>
      </w:pPr>
      <w:r>
        <w:rPr>
          <w:rFonts w:ascii="Courier New" w:cs="Courier New" w:eastAsia="Courier New" w:hAnsi="Courier New"/>
          <w:b/>
          <w:bCs/>
          <w:color w:val="0A0A0A"/>
          <w:sz w:val="22"/>
          <w:szCs w:val="22"/>
        </w:rPr>
        <w:t xml:space="preserve">similarity(target, comp_k) = cosine(h_target, h_comp_k)</w:t>
      </w:r>
    </w:p>
    <w:p>
      <w:pPr>
        <w:keepNext w:val="false"/>
        <w:keepLines/>
        <w:shd w:fill="F7F4EF" w:val="clear"/>
        <w:bidi w:val="false"/>
        <w:spacing w:before="2" w:after="160"/>
        <w:ind w:left="600" w:right="600"/>
        <w:jc w:val="center"/>
      </w:pPr>
      <w:r>
        <w:rPr>
          <w:rFonts w:ascii="Courier New" w:cs="Courier New" w:eastAsia="Courier New" w:hAnsi="Courier New"/>
          <w:b/>
          <w:bCs/>
          <w:color w:val="0A0A0A"/>
          <w:sz w:val="22"/>
          <w:szCs w:val="22"/>
        </w:rPr>
        <w:t xml:space="preserve">where h = GNN_embedding</w:t>
      </w:r>
    </w:p>
    <w:p>
      <w:pPr>
        <w:keepNext/>
        <w:keepLines/>
        <w:shd w:fill="F7F4EF" w:val="clear"/>
        <w:bidi w:val="false"/>
        <w:spacing w:before="160" w:after="2"/>
        <w:ind w:left="600" w:right="600"/>
        <w:jc w:val="center"/>
      </w:pPr>
      <w:r>
        <w:rPr>
          <w:rFonts w:ascii="Courier New" w:cs="Courier New" w:eastAsia="Courier New" w:hAnsi="Courier New"/>
          <w:b/>
          <w:bCs/>
          <w:color w:val="0A0A0A"/>
          <w:sz w:val="22"/>
          <w:szCs w:val="22"/>
        </w:rPr>
        <w:t xml:space="preserve">weight_k = exp(-||h_target - h_comp_k||² / 2σ²)</w:t>
      </w:r>
    </w:p>
    <w:p>
      <w:pPr>
        <w:keepNext w:val="false"/>
        <w:keepLines/>
        <w:shd w:fill="F7F4EF" w:val="clear"/>
        <w:bidi w:val="false"/>
        <w:spacing w:before="2" w:after="160"/>
        <w:ind w:left="600" w:right="600"/>
        <w:jc w:val="center"/>
      </w:pPr>
      <w:r>
        <w:rPr>
          <w:rFonts w:ascii="Courier New" w:cs="Courier New" w:eastAsia="Courier New" w:hAnsi="Courier New"/>
          <w:b/>
          <w:bCs/>
          <w:color w:val="0A0A0A"/>
          <w:sz w:val="22"/>
          <w:szCs w:val="22"/>
        </w:rPr>
        <w:t xml:space="preserve">[RBF kernel]</w:t>
      </w:r>
    </w:p>
    <w:p>
      <w:pPr>
        <w:keepNext/>
        <w:keepLines/>
        <w:shd w:fill="F7F4EF" w:val="clear"/>
        <w:bidi w:val="false"/>
        <w:spacing w:before="160" w:after="2"/>
        <w:ind w:left="600" w:right="600"/>
        <w:jc w:val="center"/>
      </w:pPr>
      <w:r>
        <w:rPr>
          <w:rFonts w:ascii="Courier New" w:cs="Courier New" w:eastAsia="Courier New" w:hAnsi="Courier New"/>
          <w:b/>
          <w:bCs/>
          <w:color w:val="0A0A0A"/>
          <w:sz w:val="22"/>
          <w:szCs w:val="22"/>
        </w:rPr>
        <w:t xml:space="preserve">E[cap_rate_exit] = Σ_k(w_k · c_k) / Σ_k(w_k)</w:t>
      </w:r>
    </w:p>
    <w:p>
      <w:pPr>
        <w:keepNext w:val="false"/>
        <w:keepLines/>
        <w:shd w:fill="F7F4EF" w:val="clear"/>
        <w:bidi w:val="false"/>
        <w:spacing w:before="2" w:after="160"/>
        <w:ind w:left="600" w:right="600"/>
        <w:jc w:val="center"/>
      </w:pPr>
      <w:r>
        <w:rPr>
          <w:rFonts w:ascii="Courier New" w:cs="Courier New" w:eastAsia="Courier New" w:hAnsi="Courier New"/>
          <w:b/>
          <w:bCs/>
          <w:color w:val="0A0A0A"/>
          <w:sz w:val="22"/>
          <w:szCs w:val="22"/>
        </w:rPr>
        <w:t xml:space="preserve">[weighted comparable estimate]</w:t>
      </w:r>
    </w:p>
    <w:p>
      <w:pPr>
        <w:bidi w:val="false"/>
        <w:spacing w:before="110" w:after="110"/>
      </w:pPr>
      <w:r>
        <w:rPr>
          <w:rFonts w:ascii="Calibri" w:cs="Calibri" w:eastAsia="Calibri" w:hAnsi="Calibri"/>
          <w:color w:val="1C1C1C"/>
          <w:sz w:val="26"/>
          <w:szCs w:val="26"/>
        </w:rPr>
        <w:t xml:space="preserve">Every verified comparable submitted by a platform participant enriches the GNN training set — creating a data flywheel where platform participation directly improves model accuracy for everyone.</w:t>
      </w:r>
    </w:p>
    <w:p>
      <w:pPr>
        <w:pStyle w:val="Heading3"/>
        <w:keepNext/>
        <w:bidi w:val="false"/>
        <w:spacing w:before="240" w:after="110"/>
      </w:pPr>
      <w:r>
        <w:rPr>
          <w:rFonts w:ascii="Calibri" w:cs="Calibri" w:eastAsia="Calibri" w:hAnsi="Calibri"/>
          <w:b/>
          <w:bCs/>
          <w:color w:val="444444"/>
          <w:sz w:val="26"/>
          <w:szCs w:val="26"/>
        </w:rPr>
        <w:t xml:space="preserve">XIRR Dual-Path Convergence</w:t>
      </w:r>
    </w:p>
    <w:p>
      <w:pPr>
        <w:bidi w:val="false"/>
        <w:spacing w:before="110" w:after="110"/>
      </w:pPr>
      <w:r>
        <w:rPr>
          <w:rFonts w:ascii="Calibri" w:cs="Calibri" w:eastAsia="Calibri" w:hAnsi="Calibri"/>
          <w:color w:val="1C1C1C"/>
          <w:sz w:val="26"/>
          <w:szCs w:val="26"/>
        </w:rPr>
        <w:t xml:space="preserve">Commercial real estate cash flows are non-periodic. Standard IRR assumes periodic flows and produces systematically incorrect outputs for these structures. The NEXUS engine uses XIRR throughout, solved via two independent mathematical methods — Newton-Raphson as the primary path and Brent's method as independent cross-validation:</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XIRR:  NPV(r) = Σ_i [ CF_i / (1 + r)^((d_i - d_0)/365) ] = 0</w:t>
      </w:r>
    </w:p>
    <w:p>
      <w:pPr>
        <w:bidi w:val="false"/>
        <w:spacing w:before="110" w:after="110"/>
      </w:pPr>
      <w:r>
        <w:rPr>
          <w:rFonts w:ascii="Calibri" w:cs="Calibri" w:eastAsia="Calibri" w:hAnsi="Calibri"/>
          <w:color w:val="1C1C1C"/>
          <w:sz w:val="26"/>
          <w:szCs w:val="26"/>
        </w:rPr>
        <w:t xml:space="preserve">Both paths must agree within ε=1e-8. If they diverge, the output is escalated — not published. The convergence tolerance is not arbitrary. It is the threshold below which the difference is financially immaterial. Above it, the disagreement is a signal worth investigating.</w:t>
      </w:r>
    </w:p>
    <w:p>
      <w:pPr>
        <w:pStyle w:val="Heading3"/>
        <w:keepNext/>
        <w:bidi w:val="false"/>
        <w:spacing w:before="240" w:after="110"/>
      </w:pPr>
      <w:r>
        <w:rPr>
          <w:rFonts w:ascii="Calibri" w:cs="Calibri" w:eastAsia="Calibri" w:hAnsi="Calibri"/>
          <w:b/>
          <w:bCs/>
          <w:color w:val="444444"/>
          <w:sz w:val="26"/>
          <w:szCs w:val="26"/>
        </w:rPr>
        <w:t xml:space="preserve">LASSO Sensitivity Analysis</w:t>
      </w:r>
    </w:p>
    <w:p>
      <w:pPr>
        <w:bidi w:val="false"/>
        <w:spacing w:before="110" w:after="110"/>
      </w:pPr>
      <w:r>
        <w:rPr>
          <w:rFonts w:ascii="Calibri" w:cs="Calibri" w:eastAsia="Calibri" w:hAnsi="Calibri"/>
          <w:color w:val="1C1C1C"/>
          <w:sz w:val="26"/>
          <w:szCs w:val="26"/>
        </w:rPr>
        <w:t xml:space="preserve">IRR models have dozens of inputs. Most barely matter. LASSO regression identifies the five to eight inputs that actually drive the output, enabling focused due diligence rather than sprawling scenario tables:</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β* = argmin_β { ||y - Xβ||² + λ||β||₁ }</w:t>
      </w:r>
    </w:p>
    <w:p>
      <w:pPr>
        <w:bidi w:val="false"/>
        <w:spacing w:before="110" w:after="110"/>
      </w:pPr>
      <w:r>
        <w:rPr>
          <w:rFonts w:ascii="Calibri" w:cs="Calibri" w:eastAsia="Calibri" w:hAnsi="Calibri"/>
          <w:color w:val="1C1C1C"/>
          <w:sz w:val="26"/>
          <w:szCs w:val="26"/>
        </w:rPr>
        <w:t xml:space="preserve">The L1 penalty forces non-material drivers to exactly zero, producing a clean sensitivity ranking. Output: 'This deal's IRR is primarily driven by exit cap rate (32%), Year 3 rent growth (21%), and vacancy burn-off timing (18%). Everything else is noise.' That is a materially different — and more useful — output than a traditional sensitivity table.</w:t>
      </w:r>
    </w:p>
    <w:p>
      <w:pPr>
        <w:pStyle w:val="Heading3"/>
        <w:keepNext/>
        <w:bidi w:val="false"/>
        <w:spacing w:before="240" w:after="110"/>
      </w:pPr>
      <w:r>
        <w:rPr>
          <w:rFonts w:ascii="Calibri" w:cs="Calibri" w:eastAsia="Calibri" w:hAnsi="Calibri"/>
          <w:b/>
          <w:bCs/>
          <w:color w:val="444444"/>
          <w:sz w:val="26"/>
          <w:szCs w:val="26"/>
        </w:rPr>
        <w:t xml:space="preserve">Markov Vacancy Modeling</w:t>
      </w:r>
    </w:p>
    <w:p>
      <w:pPr>
        <w:bidi w:val="false"/>
        <w:spacing w:before="110" w:after="110"/>
      </w:pPr>
      <w:r>
        <w:rPr>
          <w:rFonts w:ascii="Calibri" w:cs="Calibri" w:eastAsia="Calibri" w:hAnsi="Calibri"/>
          <w:color w:val="1C1C1C"/>
          <w:sz w:val="26"/>
          <w:szCs w:val="26"/>
        </w:rPr>
        <w:t xml:space="preserve">Vacancy is not static. The engine models it as a Markov chain over tenant states — occupied, month-to-month, vacant, in-leasing, in-default — with submarket-calibrated transition probabilities:</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P(V_{t+1} = j | V_t = i) = M_ij   [transition matrix calibrated by submarket]</w:t>
      </w:r>
    </w:p>
    <w:p>
      <w:pPr>
        <w:keepNext w:val="false"/>
        <w:keepLines/>
        <w:shd w:fill="F7F4EF" w:val="clear"/>
        <w:bidi w:val="false"/>
        <w:spacing w:before="160" w:after="160"/>
        <w:ind w:left="600" w:right="600"/>
        <w:jc w:val="center"/>
      </w:pPr>
      <w:r>
        <w:rPr>
          <w:rFonts w:ascii="Courier New" w:cs="Courier New" w:eastAsia="Courier New" w:hAnsi="Courier New"/>
          <w:b/>
          <w:bCs/>
          <w:color w:val="0A0A0A"/>
          <w:sz w:val="22"/>
          <w:szCs w:val="22"/>
        </w:rPr>
        <w:t xml:space="preserve">E[NOI_t] = Σ_j P(V_t = j) · NOI_j(t)</w:t>
      </w:r>
    </w:p>
    <w:p>
      <w:pPr>
        <w:bidi w:val="false"/>
        <w:spacing w:before="110" w:after="110"/>
      </w:pPr>
      <w:r>
        <w:rPr>
          <w:rFonts w:ascii="Calibri" w:cs="Calibri" w:eastAsia="Calibri" w:hAnsi="Calibri"/>
          <w:color w:val="1C1C1C"/>
          <w:sz w:val="26"/>
          <w:szCs w:val="26"/>
        </w:rPr>
        <w:t xml:space="preserve">This produces expected NOI paths with proper uncertainty distributions — not single-point vacancy assumptions that collapse under the first lease renewal.</w:t>
      </w:r>
    </w:p>
    <w:p>
      <w:pPr>
        <w:pStyle w:val="Heading2"/>
        <w:keepNext/>
        <w:bidi w:val="false"/>
        <w:spacing w:before="340" w:after="160"/>
      </w:pPr>
      <w:r>
        <w:rPr>
          <w:rFonts w:ascii="Garamond" w:cs="Garamond" w:eastAsia="Garamond" w:hAnsi="Garamond"/>
          <w:b/>
          <w:bCs/>
          <w:color w:val="1C1C1C"/>
          <w:sz w:val="32"/>
          <w:szCs w:val="32"/>
        </w:rPr>
        <w:t xml:space="preserve">3.5  Zero-Knowledge Proofs — Privacy as Mathematics</w:t>
      </w:r>
    </w:p>
    <w:p>
      <w:pPr>
        <w:bidi w:val="false"/>
        <w:spacing w:before="110" w:after="110"/>
      </w:pPr>
      <w:r>
        <w:rPr>
          <w:rFonts w:ascii="Calibri" w:cs="Calibri" w:eastAsia="Calibri" w:hAnsi="Calibri"/>
          <w:color w:val="1C1C1C"/>
          <w:sz w:val="26"/>
          <w:szCs w:val="26"/>
        </w:rPr>
        <w:t xml:space="preserve">Zero-knowledge proofs are a branch of cryptography that allow one party to prove a statement about their data without revealing the data itself. This is not a privacy policy. It is a mathematical guarantee — and it is the foundation of every privacy claim TriNexus makes.</w:t>
      </w:r>
    </w:p>
    <w:p>
      <w:pPr>
        <w:bidi w:val="false"/>
        <w:spacing w:before="110" w:after="110"/>
      </w:pPr>
      <w:r>
        <w:rPr>
          <w:rFonts w:ascii="Calibri" w:cs="Calibri" w:eastAsia="Calibri" w:hAnsi="Calibri"/>
          <w:color w:val="1C1C1C"/>
          <w:sz w:val="26"/>
          <w:szCs w:val="26"/>
        </w:rPr>
        <w:t xml:space="preserve">The practical implications for a CRE principal are significant and specific:</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A deal can be proven to meet underwriting criteria (IRR &gt; threshold) — without revealing the rent roll, the financial model, or the property address.</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Capital can be proven to meet deal size requirements — without revealing AUM, fund structure, or investor identity.</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A professional's reputation score can be proven to exceed a minimum threshold — without revealing their transaction history.</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A comparable can be proven to fall within a submarket boundary — without revealing the property address.</w:t>
      </w:r>
    </w:p>
    <w:p>
      <w:pPr>
        <w:bidi w:val="false"/>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Borders>
              <w:top w:val="none" w:color="FFFFFF" w:sz="0"/>
              <w:left w:val="single" w:color="B8922A" w:sz="14" w:space="0"/>
              <w:bottom w:val="none" w:color="FFFFFF" w:sz="0"/>
              <w:right w:val="none" w:color="FFFFFF" w:sz="0"/>
            </w:tcBorders>
            <w:shd w:fill="F7F4EF" w:val="clear"/>
            <w:tcMar>
              <w:top w:type="dxa" w:w="200"/>
              <w:left w:type="dxa" w:w="320"/>
              <w:bottom w:type="dxa" w:w="200"/>
              <w:right w:type="dxa" w:w="320"/>
            </w:tcMar>
          </w:tcPr>
          <w:p>
            <w:pPr>
              <w:bidi w:val="false"/>
              <w:spacing w:before="0" w:after="80"/>
            </w:pPr>
            <w:r>
              <w:rPr>
                <w:rFonts w:ascii="Calibri" w:cs="Calibri" w:eastAsia="Calibri" w:hAnsi="Calibri"/>
                <w:b/>
                <w:bCs/>
                <w:color w:val="1C1C1C"/>
                <w:sz w:val="26"/>
                <w:szCs w:val="26"/>
              </w:rPr>
              <w:t xml:space="preserve">The core guarantee: </w:t>
            </w:r>
          </w:p>
          <w:p>
            <w:pPr>
              <w:bidi w:val="false"/>
              <w:spacing w:before="0" w:after="0"/>
            </w:pPr>
            <w:r>
              <w:rPr>
                <w:rFonts w:ascii="Calibri" w:cs="Calibri" w:eastAsia="Calibri" w:hAnsi="Calibri"/>
                <w:color w:val="444444"/>
                <w:sz w:val="26"/>
                <w:szCs w:val="26"/>
              </w:rPr>
              <w:t xml:space="preserve">The platform matches you without reading you. Your criteria are verified cryptographically — never stored in cleartext, never visible to the platform, never accessible to any counterparty without your explicit consent.</w:t>
            </w:r>
          </w:p>
        </w:tc>
      </w:tr>
    </w:tbl>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1800"/>
      </w:tblGrid>
      <w:tr>
        <w:trPr>
          <w:cantSplit/>
          <w:tblHeader/>
        </w:trPr>
        <w:tc>
          <w:tcPr>
            <w:tcW w:type="dxa" w:w="1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ZK Phase</w:t>
            </w:r>
          </w:p>
        </w:tc>
        <w:tc>
          <w:tcPr>
            <w:tcW w:type="dxa" w:w="2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Technology</w:t>
            </w:r>
          </w:p>
        </w:tc>
        <w:tc>
          <w:tcPr>
            <w:tcW w:type="dxa" w:w="3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Capability</w:t>
            </w:r>
          </w:p>
        </w:tc>
        <w:tc>
          <w:tcPr>
            <w:tcW w:type="dxa" w:w="18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Timeline</w:t>
            </w:r>
          </w:p>
        </w:tc>
      </w:tr>
      <w:tr>
        <w:trPr>
          <w:cantSplit/>
          <w:tblHeader w:val="false"/>
        </w:trPr>
        <w:tc>
          <w:tcPr>
            <w:tcW w:type="dxa" w:w="1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Phase 1</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Plonky3 — Recursive STARKs</w:t>
            </w:r>
          </w:p>
        </w:tc>
        <w:tc>
          <w:tcPr>
            <w:tcW w:type="dxa" w:w="3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Deal criteria proofs. Fast generation, EVM-compatible.</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Current</w:t>
            </w:r>
          </w:p>
        </w:tc>
      </w:tr>
      <w:tr>
        <w:trPr>
          <w:cantSplit/>
          <w:tblHeader w:val="false"/>
        </w:trPr>
        <w:tc>
          <w:tcPr>
            <w:tcW w:type="dxa" w:w="1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Phase 2</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zk-STARKs</w:t>
            </w:r>
          </w:p>
        </w:tc>
        <w:tc>
          <w:tcPr>
            <w:tcW w:type="dxa" w:w="3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Portfolio waterfall proofs, multi-party matching. Quantum-resistant by design.</w:t>
            </w:r>
          </w:p>
        </w:tc>
        <w:tc>
          <w:tcPr>
            <w:tcW w:type="dxa" w:w="1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Q3 2026</w:t>
            </w:r>
          </w:p>
        </w:tc>
      </w:tr>
      <w:tr>
        <w:trPr>
          <w:cantSplit/>
          <w:tblHeader w:val="false"/>
        </w:trPr>
        <w:tc>
          <w:tcPr>
            <w:tcW w:type="dxa" w:w="1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Phase 3</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CRYSTALS-Dilithium</w:t>
            </w:r>
          </w:p>
        </w:tc>
        <w:tc>
          <w:tcPr>
            <w:tcW w:type="dxa" w:w="3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Post-quantum digital signatures. Full quantum resistance for all commitments.</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Q4 2026</w:t>
            </w:r>
          </w:p>
        </w:tc>
      </w:tr>
    </w:tbl>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4 — Full Principal Control</w:t>
      </w:r>
    </w:p>
    <w:p>
      <w:pPr>
        <w:bidi w:val="false"/>
        <w:spacing w:before="160" w:after="160"/>
      </w:pPr>
      <w:r>
        <w:rPr>
          <w:rFonts w:ascii="Garamond" w:cs="Garamond" w:eastAsia="Garamond" w:hAnsi="Garamond"/>
          <w:i/>
          <w:iCs/>
          <w:color w:val="444444"/>
          <w:sz w:val="30"/>
          <w:szCs w:val="30"/>
        </w:rPr>
        <w:t xml:space="preserve">The most sophisticated professionals in private capital markets have one thing in common: they determine their own terms. TriNexus is the first CRE intelligence platform built around that reality.</w:t>
      </w:r>
    </w:p>
    <w:p>
      <w:pPr>
        <w:pStyle w:val="Heading2"/>
        <w:keepNext/>
        <w:bidi w:val="false"/>
        <w:spacing w:before="340" w:after="160"/>
      </w:pPr>
      <w:r>
        <w:rPr>
          <w:rFonts w:ascii="Garamond" w:cs="Garamond" w:eastAsia="Garamond" w:hAnsi="Garamond"/>
          <w:b/>
          <w:bCs/>
          <w:color w:val="1C1C1C"/>
          <w:sz w:val="32"/>
          <w:szCs w:val="32"/>
        </w:rPr>
        <w:t xml:space="preserve">4.1  You Determine What Is Visible — and to Whom</w:t>
      </w:r>
    </w:p>
    <w:p>
      <w:pPr>
        <w:bidi w:val="false"/>
        <w:spacing w:before="110" w:after="110"/>
      </w:pPr>
      <w:r>
        <w:rPr>
          <w:rFonts w:ascii="Calibri" w:cs="Calibri" w:eastAsia="Calibri" w:hAnsi="Calibri"/>
          <w:color w:val="1C1C1C"/>
          <w:sz w:val="26"/>
          <w:szCs w:val="26"/>
        </w:rPr>
        <w:t xml:space="preserve">Every piece of information on TriNexus has a visibility setting controlled exclusively by the principal who owns it. Deal characteristics, capital criteria, contact information, RepID score, transaction history — each element has a separate access control, set by the user, enforced cryptographically.</w:t>
      </w:r>
    </w:p>
    <w:p>
      <w:pPr>
        <w:bidi w:val="false"/>
        <w:spacing w:before="110" w:after="110"/>
      </w:pPr>
      <w:r>
        <w:rPr>
          <w:rFonts w:ascii="Calibri" w:cs="Calibri" w:eastAsia="Calibri" w:hAnsi="Calibri"/>
          <w:color w:val="1C1C1C"/>
          <w:sz w:val="26"/>
          <w:szCs w:val="26"/>
        </w:rPr>
        <w:t xml:space="preserve">There are no defaults that favor the platform. There is no 'your profile is public unless you change this setting.' The default is private. The exceptions are explicit, consensual, and reversible.</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Information Type</w:t>
            </w:r>
          </w:p>
        </w:tc>
        <w:tc>
          <w:tcPr>
            <w:tcW w:type="dxa" w:w="2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Who Controls Visibility</w:t>
            </w:r>
          </w:p>
        </w:tc>
        <w:tc>
          <w:tcPr>
            <w:tcW w:type="dxa" w:w="4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When It Becomes Visible</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Deal characteristics (market, size, structure)</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The posting principal</w:t>
            </w:r>
          </w:p>
        </w:tc>
        <w:tc>
          <w:tcPr>
            <w:tcW w:type="dxa" w:w="4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Immediately — no identity attached</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Property address and identifying details</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The posting principal</w:t>
            </w:r>
          </w:p>
        </w:tc>
        <w:tc>
          <w:tcPr>
            <w:tcW w:type="dxa" w:w="4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Only on mutual introduction consent</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Capital criteria and deployment range</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The capital deployer</w:t>
            </w:r>
          </w:p>
        </w:tc>
        <w:tc>
          <w:tcPr>
            <w:tcW w:type="dxa" w:w="4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Matched against cryptographically — never read by platform</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Identity and contact information</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Either party</w:t>
            </w:r>
          </w:p>
        </w:tc>
        <w:tc>
          <w:tcPr>
            <w:tcW w:type="dxa" w:w="4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Only when both parties consent to introduction</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RepID score details and transaction history</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The credential holder</w:t>
            </w:r>
          </w:p>
        </w:tc>
        <w:tc>
          <w:tcPr>
            <w:tcW w:type="dxa" w:w="4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Score threshold provable via ZK — history never revealed</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Analysis outputs and IC memos</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The commissioning principal</w:t>
            </w:r>
          </w:p>
        </w:tc>
        <w:tc>
          <w:tcPr>
            <w:tcW w:type="dxa" w:w="4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Private by default — shareable on explicit export only</w:t>
            </w:r>
          </w:p>
        </w:tc>
      </w:tr>
    </w:tbl>
    <w:p>
      <w:pPr>
        <w:bidi w:val="false"/>
        <w:spacing w:before="0" w:after="0"/>
      </w:pPr>
      <w:r>
        <w:t xml:space="preserve"/>
      </w:r>
    </w:p>
    <w:p>
      <w:pPr>
        <w:pStyle w:val="Heading2"/>
        <w:keepNext/>
        <w:bidi w:val="false"/>
        <w:spacing w:before="340" w:after="160"/>
      </w:pPr>
      <w:r>
        <w:rPr>
          <w:rFonts w:ascii="Garamond" w:cs="Garamond" w:eastAsia="Garamond" w:hAnsi="Garamond"/>
          <w:b/>
          <w:bCs/>
          <w:color w:val="1C1C1C"/>
          <w:sz w:val="32"/>
          <w:szCs w:val="32"/>
        </w:rPr>
        <w:t xml:space="preserve">4.2  DealPulse — Your Signal, Your Channel, Your Terms</w:t>
      </w:r>
    </w:p>
    <w:p>
      <w:pPr>
        <w:bidi w:val="false"/>
        <w:spacing w:before="110" w:after="110"/>
      </w:pPr>
      <w:r>
        <w:rPr>
          <w:rFonts w:ascii="Calibri" w:cs="Calibri" w:eastAsia="Calibri" w:hAnsi="Calibri"/>
          <w:color w:val="1C1C1C"/>
          <w:sz w:val="26"/>
          <w:szCs w:val="26"/>
        </w:rPr>
        <w:t xml:space="preserve">The communication funnel that runs through office assistants and front desks breaks down exactly when it matters most. A check writer is at dinner. A decision maker is on a flight. DealPulse is the configurable private notification layer that ensures the right signal reaches the right person — through their chosen channel, with their chosen level of detail — without requiring them to be at a desk.</w:t>
      </w:r>
    </w:p>
    <w:p>
      <w:pPr>
        <w:bidi w:val="false"/>
        <w:spacing w:before="110" w:after="110"/>
      </w:pPr>
      <w:r>
        <w:rPr>
          <w:rFonts w:ascii="Calibri" w:cs="Calibri" w:eastAsia="Calibri" w:hAnsi="Calibri"/>
          <w:color w:val="1C1C1C"/>
          <w:sz w:val="26"/>
          <w:szCs w:val="26"/>
        </w:rPr>
        <w:t xml:space="preserve">A liquid investor who just posted $1M to deploy and a broker with a matching opportunity have a 48-hour window. DealPulse closes the gap between the match and the decision — privately, precisely, and on the principal's terms.</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00"/>
      </w:tblGrid>
      <w:tr>
        <w:trPr>
          <w:cantSplit/>
          <w:tblHeader/>
        </w:trPr>
        <w:tc>
          <w:tcPr>
            <w:tcW w:type="dxa" w:w="18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Channel</w:t>
            </w:r>
          </w:p>
        </w:tc>
        <w:tc>
          <w:tcPr>
            <w:tcW w:type="dxa" w:w="2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Signal Type</w:t>
            </w:r>
          </w:p>
        </w:tc>
        <w:tc>
          <w:tcPr>
            <w:tcW w:type="dxa" w:w="20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Detail Level</w:t>
            </w:r>
          </w:p>
        </w:tc>
        <w:tc>
          <w:tcPr>
            <w:tcW w:type="dxa" w:w="3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Best For</w:t>
            </w:r>
          </w:p>
        </w:tc>
      </w:tr>
      <w:tr>
        <w:trPr>
          <w:cantSplit/>
          <w:tblHeader w:val="false"/>
        </w:trPr>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SMS / Text</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Immediate — single line</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Minimal — one-tap response</w:t>
            </w:r>
          </w:p>
        </w:tc>
        <w:tc>
          <w:tcPr>
            <w:tcW w:type="dxa" w:w="3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Time-critical capital matches, closing confirmations</w:t>
            </w:r>
          </w:p>
        </w:tc>
      </w:tr>
      <w:tr>
        <w:trPr>
          <w:cantSplit/>
          <w:tblHeader w:val="false"/>
        </w:trPr>
        <w:tc>
          <w:tcPr>
            <w:tcW w:type="dxa" w:w="1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Telegram Private Channel</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Near-real-time, encrypted</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Configurable — summary or full detail</w:t>
            </w:r>
          </w:p>
        </w:tc>
        <w:tc>
          <w:tcPr>
            <w:tcW w:type="dxa" w:w="3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Grouped deal flow by market or asset class</w:t>
            </w:r>
          </w:p>
        </w:tc>
      </w:tr>
      <w:tr>
        <w:trPr>
          <w:cantSplit/>
          <w:tblHeader w:val="false"/>
        </w:trPr>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Comprehensive</w:t>
            </w:r>
          </w:p>
        </w:tc>
        <w:tc>
          <w:tcPr>
            <w:tcW w:type="dxa" w:w="20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Full reports, IC memos, due diligence packages</w:t>
            </w:r>
          </w:p>
        </w:tc>
        <w:tc>
          <w:tcPr>
            <w:tcW w:type="dxa" w:w="3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IC memo delivery, weekly digest, archivable records</w:t>
            </w:r>
          </w:p>
        </w:tc>
      </w:tr>
      <w:tr>
        <w:trPr>
          <w:cantSplit/>
          <w:tblHeader w:val="false"/>
        </w:trPr>
        <w:tc>
          <w:tcPr>
            <w:tcW w:type="dxa" w:w="1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Dashboard Only</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On-demand — you log in</w:t>
            </w:r>
          </w:p>
        </w:tc>
        <w:tc>
          <w:tcPr>
            <w:tcW w:type="dxa" w:w="20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Complete — full platform access</w:t>
            </w:r>
          </w:p>
        </w:tc>
        <w:tc>
          <w:tcPr>
            <w:tcW w:type="dxa" w:w="3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Maximum privacy — nothing leaves the platform</w:t>
            </w:r>
          </w:p>
        </w:tc>
      </w:tr>
    </w:tbl>
    <w:p>
      <w:pPr>
        <w:bidi w:val="false"/>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Borders>
              <w:top w:val="none" w:color="FFFFFF" w:sz="0"/>
              <w:left w:val="single" w:color="B8922A" w:sz="14" w:space="0"/>
              <w:bottom w:val="none" w:color="FFFFFF" w:sz="0"/>
              <w:right w:val="none" w:color="FFFFFF" w:sz="0"/>
            </w:tcBorders>
            <w:shd w:fill="F7F4EF" w:val="clear"/>
            <w:tcMar>
              <w:top w:type="dxa" w:w="200"/>
              <w:left w:type="dxa" w:w="320"/>
              <w:bottom w:type="dxa" w:w="200"/>
              <w:right w:type="dxa" w:w="320"/>
            </w:tcMar>
          </w:tcPr>
          <w:p>
            <w:pPr>
              <w:bidi w:val="false"/>
              <w:spacing w:before="0" w:after="80"/>
            </w:pPr>
            <w:r>
              <w:rPr>
                <w:rFonts w:ascii="Calibri" w:cs="Calibri" w:eastAsia="Calibri" w:hAnsi="Calibri"/>
                <w:b/>
                <w:bCs/>
                <w:color w:val="1C1C1C"/>
                <w:sz w:val="26"/>
                <w:szCs w:val="26"/>
              </w:rPr>
              <w:t xml:space="preserve">Privacy guarantee: </w:t>
            </w:r>
          </w:p>
          <w:p>
            <w:pPr>
              <w:bidi w:val="false"/>
              <w:spacing w:before="0" w:after="0"/>
            </w:pPr>
            <w:r>
              <w:rPr>
                <w:rFonts w:ascii="Calibri" w:cs="Calibri" w:eastAsia="Calibri" w:hAnsi="Calibri"/>
                <w:color w:val="444444"/>
                <w:sz w:val="26"/>
                <w:szCs w:val="26"/>
              </w:rPr>
              <w:t xml:space="preserve">No DealPulse notification ever reaches a third-party advertising network. No notification data is used for targeting, profiling, or resale. The communication infrastructure is governed by the same ZK architecture as the matching layer.</w:t>
            </w:r>
          </w:p>
        </w:tc>
      </w:tr>
    </w:tbl>
    <w:p>
      <w:pPr>
        <w:pStyle w:val="Heading2"/>
        <w:keepNext/>
        <w:bidi w:val="false"/>
        <w:spacing w:before="340" w:after="160"/>
      </w:pPr>
      <w:r>
        <w:rPr>
          <w:rFonts w:ascii="Garamond" w:cs="Garamond" w:eastAsia="Garamond" w:hAnsi="Garamond"/>
          <w:b/>
          <w:bCs/>
          <w:color w:val="1C1C1C"/>
          <w:sz w:val="32"/>
          <w:szCs w:val="32"/>
        </w:rPr>
        <w:t xml:space="preserve">4.3  RepID — Your Track Record, Yours Alone</w:t>
      </w:r>
    </w:p>
    <w:p>
      <w:pPr>
        <w:bidi w:val="false"/>
        <w:spacing w:before="110" w:after="110"/>
      </w:pPr>
      <w:r>
        <w:rPr>
          <w:rFonts w:ascii="Calibri" w:cs="Calibri" w:eastAsia="Calibri" w:hAnsi="Calibri"/>
          <w:color w:val="1C1C1C"/>
          <w:sz w:val="26"/>
          <w:szCs w:val="26"/>
        </w:rPr>
        <w:t xml:space="preserve">A professional's on-chain reputation score is non-transferable by design. It cannot be purchased. It cannot be moved to a competitor platform. It can only be earned through verified platform activity — and it compounds over time.</w:t>
      </w:r>
    </w:p>
    <w:p>
      <w:pPr>
        <w:bidi w:val="false"/>
        <w:spacing w:before="110" w:after="110"/>
      </w:pPr>
      <w:r>
        <w:rPr>
          <w:rFonts w:ascii="Calibri" w:cs="Calibri" w:eastAsia="Calibri" w:hAnsi="Calibri"/>
          <w:color w:val="1C1C1C"/>
          <w:sz w:val="26"/>
          <w:szCs w:val="26"/>
        </w:rPr>
        <w:t xml:space="preserve">RepID uses ERC-5114 soulbound tokens: digital credentials bound to a specific identity wallet, provably non-transferable, and verifiable by any counterparty without revealing the underlying transaction history. A capital deployer can verify that a broker's RepID exceeds a minimum threshold without knowing a single deal the broker has closed.</w:t>
      </w:r>
    </w:p>
    <w:p>
      <w:pPr>
        <w:bidi w:val="false"/>
        <w:spacing w:before="110" w:after="110"/>
      </w:pPr>
      <w:r>
        <w:rPr>
          <w:rFonts w:ascii="Calibri" w:cs="Calibri" w:eastAsia="Calibri" w:hAnsi="Calibri"/>
          <w:color w:val="1C1C1C"/>
          <w:sz w:val="26"/>
          <w:szCs w:val="26"/>
        </w:rPr>
        <w:t xml:space="preserve">Staking adds a second dimension: principals can stake their RepID on market predictions or deal recommendations. Accurate predictions — verified by consensus 90 days later — increase the RepID multiplier. Inaccurate predictions reduce it. No financial commitment required. Only reputational skin in the game.</w:t>
      </w:r>
    </w:p>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5 — AI Safety and Ethics: Built In, Not Bolted On</w:t>
      </w:r>
    </w:p>
    <w:p>
      <w:pPr>
        <w:bidi w:val="false"/>
        <w:spacing w:before="160" w:after="160"/>
      </w:pPr>
      <w:r>
        <w:rPr>
          <w:rFonts w:ascii="Garamond" w:cs="Garamond" w:eastAsia="Garamond" w:hAnsi="Garamond"/>
          <w:i/>
          <w:iCs/>
          <w:color w:val="444444"/>
          <w:sz w:val="30"/>
          <w:szCs w:val="30"/>
        </w:rPr>
        <w:t xml:space="preserve">Financial stakes in commercial real estate mean that an AI system that is fast but wrong is worse than no AI at all. TriNexus treats safety not as a compliance requirement but as a core engineering constraint — embedded at every layer of the architecture.</w:t>
      </w:r>
    </w:p>
    <w:p>
      <w:pPr>
        <w:pStyle w:val="Heading2"/>
        <w:keepNext/>
        <w:bidi w:val="false"/>
        <w:spacing w:before="340" w:after="160"/>
      </w:pPr>
      <w:r>
        <w:rPr>
          <w:rFonts w:ascii="Garamond" w:cs="Garamond" w:eastAsia="Garamond" w:hAnsi="Garamond"/>
          <w:b/>
          <w:bCs/>
          <w:color w:val="1C1C1C"/>
          <w:sz w:val="32"/>
          <w:szCs w:val="32"/>
        </w:rPr>
        <w:t xml:space="preserve">5.1  Virtually Eliminating Hallucinations</w:t>
      </w:r>
    </w:p>
    <w:p>
      <w:pPr>
        <w:bidi w:val="false"/>
        <w:spacing w:before="110" w:after="110"/>
      </w:pPr>
      <w:r>
        <w:rPr>
          <w:rFonts w:ascii="Calibri" w:cs="Calibri" w:eastAsia="Calibri" w:hAnsi="Calibri"/>
          <w:color w:val="1C1C1C"/>
          <w:sz w:val="26"/>
          <w:szCs w:val="26"/>
        </w:rPr>
        <w:t xml:space="preserve">Language models hallucinate. This is not a solvable bug — it is a structural property of probabilistic generation. A single model, no matter how capable, can be confidently wrong in ways it cannot self-detect. For a system producing rent roll extractions, cap rate estimates, and IC memos that will be presented to institutional lenders, this is not an acceptable failure mode.</w:t>
      </w:r>
    </w:p>
    <w:p>
      <w:pPr>
        <w:bidi w:val="false"/>
        <w:spacing w:before="110" w:after="110"/>
      </w:pPr>
      <w:r>
        <w:rPr>
          <w:rFonts w:ascii="Calibri" w:cs="Calibri" w:eastAsia="Calibri" w:hAnsi="Calibri"/>
          <w:color w:val="1C1C1C"/>
          <w:sz w:val="26"/>
          <w:szCs w:val="26"/>
        </w:rPr>
        <w:t xml:space="preserve">TriNexus's response is layered and architectural:</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Adversarial Model Ensemble — Multiple AI architectures challenge each other's outputs before any result is accepted.</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BFT Consensus Gate — No output reaches the user without 3-of-5 validation agent agreement.</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Dual-Path Mathematical Verification — Every numerical output is solved via two independent mathematical methods. Divergence beyond ε=1e-8 triggers escalation.</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Pythagorean Comma Veto — If a minority agent is highly confident the majority is wrong, the output escalates rather than publishes.</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GNN Grounding — Cap rate estimates are grounded in verified comparable transactions, not model convention.</w:t>
      </w:r>
    </w:p>
    <w:p>
      <w:pPr>
        <w:bidi w:val="false"/>
        <w:spacing w:before="110" w:after="110"/>
      </w:pPr>
      <w:r>
        <w:rPr>
          <w:rFonts w:ascii="Calibri" w:cs="Calibri" w:eastAsia="Calibri" w:hAnsi="Calibri"/>
          <w:color w:val="1C1C1C"/>
          <w:sz w:val="26"/>
          <w:szCs w:val="26"/>
        </w:rPr>
        <w:t xml:space="preserve">The combined effect is a system that produces verifiably grounded outputs — or tells you it cannot. 'We cannot reach consensus' is a feature, not a failure.</w:t>
      </w:r>
    </w:p>
    <w:p>
      <w:pPr>
        <w:pStyle w:val="Heading2"/>
        <w:keepNext/>
        <w:bidi w:val="false"/>
        <w:spacing w:before="340" w:after="160"/>
      </w:pPr>
      <w:r>
        <w:rPr>
          <w:rFonts w:ascii="Garamond" w:cs="Garamond" w:eastAsia="Garamond" w:hAnsi="Garamond"/>
          <w:b/>
          <w:bCs/>
          <w:color w:val="1C1C1C"/>
          <w:sz w:val="32"/>
          <w:szCs w:val="32"/>
        </w:rPr>
        <w:t xml:space="preserve">5.2  Human-in-the-Loop Governance</w:t>
      </w:r>
    </w:p>
    <w:p>
      <w:pPr>
        <w:bidi w:val="false"/>
        <w:spacing w:before="110" w:after="110"/>
      </w:pPr>
      <w:r>
        <w:rPr>
          <w:rFonts w:ascii="Calibri" w:cs="Calibri" w:eastAsia="Calibri" w:hAnsi="Calibri"/>
          <w:color w:val="1C1C1C"/>
          <w:sz w:val="26"/>
          <w:szCs w:val="26"/>
        </w:rPr>
        <w:t xml:space="preserve">Human review is not a fallback of last resort. It is a designed element of the verification architecture — triggered automatically at defined thresholds, available on demand, and permanently logged to the audit trail. HITL is activated when consensus fails, when the Pythagorean Comma Veto fires, when dual-path convergence diverges beyond threshold, or when the user explicitly requests it.</w:t>
      </w:r>
    </w:p>
    <w:p>
      <w:pPr>
        <w:pStyle w:val="Heading2"/>
        <w:keepNext/>
        <w:bidi w:val="false"/>
        <w:spacing w:before="340" w:after="160"/>
      </w:pPr>
      <w:r>
        <w:rPr>
          <w:rFonts w:ascii="Garamond" w:cs="Garamond" w:eastAsia="Garamond" w:hAnsi="Garamond"/>
          <w:b/>
          <w:bCs/>
          <w:color w:val="1C1C1C"/>
          <w:sz w:val="32"/>
          <w:szCs w:val="32"/>
        </w:rPr>
        <w:t xml:space="preserve">5.3  Complete Audit Trail and Explainability</w:t>
      </w:r>
    </w:p>
    <w:p>
      <w:pPr>
        <w:bidi w:val="false"/>
        <w:spacing w:before="110" w:after="110"/>
      </w:pPr>
      <w:r>
        <w:rPr>
          <w:rFonts w:ascii="Calibri" w:cs="Calibri" w:eastAsia="Calibri" w:hAnsi="Calibri"/>
          <w:color w:val="1C1C1C"/>
          <w:sz w:val="26"/>
          <w:szCs w:val="26"/>
        </w:rPr>
        <w:t xml:space="preserve">Every analysis output includes a complete audit trail: which analytical components participated, what their individual outputs were, whether consensus was reached on the first pass or required escalation, what comparable transactions grounded the cap rate estimate, and what the LASSO sensitivity ranking was. The output is not a black box — it is a documented, reproducible computation with full provenance.</w:t>
      </w:r>
    </w:p>
    <w:p>
      <w:pPr>
        <w:pStyle w:val="Heading2"/>
        <w:keepNext/>
        <w:bidi w:val="false"/>
        <w:spacing w:before="340" w:after="160"/>
      </w:pPr>
      <w:r>
        <w:rPr>
          <w:rFonts w:ascii="Garamond" w:cs="Garamond" w:eastAsia="Garamond" w:hAnsi="Garamond"/>
          <w:b/>
          <w:bCs/>
          <w:color w:val="1C1C1C"/>
          <w:sz w:val="32"/>
          <w:szCs w:val="32"/>
        </w:rPr>
        <w:t xml:space="preserve">5.4  Data Minimization</w:t>
      </w:r>
    </w:p>
    <w:p>
      <w:pPr>
        <w:bidi w:val="false"/>
        <w:spacing w:before="110" w:after="110"/>
      </w:pPr>
      <w:r>
        <w:rPr>
          <w:rFonts w:ascii="Calibri" w:cs="Calibri" w:eastAsia="Calibri" w:hAnsi="Calibri"/>
          <w:color w:val="1C1C1C"/>
          <w:sz w:val="26"/>
          <w:szCs w:val="26"/>
        </w:rPr>
        <w:t xml:space="preserve">TriNexus collects only the data required to produce a verified analysis or a verified match. Property addresses are never required for marketplace posting. Capital criteria are never stored in cleartext. Rent rolls submitted for analysis are processed, hashed, and cleared — not retained for model training or resale. The less data the platform retains, the less risk it creates for the professionals it serves.</w:t>
      </w:r>
    </w:p>
    <w:p>
      <w:pPr>
        <w:pStyle w:val="Heading2"/>
        <w:keepNext/>
        <w:bidi w:val="false"/>
        <w:spacing w:before="340" w:after="160"/>
      </w:pPr>
      <w:r>
        <w:rPr>
          <w:rFonts w:ascii="Garamond" w:cs="Garamond" w:eastAsia="Garamond" w:hAnsi="Garamond"/>
          <w:b/>
          <w:bCs/>
          <w:color w:val="1C1C1C"/>
          <w:sz w:val="32"/>
          <w:szCs w:val="32"/>
        </w:rPr>
        <w:t xml:space="preserve">5.5  GNN Bias Mitigation</w:t>
      </w:r>
    </w:p>
    <w:p>
      <w:pPr>
        <w:bidi w:val="false"/>
        <w:spacing w:before="110" w:after="110"/>
      </w:pPr>
      <w:r>
        <w:rPr>
          <w:rFonts w:ascii="Calibri" w:cs="Calibri" w:eastAsia="Calibri" w:hAnsi="Calibri"/>
          <w:color w:val="1C1C1C"/>
          <w:sz w:val="26"/>
          <w:szCs w:val="26"/>
        </w:rPr>
        <w:t xml:space="preserve">The GNN cap rate model is only as reliable as its training data. TriNexus addresses this through verified submission requirements (contributing comps requires transaction verification, not just reporting), geographic coverage monitoring (the platform flags submarket gaps where comp density is insufficient for reliable estimation), and continuous recalibration as new verified transactions enter the graph.</w:t>
      </w:r>
    </w:p>
    <w:p>
      <w:pPr>
        <w:bidi w:val="false"/>
        <w:spacing w:before="110" w:after="110"/>
      </w:pPr>
      <w:r>
        <w:rPr>
          <w:rFonts w:ascii="Calibri" w:cs="Calibri" w:eastAsia="Calibri" w:hAnsi="Calibri"/>
          <w:color w:val="1C1C1C"/>
          <w:sz w:val="26"/>
          <w:szCs w:val="26"/>
        </w:rPr>
        <w:t xml:space="preserve">When the GNN cannot produce a reliable estimate — because submarket comp density is insufficient — it says so. The output is a confidence interval with an explicit coverage warning. Admitting uncertainty is a feature, not a failure.</w:t>
      </w:r>
    </w:p>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6 — Platform Mechanics</w:t>
      </w:r>
    </w:p>
    <w:p>
      <w:pPr>
        <w:pStyle w:val="Heading2"/>
        <w:keepNext/>
        <w:bidi w:val="false"/>
        <w:spacing w:before="340" w:after="160"/>
      </w:pPr>
      <w:r>
        <w:rPr>
          <w:rFonts w:ascii="Garamond" w:cs="Garamond" w:eastAsia="Garamond" w:hAnsi="Garamond"/>
          <w:b/>
          <w:bCs/>
          <w:color w:val="1C1C1C"/>
          <w:sz w:val="32"/>
          <w:szCs w:val="32"/>
        </w:rPr>
        <w:t xml:space="preserve">6.1  The Matching Layer: Private by Design</w:t>
      </w:r>
    </w:p>
    <w:p>
      <w:pPr>
        <w:bidi w:val="false"/>
        <w:spacing w:before="110" w:after="110"/>
      </w:pPr>
      <w:r>
        <w:rPr>
          <w:rFonts w:ascii="Calibri" w:cs="Calibri" w:eastAsia="Calibri" w:hAnsi="Calibri"/>
          <w:color w:val="1C1C1C"/>
          <w:sz w:val="26"/>
          <w:szCs w:val="26"/>
        </w:rPr>
        <w:t xml:space="preserve">Posting a deal on TriNexus requires no property address. A scenario post includes: submarket, asset type, deal size, financing structure, target return range, current occupancy band, and optionally an AI Verified badge earned through NEXUS engine analysis. Neither posting type requires a blockchain wallet. The ZK layer operates transparently in the background.</w:t>
      </w:r>
    </w:p>
    <w:p>
      <w:pPr>
        <w:bidi w:val="false"/>
        <w:spacing w:before="110" w:after="110"/>
      </w:pPr>
      <w:r>
        <w:rPr>
          <w:rFonts w:ascii="Calibri" w:cs="Calibri" w:eastAsia="Calibri" w:hAnsi="Calibri"/>
          <w:color w:val="1C1C1C"/>
          <w:sz w:val="26"/>
          <w:szCs w:val="26"/>
        </w:rPr>
        <w:t xml:space="preserve">The Bumble mechanic governs introductions: capital-side participants initiate contact; deal-side participants post. This asymmetry is structural — it puts matching power on the scarce side of the market (verified capital) and ensures that every outreach a broker receives reflects genuine intent, not a platform-generated lead.</w:t>
      </w:r>
    </w:p>
    <w:p>
      <w:pPr>
        <w:pStyle w:val="Heading2"/>
        <w:keepNext/>
        <w:bidi w:val="false"/>
        <w:spacing w:before="340" w:after="160"/>
      </w:pPr>
      <w:r>
        <w:rPr>
          <w:rFonts w:ascii="Garamond" w:cs="Garamond" w:eastAsia="Garamond" w:hAnsi="Garamond"/>
          <w:b/>
          <w:bCs/>
          <w:color w:val="1C1C1C"/>
          <w:sz w:val="32"/>
          <w:szCs w:val="32"/>
        </w:rPr>
        <w:t xml:space="preserve">6.2  AI Verified Badge</w:t>
      </w:r>
    </w:p>
    <w:p>
      <w:pPr>
        <w:bidi w:val="false"/>
        <w:spacing w:before="110" w:after="110"/>
      </w:pPr>
      <w:r>
        <w:rPr>
          <w:rFonts w:ascii="Calibri" w:cs="Calibri" w:eastAsia="Calibri" w:hAnsi="Calibri"/>
          <w:color w:val="1C1C1C"/>
          <w:sz w:val="26"/>
          <w:szCs w:val="26"/>
        </w:rPr>
        <w:t xml:space="preserve">The AI Verified badge is earned by submitting a rent roll, T-12, and offering memorandum for NEXUS engine analysis. It signals that the deal's financial assumptions have passed BFT consensus verification, that the cap rate estimate is GNN-grounded in verified comparables, and that the XIRR has achieved dual-path convergence. For capital deployers reviewing dozens of inbound pitches, it is the first — and often most important — filter.</w:t>
      </w:r>
    </w:p>
    <w:p>
      <w:pPr>
        <w:pStyle w:val="Heading2"/>
        <w:keepNext/>
        <w:bidi w:val="false"/>
        <w:spacing w:before="340" w:after="160"/>
      </w:pPr>
      <w:r>
        <w:rPr>
          <w:rFonts w:ascii="Garamond" w:cs="Garamond" w:eastAsia="Garamond" w:hAnsi="Garamond"/>
          <w:b/>
          <w:bCs/>
          <w:color w:val="1C1C1C"/>
          <w:sz w:val="32"/>
          <w:szCs w:val="32"/>
        </w:rPr>
        <w:t xml:space="preserve">6.3  Web3 Infrastructure: ERC-8004 and x402</w:t>
      </w:r>
    </w:p>
    <w:p>
      <w:pPr>
        <w:pStyle w:val="Heading3"/>
        <w:keepNext/>
        <w:bidi w:val="false"/>
        <w:spacing w:before="240" w:after="110"/>
      </w:pPr>
      <w:r>
        <w:rPr>
          <w:rFonts w:ascii="Calibri" w:cs="Calibri" w:eastAsia="Calibri" w:hAnsi="Calibri"/>
          <w:b/>
          <w:bCs/>
          <w:color w:val="444444"/>
          <w:sz w:val="26"/>
          <w:szCs w:val="26"/>
        </w:rPr>
        <w:t xml:space="preserve">ERC-8004 Agent Identity</w:t>
      </w:r>
    </w:p>
    <w:p>
      <w:pPr>
        <w:bidi w:val="false"/>
        <w:spacing w:before="110" w:after="110"/>
      </w:pPr>
      <w:r>
        <w:rPr>
          <w:rFonts w:ascii="Calibri" w:cs="Calibri" w:eastAsia="Calibri" w:hAnsi="Calibri"/>
          <w:color w:val="1C1C1C"/>
          <w:sz w:val="26"/>
          <w:szCs w:val="26"/>
        </w:rPr>
        <w:t xml:space="preserve">ERC-8004 is an emerging standard for on-chain identity and reputation for AI agents. Each analytical component of the NEXUS engine carries a registered ERC-8004 identity — enabling counterparties to verify which components participated in a given analysis and what their consensus history is. The analysis is not just a document. It is a cryptographically signed output from identified, accountable agents.</w:t>
      </w:r>
    </w:p>
    <w:p>
      <w:pPr>
        <w:pStyle w:val="Heading3"/>
        <w:keepNext/>
        <w:bidi w:val="false"/>
        <w:spacing w:before="240" w:after="110"/>
      </w:pPr>
      <w:r>
        <w:rPr>
          <w:rFonts w:ascii="Calibri" w:cs="Calibri" w:eastAsia="Calibri" w:hAnsi="Calibri"/>
          <w:b/>
          <w:bCs/>
          <w:color w:val="444444"/>
          <w:sz w:val="26"/>
          <w:szCs w:val="26"/>
        </w:rPr>
        <w:t xml:space="preserve">x402 Micropayment Protocol</w:t>
      </w:r>
    </w:p>
    <w:p>
      <w:pPr>
        <w:bidi w:val="false"/>
        <w:spacing w:before="110" w:after="110"/>
      </w:pPr>
      <w:r>
        <w:rPr>
          <w:rFonts w:ascii="Calibri" w:cs="Calibri" w:eastAsia="Calibri" w:hAnsi="Calibri"/>
          <w:color w:val="1C1C1C"/>
          <w:sz w:val="26"/>
          <w:szCs w:val="26"/>
        </w:rPr>
        <w:t xml:space="preserve">x402 is an HTTP-native micropayment protocol that enables per-use pricing at the API level — no monthly billing cycles, no invoices, no accounts payable. Every analytical endpoint is priced per use, settled instantly on Base L2, and logged to the audit trail. A broker pays for exactly the analysis they need. A capital deployer pre-commits a usage budget.</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Analysis Type</w:t>
            </w:r>
          </w:p>
        </w:tc>
        <w:tc>
          <w:tcPr>
            <w:tcW w:type="dxa" w:w="1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Per-Use Price</w:t>
            </w:r>
          </w:p>
        </w:tc>
        <w:tc>
          <w:tcPr>
            <w:tcW w:type="dxa" w:w="5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Description</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Rent roll extraction</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$0.25</w:t>
            </w:r>
          </w:p>
        </w:tc>
        <w:tc>
          <w:tcPr>
            <w:tcW w:type="dxa" w:w="5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OCR extraction and structured data output</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DCF scenario</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$0.15</w:t>
            </w:r>
          </w:p>
        </w:tc>
        <w:tc>
          <w:tcPr>
            <w:tcW w:type="dxa" w:w="5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Single scenario with XIRR and waterfall</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Full IC memo</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$2.50</w:t>
            </w:r>
          </w:p>
        </w:tc>
        <w:tc>
          <w:tcPr>
            <w:tcW w:type="dxa" w:w="5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Bank-ready IC memo — narrative plus numbers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GNN comp query</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$0.05–$2.00</w:t>
            </w:r>
          </w:p>
        </w:tc>
        <w:tc>
          <w:tcPr>
            <w:tcW w:type="dxa" w:w="5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Cap rate estimate, depth-priced by submarket coverage</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RepID verification</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$0.03</w:t>
            </w:r>
          </w:p>
        </w:tc>
        <w:tc>
          <w:tcPr>
            <w:tcW w:type="dxa" w:w="5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 threshold proof — no transaction history revealed</w:t>
            </w:r>
          </w:p>
        </w:tc>
      </w:tr>
    </w:tbl>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7 — Market Opportunity</w:t>
      </w:r>
    </w:p>
    <w:p>
      <w:pPr>
        <w:bidi w:val="false"/>
        <w:spacing w:before="160" w:after="160"/>
      </w:pPr>
      <w:r>
        <w:rPr>
          <w:rFonts w:ascii="Garamond" w:cs="Garamond" w:eastAsia="Garamond" w:hAnsi="Garamond"/>
          <w:i/>
          <w:iCs/>
          <w:color w:val="444444"/>
          <w:sz w:val="30"/>
          <w:szCs w:val="30"/>
        </w:rPr>
        <w:t xml:space="preserve">TriNexus does not compete in a single product category. It is a displacement play — replacing three line items in every CRE professional's budget with one integrated platform at a fraction of the cost.</w:t>
      </w:r>
    </w:p>
    <w:p>
      <w:pPr>
        <w:pStyle w:val="Heading2"/>
        <w:keepNext/>
        <w:bidi w:val="false"/>
        <w:spacing w:before="340" w:after="160"/>
      </w:pPr>
      <w:r>
        <w:rPr>
          <w:rFonts w:ascii="Garamond" w:cs="Garamond" w:eastAsia="Garamond" w:hAnsi="Garamond"/>
          <w:b/>
          <w:bCs/>
          <w:color w:val="1C1C1C"/>
          <w:sz w:val="32"/>
          <w:szCs w:val="32"/>
        </w:rPr>
        <w:t xml:space="preserve">7.1  What TriNexus Replaces</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Replaced</w:t>
            </w:r>
          </w:p>
        </w:tc>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Current Cost</w:t>
            </w:r>
          </w:p>
        </w:tc>
        <w:tc>
          <w:tcPr>
            <w:tcW w:type="dxa" w:w="24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TriNexus Equivalent</w:t>
            </w:r>
          </w:p>
        </w:tc>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TriNexus Cost</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CoStar data subscription</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$50,000+/year</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GNN comps + ZK-private market intel</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$0.05–$2.00 per query</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Argus underwriting license</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$5,000–$15,000/seat</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NEXUS AI Verified analysis</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$199 per deal or $499/month unlimited</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Deal network (cold calls)</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Broker time + missed deals</w:t>
            </w:r>
          </w:p>
        </w:tc>
        <w:tc>
          <w:tcPr>
            <w:tcW w:type="dxa" w:w="24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ZK-matched, AI Verified deal flow</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Included in membership</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Total incumbent cost</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$55,000–$65,000+/year</w:t>
            </w:r>
          </w:p>
        </w:tc>
        <w:tc>
          <w:tcPr>
            <w:tcW w:type="dxa" w:w="24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TriNexus NEXUS Verified membership</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$5,988/year ($499/month)</w:t>
            </w:r>
          </w:p>
        </w:tc>
      </w:tr>
    </w:tbl>
    <w:p>
      <w:pPr>
        <w:bidi w:val="false"/>
        <w:spacing w:before="0" w:after="0"/>
      </w:pPr>
      <w:r>
        <w:t xml:space="preserve"/>
      </w:r>
    </w:p>
    <w:p>
      <w:pPr>
        <w:pStyle w:val="Heading2"/>
        <w:keepNext/>
        <w:bidi w:val="false"/>
        <w:spacing w:before="340" w:after="160"/>
      </w:pPr>
      <w:r>
        <w:rPr>
          <w:rFonts w:ascii="Garamond" w:cs="Garamond" w:eastAsia="Garamond" w:hAnsi="Garamond"/>
          <w:b/>
          <w:bCs/>
          <w:color w:val="1C1C1C"/>
          <w:sz w:val="32"/>
          <w:szCs w:val="32"/>
        </w:rPr>
        <w:t xml:space="preserve">7.2  Addressable Market</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Segment</w:t>
            </w:r>
          </w:p>
        </w:tc>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TAM</w:t>
            </w:r>
          </w:p>
        </w:tc>
        <w:tc>
          <w:tcPr>
            <w:tcW w:type="dxa" w:w="4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Entry Point</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CRE SaaS — Argus/CoStar replacement</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$567M</w:t>
            </w:r>
          </w:p>
        </w:tc>
        <w:tc>
          <w:tcPr>
            <w:tcW w:type="dxa" w:w="4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NEXUS Verified at $499/month vs. $5K–$50K/yr incumbents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CRE Data Intelligence</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$5B</w:t>
            </w:r>
          </w:p>
        </w:tc>
        <w:tc>
          <w:tcPr>
            <w:tcW w:type="dxa" w:w="4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ZK-private GNN comps, per-query x402 pricing</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CRE Transaction Volume (marketplace fee)</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$120B annual</w:t>
            </w:r>
          </w:p>
        </w:tc>
        <w:tc>
          <w:tcPr>
            <w:tcW w:type="dxa" w:w="4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5–15% fee on matched and closed transactions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Cross-vertical licensing (pharma, medical, legal)</w:t>
            </w:r>
          </w:p>
        </w:tc>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$12B+</w:t>
            </w:r>
          </w:p>
        </w:tc>
        <w:tc>
          <w:tcPr>
            <w:tcW w:type="dxa" w:w="4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Same architecture applied to analogous matching problems</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Total Addressable Market</w:t>
            </w:r>
          </w:p>
        </w:tc>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$5.6B+ core  |  $17.6B+ with cross-vertical</w:t>
            </w:r>
          </w:p>
        </w:tc>
        <w:tc>
          <w:tcPr>
            <w:tcW w:type="dxa" w:w="4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
            </w:r>
          </w:p>
        </w:tc>
      </w:tr>
    </w:tbl>
    <w:p>
      <w:pPr>
        <w:bidi w:val="false"/>
        <w:spacing w:before="0" w:after="0"/>
      </w:pPr>
      <w:r>
        <w:t xml:space="preserve"/>
      </w:r>
    </w:p>
    <w:p>
      <w:pPr>
        <w:pStyle w:val="Heading2"/>
        <w:keepNext/>
        <w:bidi w:val="false"/>
        <w:spacing w:before="340" w:after="160"/>
      </w:pPr>
      <w:r>
        <w:rPr>
          <w:rFonts w:ascii="Garamond" w:cs="Garamond" w:eastAsia="Garamond" w:hAnsi="Garamond"/>
          <w:b/>
          <w:bCs/>
          <w:color w:val="1C1C1C"/>
          <w:sz w:val="32"/>
          <w:szCs w:val="32"/>
        </w:rPr>
        <w:t xml:space="preserve">7.3  Revenue Model</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rPr>
          <w:cantSplit/>
          <w:tblHeader/>
        </w:trPr>
        <w:tc>
          <w:tcPr>
            <w:tcW w:type="dxa" w:w="22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Revenue Stream</w:t>
            </w:r>
          </w:p>
        </w:tc>
        <w:tc>
          <w:tcPr>
            <w:tcW w:type="dxa" w:w="1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Year 1 ARR</w:t>
            </w:r>
          </w:p>
        </w:tc>
        <w:tc>
          <w:tcPr>
            <w:tcW w:type="dxa" w:w="1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Year 3 ARR</w:t>
            </w:r>
          </w:p>
        </w:tc>
        <w:tc>
          <w:tcPr>
            <w:tcW w:type="dxa" w:w="3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Model</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SaaS Subscriptions ($97–$499/month)</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$1.9M</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$60M</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3-tier membership</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x402 Metered Usage (per analysis)</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$340K</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$18M</w:t>
            </w:r>
          </w:p>
        </w:tc>
        <w:tc>
          <w:tcPr>
            <w:tcW w:type="dxa" w:w="3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Per-call, per-analysis</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Marketplace Transaction Fees (5–15%)</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$220K</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$22M</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Closing fee on matched deals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RepID Staking (0.5% of staked value)</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$85K</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$8M</w:t>
            </w:r>
          </w:p>
        </w:tc>
        <w:tc>
          <w:tcPr>
            <w:tcW w:type="dxa" w:w="3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On-chain settlement</w:t>
            </w:r>
          </w:p>
        </w:tc>
      </w:tr>
      <w:tr>
        <w:trPr>
          <w:cantSplit/>
          <w:tblHeader w:val="false"/>
        </w:trPr>
        <w:tc>
          <w:tcPr>
            <w:tcW w:type="dxa" w:w="22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Agent API + Institutional Data Licensing</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$320K</w:t>
            </w:r>
          </w:p>
        </w:tc>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$27M</w:t>
            </w:r>
          </w:p>
        </w:tc>
        <w:tc>
          <w:tcPr>
            <w:tcW w:type="dxa" w:w="3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Developer and enterprise tiers</w:t>
            </w:r>
          </w:p>
        </w:tc>
      </w:tr>
      <w:tr>
        <w:trPr>
          <w:cantSplit/>
          <w:tblHeader w:val="false"/>
        </w:trPr>
        <w:tc>
          <w:tcPr>
            <w:tcW w:type="dxa" w:w="22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Total</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$2.9M</w:t>
            </w:r>
          </w:p>
        </w:tc>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$135M</w:t>
            </w:r>
          </w:p>
        </w:tc>
        <w:tc>
          <w:tcPr>
            <w:tcW w:type="dxa" w:w="3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
            </w:r>
          </w:p>
        </w:tc>
      </w:tr>
    </w:tbl>
    <w:p>
      <w:pPr>
        <w:bidi w:val="false"/>
        <w:spacing w:before="0" w:after="0"/>
      </w:pPr>
      <w:r>
        <w:t xml:space="preserve"/>
      </w:r>
    </w:p>
    <w:p>
      <w:pPr>
        <w:pStyle w:val="Heading2"/>
        <w:keepNext/>
        <w:bidi w:val="false"/>
        <w:spacing w:before="340" w:after="160"/>
      </w:pPr>
      <w:r>
        <w:rPr>
          <w:rFonts w:ascii="Garamond" w:cs="Garamond" w:eastAsia="Garamond" w:hAnsi="Garamond"/>
          <w:b/>
          <w:bCs/>
          <w:color w:val="1C1C1C"/>
          <w:sz w:val="32"/>
          <w:szCs w:val="32"/>
        </w:rPr>
        <w:t xml:space="preserve">7.4  Go-To-Market: The Hard Money Beachhead</w:t>
      </w:r>
    </w:p>
    <w:p>
      <w:pPr>
        <w:bidi w:val="false"/>
        <w:spacing w:before="110" w:after="110"/>
      </w:pPr>
      <w:r>
        <w:rPr>
          <w:rFonts w:ascii="Calibri" w:cs="Calibri" w:eastAsia="Calibri" w:hAnsi="Calibri"/>
          <w:color w:val="1C1C1C"/>
          <w:sz w:val="26"/>
          <w:szCs w:val="26"/>
        </w:rPr>
        <w:t xml:space="preserve">The initial target is the hard money lending sector: deal cycles of 7–14 days, high tolerance for speed-enabling technology, deep familiarity with private capital networks, and a culture that already values discretion above all else. This community has the most acute pain — they lose deals to speed more than any other segment — and the highest willingness to pay for a faster, more private alternative.</w:t>
      </w:r>
    </w:p>
    <w:p>
      <w:pPr>
        <w:bidi w:val="false"/>
        <w:spacing w:before="110" w:after="110"/>
      </w:pPr>
      <w:r>
        <w:rPr>
          <w:rFonts w:ascii="Calibri" w:cs="Calibri" w:eastAsia="Calibri" w:hAnsi="Calibri"/>
          <w:color w:val="1C1C1C"/>
          <w:sz w:val="26"/>
          <w:szCs w:val="26"/>
        </w:rPr>
        <w:t xml:space="preserve">The founding cohort applies engineered scarcity and peer validation simultaneously: 200 founding members, application required, each receiving two invitations that create viral growth within exactly the right network segment. Founding members receive lifetime RepID multiplier bonuses and first access to new marketplace categories.</w:t>
      </w:r>
    </w:p>
    <w:p>
      <w:pPr>
        <w:pStyle w:val="Heading2"/>
        <w:keepNext/>
        <w:bidi w:val="false"/>
        <w:spacing w:before="340" w:after="160"/>
      </w:pPr>
      <w:r>
        <w:rPr>
          <w:rFonts w:ascii="Garamond" w:cs="Garamond" w:eastAsia="Garamond" w:hAnsi="Garamond"/>
          <w:b/>
          <w:bCs/>
          <w:color w:val="1C1C1C"/>
          <w:sz w:val="32"/>
          <w:szCs w:val="32"/>
        </w:rPr>
        <w:t xml:space="preserve">7.5  The Compounding Moat</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Data network effect: Every verified comparable enriches the GNN. The model improves continuously. The gap between TriNexus's grounded estimates and a new entrant's guesses widens over time.</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Reputation lock-in: A 94% RepID accuracy rating built over three years cannot be transferred to a competitor. The credential's value grows with time on the platform.</w:t>
      </w:r>
    </w:p>
    <w:p>
      <w:pPr>
        <w:bidi w:val="false"/>
        <w:spacing w:before="80" w:after="80"/>
        <w:ind w:left="480" w:hanging="300"/>
      </w:pPr>
      <w:r>
        <w:rPr>
          <w:rFonts w:ascii="Calibri" w:cs="Calibri" w:eastAsia="Calibri" w:hAnsi="Calibri"/>
          <w:b/>
          <w:bCs/>
          <w:color w:val="B8922A"/>
          <w:sz w:val="26"/>
          <w:szCs w:val="26"/>
        </w:rPr>
        <w:t xml:space="preserve">— </w:t>
      </w:r>
      <w:r>
        <w:rPr>
          <w:rFonts w:ascii="Calibri" w:cs="Calibri" w:eastAsia="Calibri" w:hAnsi="Calibri"/>
          <w:color w:val="1C1C1C"/>
          <w:sz w:val="26"/>
          <w:szCs w:val="26"/>
        </w:rPr>
        <w:t xml:space="preserve">Proprietary protection: The specific combination of ANFIS routing, BFT consensus, ZK proof generation, Adversarial Model Ensemble, and on-chain reputation — integrated into a single workflow — is protected by 7 pending patent applications.</w:t>
      </w:r>
    </w:p>
    <w:p>
      <w:pPr>
        <w:pBdr>
          <w:bottom w:val="single" w:color="EEEEEE" w:sz="1"/>
        </w:pBdr>
        <w:bidi w:val="false"/>
        <w:spacing w:before="160" w:after="160"/>
      </w:pPr>
      <w:r>
        <w:t xml:space="preserve"/>
      </w:r>
    </w:p>
    <w:p>
      <w:pPr>
        <w:pageBreakBefore/>
        <w:bidi w:val="false"/>
        <w:spacing w:before="0" w:after="0"/>
      </w:pPr>
      <w:r>
        <w:t xml:space="preserve"/>
      </w:r>
    </w:p>
    <w:p>
      <w:pPr>
        <w:pStyle w:val="Heading1"/>
        <w:keepNext/>
        <w:pBdr>
          <w:bottom w:val="single" w:color="B8922A" w:sz="6" w:space="10"/>
        </w:pBdr>
        <w:bidi w:val="false"/>
        <w:spacing w:before="460" w:after="200"/>
      </w:pPr>
      <w:r>
        <w:rPr>
          <w:rFonts w:ascii="Garamond" w:cs="Garamond" w:eastAsia="Garamond" w:hAnsi="Garamond"/>
          <w:b w:val="false"/>
          <w:bCs w:val="false"/>
          <w:color w:val="0A0A0A"/>
          <w:sz w:val="46"/>
          <w:szCs w:val="46"/>
        </w:rPr>
        <w:t xml:space="preserve">Section 8 — Membership and Closing Statement</w:t>
      </w:r>
    </w:p>
    <w:p>
      <w:pPr>
        <w:pStyle w:val="Heading2"/>
        <w:keepNext/>
        <w:bidi w:val="false"/>
        <w:spacing w:before="340" w:after="160"/>
      </w:pPr>
      <w:r>
        <w:rPr>
          <w:rFonts w:ascii="Garamond" w:cs="Garamond" w:eastAsia="Garamond" w:hAnsi="Garamond"/>
          <w:b/>
          <w:bCs/>
          <w:color w:val="1C1C1C"/>
          <w:sz w:val="32"/>
          <w:szCs w:val="32"/>
        </w:rPr>
        <w:t xml:space="preserve">8.1  Membership Tiers</w:t>
      </w:r>
    </w:p>
    <w:p>
      <w:pPr>
        <w:bidi w:val="false"/>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rPr>
          <w:cantSplit/>
          <w:tblHeader/>
        </w:trPr>
        <w:tc>
          <w:tcPr>
            <w:tcW w:type="dxa" w:w="1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Price</w:t>
            </w:r>
          </w:p>
        </w:tc>
        <w:tc>
          <w:tcPr>
            <w:tcW w:type="dxa" w:w="5600"/>
            <w:tcBorders>
              <w:top w:val="single" w:color="DDDDDD" w:sz="1"/>
              <w:left w:val="single" w:color="DDDDDD" w:sz="1"/>
              <w:bottom w:val="single" w:color="DDDDDD" w:sz="1"/>
              <w:right w:val="single" w:color="DDDDDD" w:sz="1"/>
            </w:tcBorders>
            <w:shd w:fill="0A0A0A" w:val="clear"/>
            <w:tcMar>
              <w:top w:type="dxa" w:w="160"/>
              <w:left w:type="dxa" w:w="200"/>
              <w:bottom w:type="dxa" w:w="160"/>
              <w:right w:type="dxa" w:w="200"/>
            </w:tcMar>
          </w:tcPr>
          <w:p>
            <w:r>
              <w:rPr>
                <w:rFonts w:ascii="Calibri" w:cs="Calibri" w:eastAsia="Calibri" w:hAnsi="Calibri"/>
                <w:b/>
                <w:bCs/>
                <w:color w:val="FFFFFF"/>
                <w:sz w:val="20"/>
                <w:szCs w:val="20"/>
              </w:rPr>
              <w:t xml:space="preserve">Access</w:t>
            </w:r>
          </w:p>
        </w:tc>
      </w:tr>
      <w:tr>
        <w:trPr>
          <w:cantSplit/>
          <w:tblHeader w:val="false"/>
        </w:trPr>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DealPulse</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$97 / month</w:t>
            </w:r>
          </w:p>
        </w:tc>
        <w:tc>
          <w:tcPr>
            <w:tcW w:type="dxa" w:w="5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ZK-anonymous deal or capital posting · DealPulse private notifications · RepID profile (auto-builds) · Mutual introduction on consent only · First month free for founding cohort</w:t>
            </w:r>
          </w:p>
        </w:tc>
      </w:tr>
      <w:tr>
        <w:trPr>
          <w:cantSplit/>
          <w:tblHeader w:val="false"/>
        </w:trPr>
        <w:tc>
          <w:tcPr>
            <w:tcW w:type="dxa" w:w="1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NEXUS Verified</w:t>
            </w:r>
          </w:p>
        </w:tc>
        <w:tc>
          <w:tcPr>
            <w:tcW w:type="dxa" w:w="18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$499 / month</w:t>
            </w:r>
          </w:p>
        </w:tc>
        <w:tc>
          <w:tcPr>
            <w:tcW w:type="dxa" w:w="5600"/>
            <w:tcBorders>
              <w:top w:val="single" w:color="DDDDDD" w:sz="1"/>
              <w:left w:val="single" w:color="DDDDDD" w:sz="1"/>
              <w:bottom w:val="single" w:color="DDDDDD" w:sz="1"/>
              <w:right w:val="single" w:color="DDDDDD" w:sz="1"/>
            </w:tcBorders>
            <w:shd w:fill="F9F8F6"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Everything in DealPulse · Unlimited NEXUS AI underwriting (27 min) · AI Verified badge · GNN cap rate + LASSO reports · Full IC memo · RepID staking and multiplier access</w:t>
            </w:r>
          </w:p>
        </w:tc>
      </w:tr>
      <w:tr>
        <w:trPr>
          <w:cantSplit/>
          <w:tblHeader w:val="false"/>
        </w:trPr>
        <w:tc>
          <w:tcPr>
            <w:tcW w:type="dxa" w:w="1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A La Carte</w:t>
            </w:r>
          </w:p>
        </w:tc>
        <w:tc>
          <w:tcPr>
            <w:tcW w:type="dxa" w:w="18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$25–$199 per analysis</w:t>
            </w:r>
          </w:p>
        </w:tc>
        <w:tc>
          <w:tcPr>
            <w:tcW w:type="dxa" w:w="560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1C1C1C"/>
                <w:sz w:val="23"/>
                <w:szCs w:val="23"/>
              </w:rPr>
              <w:t xml:space="preserve">Rent roll extraction $25 · Full DCF at 3 leverage scenarios $75 · Complete IC memo $150 · Full bundle $199 · No subscription required · Upgrade to monthly anytime</w:t>
            </w:r>
          </w:p>
        </w:tc>
      </w:tr>
    </w:tbl>
    <w:p>
      <w:pPr>
        <w:bidi w:val="false"/>
        <w:spacing w:before="0" w:after="0"/>
      </w:pPr>
      <w:r>
        <w:t xml:space="preserve"/>
      </w:r>
    </w:p>
    <w:p>
      <w:pPr>
        <w:bidi w:val="false"/>
        <w:spacing w:before="80" w:after="180"/>
      </w:pPr>
      <w:r>
        <w:rPr>
          <w:rFonts w:ascii="Calibri" w:cs="Calibri" w:eastAsia="Calibri" w:hAnsi="Calibri"/>
          <w:i/>
          <w:iCs/>
          <w:color w:val="888888"/>
          <w:sz w:val="20"/>
          <w:szCs w:val="20"/>
        </w:rPr>
        <w:t xml:space="preserve">Founding cohort: first 200 members. Application required. Qualified principals receive an invitation within 48 hours.</w:t>
      </w:r>
    </w:p>
    <w:p>
      <w:pPr>
        <w:pStyle w:val="Heading2"/>
        <w:keepNext/>
        <w:bidi w:val="false"/>
        <w:spacing w:before="340" w:after="160"/>
      </w:pPr>
      <w:r>
        <w:rPr>
          <w:rFonts w:ascii="Garamond" w:cs="Garamond" w:eastAsia="Garamond" w:hAnsi="Garamond"/>
          <w:b/>
          <w:bCs/>
          <w:color w:val="1C1C1C"/>
          <w:sz w:val="32"/>
          <w:szCs w:val="32"/>
        </w:rPr>
        <w:t xml:space="preserve">8.2  Intellectual Property</w:t>
      </w:r>
    </w:p>
    <w:p>
      <w:pPr>
        <w:bidi w:val="false"/>
        <w:spacing w:before="110" w:after="110"/>
      </w:pPr>
      <w:r>
        <w:rPr>
          <w:rFonts w:ascii="Calibri" w:cs="Calibri" w:eastAsia="Calibri" w:hAnsi="Calibri"/>
          <w:color w:val="1C1C1C"/>
          <w:sz w:val="26"/>
          <w:szCs w:val="26"/>
        </w:rPr>
        <w:t xml:space="preserve">TriNexus's core technology is protected by a portfolio of 7 pending patent applications covering proprietary methods, systems, and cross-vertical applications across: neuromorphic multi-agent AI with ANFIS intelligent routing, Byzantine Fault-Tolerant consensus with dissent-confidence veto, zero-knowledge proof integration for privacy-preserving intelligence matching, on-chain reputation systems with adaptive governance, DAG workflow orchestration with recursive proof generation, agent-to-agent commerce protocol, and cross-vertical methods for grounded intelligence marketplaces.</w:t>
      </w:r>
    </w:p>
    <w:p>
      <w:pPr>
        <w:bidi w:val="false"/>
        <w:spacing w:before="110" w:after="110"/>
      </w:pPr>
      <w:r>
        <w:rPr>
          <w:rFonts w:ascii="Calibri" w:cs="Calibri" w:eastAsia="Calibri" w:hAnsi="Calibri"/>
          <w:color w:val="1C1C1C"/>
          <w:sz w:val="26"/>
          <w:szCs w:val="26"/>
        </w:rPr>
        <w:t xml:space="preserve">Patent claims are written to protect the method, not the market. The same architecture that serves CRE principals today is protected for application to pharmaceutical trial matching, medical record privacy, and legal intelligence. Specific claim details, parameter values, and architectural specifications are not disclosed herein pending non-provisional filings.</w:t>
      </w:r>
    </w:p>
    <w:p>
      <w:pPr>
        <w:pStyle w:val="Heading2"/>
        <w:keepNext/>
        <w:bidi w:val="false"/>
        <w:spacing w:before="340" w:after="160"/>
      </w:pPr>
      <w:r>
        <w:rPr>
          <w:rFonts w:ascii="Garamond" w:cs="Garamond" w:eastAsia="Garamond" w:hAnsi="Garamond"/>
          <w:b/>
          <w:bCs/>
          <w:color w:val="1C1C1C"/>
          <w:sz w:val="32"/>
          <w:szCs w:val="32"/>
        </w:rPr>
        <w:t xml:space="preserve">8.3  Closing Statement</w:t>
      </w:r>
    </w:p>
    <w:p>
      <w:pPr>
        <w:pBdr>
          <w:left w:val="single" w:color="B8922A" w:sz="10" w:space="16"/>
        </w:pBdr>
        <w:bidi w:val="false"/>
        <w:spacing w:before="240" w:after="240"/>
        <w:ind w:left="640"/>
      </w:pPr>
      <w:r>
        <w:rPr>
          <w:rFonts w:ascii="Garamond" w:cs="Garamond" w:eastAsia="Garamond" w:hAnsi="Garamond"/>
          <w:i/>
          <w:iCs/>
          <w:color w:val="444444"/>
          <w:sz w:val="30"/>
          <w:szCs w:val="30"/>
        </w:rPr>
        <w:t xml:space="preserve">The professionals who move capital in commercial real estate are not looking for software. They are looking for an edge — private, verifiable, and fast enough to matter.</w:t>
      </w:r>
    </w:p>
    <w:p>
      <w:pPr>
        <w:bidi w:val="false"/>
        <w:spacing w:before="110" w:after="110"/>
      </w:pPr>
      <w:r>
        <w:rPr>
          <w:rFonts w:ascii="Calibri" w:cs="Calibri" w:eastAsia="Calibri" w:hAnsi="Calibri"/>
          <w:color w:val="1C1C1C"/>
          <w:sz w:val="26"/>
          <w:szCs w:val="26"/>
        </w:rPr>
        <w:t xml:space="preserve">The problem is not that CRE professionals lack intelligence. It is that the infrastructure around them cannot move at the speed of their best judgment. The analysis takes too long. The data costs too much and proves too little. The capital that would close the deal is invisible until the window closes.</w:t>
      </w:r>
    </w:p>
    <w:p>
      <w:pPr>
        <w:bidi w:val="false"/>
        <w:spacing w:before="110" w:after="110"/>
      </w:pPr>
      <w:r>
        <w:rPr>
          <w:rFonts w:ascii="Calibri" w:cs="Calibri" w:eastAsia="Calibri" w:hAnsi="Calibri"/>
          <w:color w:val="1C1C1C"/>
          <w:sz w:val="26"/>
          <w:szCs w:val="26"/>
        </w:rPr>
        <w:t xml:space="preserve">TriNexus resolves all three — through mathematics, not promises. The zero-knowledge proofs are not a marketing claim. The Byzantine Fault-Tolerant consensus is not a feature description. The 72.5% cost reduction is a confirmed result. The 27-minute underwriting is an engineering output. The Adversarial Model Ensemble is the reason it is trustworthy.</w:t>
      </w:r>
    </w:p>
    <w:p>
      <w:pPr>
        <w:bidi w:val="false"/>
        <w:spacing w:before="110" w:after="110"/>
      </w:pPr>
      <w:r>
        <w:rPr>
          <w:rFonts w:ascii="Calibri" w:cs="Calibri" w:eastAsia="Calibri" w:hAnsi="Calibri"/>
          <w:color w:val="1C1C1C"/>
          <w:sz w:val="26"/>
          <w:szCs w:val="26"/>
        </w:rPr>
        <w:t xml:space="preserve">And control — full, cryptographic, irrevocable control over your data, your identity, and your terms — is not a setting in the preferences menu. It is the architecture.</w:t>
      </w:r>
    </w:p>
    <w:p>
      <w:pPr>
        <w:bidi w:val="false"/>
        <w:spacing w:before="0" w:after="0"/>
      </w:pPr>
      <w:r>
        <w:t xml:space="preserve"/>
      </w:r>
    </w:p>
    <w:p>
      <w:pPr>
        <w:bidi w:val="false"/>
        <w:spacing w:before="0" w:after="0"/>
      </w:pPr>
      <w:r>
        <w:t xml:space="preserve"/>
      </w:r>
    </w:p>
    <w:p>
      <w:pPr>
        <w:spacing w:before="0" w:after="70"/>
        <w:jc w:val="center"/>
      </w:pPr>
      <w:r>
        <w:rPr>
          <w:rFonts w:ascii="Garamond" w:cs="Garamond" w:eastAsia="Garamond" w:hAnsi="Garamond"/>
          <w:color w:val="B8922A"/>
          <w:spacing w:val="320"/>
          <w:sz w:val="40"/>
          <w:szCs w:val="40"/>
        </w:rPr>
        <w:t xml:space="preserve">TRINEXUS.IO</w:t>
      </w:r>
    </w:p>
    <w:p>
      <w:pPr>
        <w:spacing w:before="0" w:after="60"/>
        <w:jc w:val="center"/>
      </w:pPr>
      <w:r>
        <w:rPr>
          <w:rFonts w:ascii="Calibri" w:cs="Calibri" w:eastAsia="Calibri" w:hAnsi="Calibri"/>
          <w:i/>
          <w:iCs/>
          <w:color w:val="888888"/>
          <w:sz w:val="22"/>
          <w:szCs w:val="22"/>
        </w:rPr>
        <w:t xml:space="preserve">Private Intelligence for CRE Principals</w:t>
      </w:r>
    </w:p>
    <w:p>
      <w:pPr>
        <w:spacing w:before="0" w:after="60"/>
        <w:jc w:val="center"/>
      </w:pPr>
      <w:r>
        <w:rPr>
          <w:rFonts w:ascii="Calibri" w:cs="Calibri" w:eastAsia="Calibri" w:hAnsi="Calibri"/>
          <w:color w:val="888888"/>
          <w:sz w:val="20"/>
          <w:szCs w:val="20"/>
        </w:rPr>
        <w:t xml:space="preserve">hello@trinexus.io  ·  Founding Cohort — Application Required</w:t>
      </w:r>
    </w:p>
    <w:p>
      <w:pPr>
        <w:pBdr>
          <w:bottom w:val="single" w:color="B8922A" w:sz="6"/>
        </w:pBdr>
        <w:bidi w:val="false"/>
        <w:spacing w:before="160" w:after="160"/>
      </w:pPr>
      <w:r>
        <w:t xml:space="preserve"/>
      </w:r>
    </w:p>
    <w:p>
      <w:pPr>
        <w:spacing w:before="80" w:after="0"/>
      </w:pPr>
      <w:r>
        <w:rPr>
          <w:rFonts w:ascii="Calibri" w:cs="Calibri" w:eastAsia="Calibri" w:hAnsi="Calibri"/>
          <w:i/>
          <w:iCs/>
          <w:color w:val="AAAAAA"/>
          <w:sz w:val="17"/>
          <w:szCs w:val="17"/>
        </w:rPr>
        <w:t xml:space="preserve">CONFIDENTIAL — 7 patents pending. Proprietary methods, systems, and cross-vertical applications. Not for distribution. © 2026 TriNexus. This document does not constitute an offer of securities, investment advice, or broker-dealer services. Platform credits are utility rewards and do not represent investment interests or securities.</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440" w:after="180"/>
      <w:outlineLvl w:val="0"/>
    </w:pPr>
    <w:rPr>
      <w:rFonts w:ascii="Garamond" w:cs="Garamond" w:eastAsia="Garamond" w:hAnsi="Garamond"/>
      <w:b w:val="false"/>
      <w:bCs w:val="false"/>
      <w:color w:val="0A0A0A"/>
      <w:sz w:val="44"/>
      <w:szCs w:val="44"/>
    </w:rPr>
  </w:style>
  <w:style w:type="paragraph" w:styleId="Heading2">
    <w:name w:val="Heading 2"/>
    <w:basedOn w:val="Normal"/>
    <w:next w:val="Normal"/>
    <w:qFormat/>
    <w:pPr>
      <w:keepNext/>
      <w:spacing w:before="320" w:after="140"/>
      <w:outlineLvl w:val="1"/>
    </w:pPr>
    <w:rPr>
      <w:rFonts w:ascii="Garamond" w:cs="Garamond" w:eastAsia="Garamond" w:hAnsi="Garamond"/>
      <w:b/>
      <w:bCs/>
      <w:color w:val="1C1C1C"/>
      <w:sz w:val="30"/>
      <w:szCs w:val="30"/>
    </w:rPr>
  </w:style>
  <w:style w:type="paragraph" w:styleId="Heading3">
    <w:name w:val="Heading 3"/>
    <w:basedOn w:val="Normal"/>
    <w:next w:val="Normal"/>
    <w:qFormat/>
    <w:pPr>
      <w:keepNext/>
      <w:spacing w:before="220" w:after="1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TriNexus — Technical White Paper v2.1</dc:title>
  <dc:creator>TriNexus</dc:creator>
  <cp:lastModifiedBy>Un-named</cp:lastModifiedBy>
  <cp:revision>1</cp:revision>
  <dcterms:created xsi:type="dcterms:W3CDTF">2026-03-10T03:05:44.495Z</dcterms:created>
  <dcterms:modified xsi:type="dcterms:W3CDTF">2026-03-10T03:05:44.497Z</dcterms:modified>
</cp:coreProperties>
</file>

<file path=docProps/custom.xml><?xml version="1.0" encoding="utf-8"?>
<Properties xmlns="http://schemas.openxmlformats.org/officeDocument/2006/custom-properties" xmlns:vt="http://schemas.openxmlformats.org/officeDocument/2006/docPropsVTypes"/>
</file>