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Arial" w:cs="Arial" w:eastAsia="Arial" w:hAnsi="Arial"/>
          <w:b/>
          <w:bCs/>
          <w:color w:val="1B2A4A"/>
          <w:sz w:val="52"/>
          <w:szCs w:val="52"/>
        </w:rPr>
        <w:t xml:space="preserve">HYPERDAG PROTOCOL</w:t>
      </w:r>
    </w:p>
    <w:p>
      <w:pPr>
        <w:spacing w:before="60"/>
      </w:pPr>
      <w:r>
        <w:rPr>
          <w:rFonts w:ascii="Arial" w:cs="Arial" w:eastAsia="Arial" w:hAnsi="Arial"/>
          <w:color w:val="C9A84C"/>
          <w:sz w:val="30"/>
          <w:szCs w:val="30"/>
        </w:rPr>
        <w:t xml:space="preserve">Master Patent Portfolio — Strategy &amp; Claims Review</w:t>
      </w:r>
    </w:p>
    <w:p>
      <w:pPr>
        <w:spacing w:before="60"/>
      </w:pPr>
      <w:r>
        <w:rPr>
          <w:rFonts w:ascii="Arial" w:cs="Arial" w:eastAsia="Arial" w:hAnsi="Arial"/>
          <w:color w:val="888888"/>
          <w:sz w:val="18"/>
          <w:szCs w:val="18"/>
        </w:rPr>
        <w:t xml:space="preserve">Inventor: Sean Patrick Goodwin  ·  March 2026  ·  ATTORNEY-CLIENT PRIVILEGED — CONFIDENTIAL</w:t>
      </w:r>
    </w:p>
    <w:p>
      <w:pPr>
        <w:pBdr>
          <w:bottom w:val="single" w:color="DDDDDD" w:sz="3" w:space="1"/>
        </w:pBdr>
        <w:spacing w:before="100" w:after="100"/>
      </w:pPr>
      <w:r>
        <w:t xml:space="preserve"/>
      </w:r>
    </w:p>
    <w:p>
      <w:pPr>
        <w:spacing w:before="60" w:after="60"/>
        <w:jc w:val="left"/>
      </w:pPr>
      <w:r>
        <w:rPr>
          <w:rFonts w:ascii="Arial" w:cs="Arial" w:eastAsia="Arial" w:hAnsi="Arial"/>
          <w:b w:val="false"/>
          <w:bCs w:val="false"/>
          <w:i w:val="false"/>
          <w:iCs w:val="false"/>
          <w:color w:val="444444"/>
          <w:sz w:val="20"/>
          <w:szCs w:val="20"/>
        </w:rPr>
        <w:t xml:space="preserve">This document compiles every provisional patent application, pending filing, and strategic patent opportunity across the HyperDAG ecosystem. Its purpose is to identify overlaps, consolidation opportunities, coverage gaps, and the optimal filing strategy before the March 22, 2026 hackathon submission deadline — which constitutes a public reduction-to-practice event.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0E0" w:val="clear"/>
            <w:tcMar>
              <w:top w:type="dxa" w:w="140"/>
              <w:left w:type="dxa" w:w="220"/>
              <w:bottom w:type="dxa" w:w="140"/>
              <w:right w:type="dxa" w:w="220"/>
            </w:tcMar>
          </w:tcPr>
          <w:p>
            <w:pPr>
              <w:spacing w:before="0" w:after="40"/>
            </w:pPr>
            <w:r>
              <w:rPr>
                <w:rFonts w:ascii="Arial" w:cs="Arial" w:eastAsia="Arial" w:hAnsi="Arial"/>
                <w:b/>
                <w:bCs/>
                <w:color w:val="8B1A1A"/>
                <w:sz w:val="20"/>
                <w:szCs w:val="20"/>
              </w:rPr>
              <w:t xml:space="preserve">⚠  CRITICAL DEADLINE</w:t>
            </w:r>
          </w:p>
          <w:p>
            <w:pPr>
              <w:spacing w:before="40" w:after="40"/>
            </w:pPr>
            <w:r>
              <w:rPr>
                <w:rFonts w:ascii="Arial" w:cs="Arial" w:eastAsia="Arial" w:hAnsi="Arial"/>
                <w:b w:val="false"/>
                <w:bCs w:val="false"/>
                <w:color w:val="444444"/>
                <w:sz w:val="20"/>
                <w:szCs w:val="20"/>
              </w:rPr>
              <w:t xml:space="preserve">March 22, 2026 hackathon submission = public reduction-to-practice event.</w:t>
            </w:r>
          </w:p>
          <w:p>
            <w:pPr>
              <w:spacing w:before="40" w:after="40"/>
            </w:pPr>
            <w:r>
              <w:rPr>
                <w:rFonts w:ascii="Arial" w:cs="Arial" w:eastAsia="Arial" w:hAnsi="Arial"/>
                <w:b w:val="false"/>
                <w:bCs w:val="false"/>
                <w:color w:val="444444"/>
                <w:sz w:val="20"/>
                <w:szCs w:val="20"/>
              </w:rPr>
              <w:t xml:space="preserve">Any method demonstrated in the video or README that is NOT yet covered by a filed provisional loses patent protection.</w:t>
            </w:r>
          </w:p>
          <w:p>
            <w:pPr>
              <w:spacing w:before="40" w:after="40"/>
            </w:pPr>
            <w:r>
              <w:rPr>
                <w:rFonts w:ascii="Arial" w:cs="Arial" w:eastAsia="Arial" w:hAnsi="Arial"/>
                <w:b w:val="false"/>
                <w:bCs w:val="false"/>
                <w:color w:val="444444"/>
                <w:sz w:val="20"/>
                <w:szCs w:val="20"/>
              </w:rPr>
              <w:t xml:space="preserve">P-002 non-provisional deadline: August 17, 2026. Attorney engagement no later than June 1, 2026.</w:t>
            </w:r>
          </w:p>
        </w:tc>
      </w:tr>
    </w:tbl>
    <w:p>
      <w:r>
        <w:br w:type="page"/>
      </w:r>
    </w:p>
    <w:p>
      <w:pPr>
        <w:pBdr>
          <w:bottom w:val="single" w:color="C9A84C" w:sz="6" w:space="1"/>
        </w:pBdr>
        <w:spacing w:before="160" w:after="100"/>
      </w:pPr>
      <w:r>
        <w:rPr>
          <w:rFonts w:ascii="Arial" w:cs="Arial" w:eastAsia="Arial" w:hAnsi="Arial"/>
          <w:b/>
          <w:bCs/>
          <w:color w:val="1B2A4A"/>
          <w:sz w:val="36"/>
          <w:szCs w:val="36"/>
        </w:rPr>
        <w:t xml:space="preserve">SECTION 1 — Portfolio Overview</w:t>
      </w:r>
    </w:p>
    <w:p>
      <w:r>
        <w:t xml:space="preserve"/>
      </w:r>
    </w:p>
    <w:p>
      <w:pPr>
        <w:spacing w:before="60" w:after="60"/>
        <w:jc w:val="left"/>
      </w:pPr>
      <w:r>
        <w:rPr>
          <w:rFonts w:ascii="Arial" w:cs="Arial" w:eastAsia="Arial" w:hAnsi="Arial"/>
          <w:b w:val="false"/>
          <w:bCs w:val="false"/>
          <w:i w:val="false"/>
          <w:iCs w:val="false"/>
          <w:color w:val="444444"/>
          <w:sz w:val="20"/>
          <w:szCs w:val="20"/>
        </w:rPr>
        <w:t xml:space="preserve">The HyperDAG patent portfolio spans three product lines (AI Trinity Symphony, NMGDA/NEXUS CRE, TrustShell/TrustRails/TrustSquad) and two technical domains (AI multi-agent systems and decentralized trust infrastructure). All applications share a common inventor and a common infrastructure substrate.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1400"/>
        <w:gridCol w:w="236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pPr>
              <w:jc w:val="left"/>
            </w:pPr>
            <w:r>
              <w:rPr>
                <w:rFonts w:ascii="Arial" w:cs="Arial" w:eastAsia="Arial" w:hAnsi="Arial"/>
                <w:b/>
                <w:bCs/>
                <w:i w:val="false"/>
                <w:iCs w:val="false"/>
                <w:color w:val="FFFFFF"/>
                <w:sz w:val="18"/>
                <w:szCs w:val="18"/>
              </w:rPr>
              <w:t xml:space="preserve">ID</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pPr>
              <w:jc w:val="left"/>
            </w:pPr>
            <w:r>
              <w:rPr>
                <w:rFonts w:ascii="Arial" w:cs="Arial" w:eastAsia="Arial" w:hAnsi="Arial"/>
                <w:b/>
                <w:bCs/>
                <w:i w:val="false"/>
                <w:iCs w:val="false"/>
                <w:color w:val="FFFFFF"/>
                <w:sz w:val="18"/>
                <w:szCs w:val="18"/>
              </w:rPr>
              <w:t xml:space="preserve">Working Title</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pPr>
              <w:jc w:val="left"/>
            </w:pPr>
            <w:r>
              <w:rPr>
                <w:rFonts w:ascii="Arial" w:cs="Arial" w:eastAsia="Arial" w:hAnsi="Arial"/>
                <w:b/>
                <w:bCs/>
                <w:i w:val="false"/>
                <w:iCs w:val="false"/>
                <w:color w:val="FFFFFF"/>
                <w:sz w:val="18"/>
                <w:szCs w:val="18"/>
              </w:rPr>
              <w:t xml:space="preserve">Status</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pPr>
              <w:jc w:val="left"/>
            </w:pPr>
            <w:r>
              <w:rPr>
                <w:rFonts w:ascii="Arial" w:cs="Arial" w:eastAsia="Arial" w:hAnsi="Arial"/>
                <w:b/>
                <w:bCs/>
                <w:i w:val="false"/>
                <w:iCs w:val="false"/>
                <w:color w:val="FFFFFF"/>
                <w:sz w:val="18"/>
                <w:szCs w:val="18"/>
              </w:rPr>
              <w:t xml:space="preserve">Product Line</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pPr>
              <w:jc w:val="left"/>
            </w:pPr>
            <w:r>
              <w:rPr>
                <w:rFonts w:ascii="Arial" w:cs="Arial" w:eastAsia="Arial" w:hAnsi="Arial"/>
                <w:b/>
                <w:bCs/>
                <w:i w:val="false"/>
                <w:iCs w:val="false"/>
                <w:color w:val="FFFFFF"/>
                <w:sz w:val="18"/>
                <w:szCs w:val="18"/>
              </w:rPr>
              <w:t xml:space="preserve">Key Deadline</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P-001</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HyperDAG Core DAG Architecture</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Aug 2025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All</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Non-prov: TBD</w:t>
            </w:r>
          </w:p>
        </w:tc>
      </w:tr>
      <w:tr>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P-002</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Multiplicative GNN + HyperDAG Multi-Agent Coordination</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Aug 2025</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NEXUS CRE / Trinity</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pPr>
              <w:jc w:val="left"/>
            </w:pPr>
            <w:r>
              <w:rPr>
                <w:rFonts w:ascii="Arial" w:cs="Arial" w:eastAsia="Arial" w:hAnsi="Arial"/>
                <w:b w:val="false"/>
                <w:bCs w:val="false"/>
                <w:i w:val="false"/>
                <w:iCs w:val="false"/>
                <w:color w:val="8B1A1A"/>
                <w:sz w:val="17"/>
                <w:szCs w:val="17"/>
              </w:rPr>
              <w:t xml:space="preserve">Non-prov: Aug 17 2026 ⚠️</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P-003</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[Unknown — confirm with Grok]</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Aug 2025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TBD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Confirm</w:t>
            </w:r>
          </w:p>
        </w:tc>
      </w:tr>
      <w:tr>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P-004</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ANFIS Intelligent LLM Routing + LAOP</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Aug 2025</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Trinity / All</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Non-prov: TBD</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P-005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BFT φ-Weighted Consensus with Veto Override</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Aug 2025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Trinity / All</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Non-prov: TBD</w:t>
            </w:r>
          </w:p>
        </w:tc>
      </w:tr>
      <w:tr>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P-006</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[Unknown — confirm with Grok]</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Aug 2025</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TBD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Confirm</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P-007</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[Unknown — confirm with Grok]</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Aug 2025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TBD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Confirm</w:t>
            </w:r>
          </w:p>
        </w:tc>
      </w:tr>
      <w:tr>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P-008</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[Unknown — confirm with Grok]</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Aug 2025</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TBD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Confirm</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P-009</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Pythagorean Comma Pre-Trade Drift Detection</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Aug 2025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Trinity</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Non-prov: TBD</w:t>
            </w:r>
          </w:p>
        </w:tc>
      </w:tr>
      <w:tr>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P-010</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[Unknown — confirm with Grok]</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Aug 2025</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TBD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Confirm</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P-011</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RepID-Gated Payment Authorization</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Aug 2025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Trinity / TrustShell</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Non-prov: TBD</w:t>
            </w:r>
          </w:p>
        </w:tc>
      </w:tr>
      <w:tr>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P-012</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NEXUS CRE Novel Five-System Combination</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pPr>
              <w:jc w:val="left"/>
            </w:pPr>
            <w:r>
              <w:rPr>
                <w:rFonts w:ascii="Arial" w:cs="Arial" w:eastAsia="Arial" w:hAnsi="Arial"/>
                <w:b/>
                <w:bCs/>
                <w:i w:val="false"/>
                <w:iCs w:val="false"/>
                <w:color w:val="1A6B3C"/>
                <w:sz w:val="17"/>
                <w:szCs w:val="17"/>
              </w:rPr>
              <w:t xml:space="preserve">FILED (date TBC)</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NEXUS CRE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Non-prov: TBD</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P-013</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DBT→SBT Human Accountability Chain</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pPr>
              <w:jc w:val="left"/>
            </w:pPr>
            <w:r>
              <w:rPr>
                <w:rFonts w:ascii="Arial" w:cs="Arial" w:eastAsia="Arial" w:hAnsi="Arial"/>
                <w:b/>
                <w:bCs/>
                <w:i w:val="false"/>
                <w:iCs w:val="false"/>
                <w:color w:val="8B1A1A"/>
                <w:sz w:val="17"/>
                <w:szCs w:val="17"/>
              </w:rPr>
              <w:t xml:space="preserve">NEEDS FILING</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TrustShell / All</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Before Mar 22 2026</w:t>
            </w:r>
          </w:p>
        </w:tc>
      </w:tr>
      <w:tr>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P-014</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Night Shift Autonomous Token Budget Scavenger</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pPr>
              <w:jc w:val="left"/>
            </w:pPr>
            <w:r>
              <w:rPr>
                <w:rFonts w:ascii="Arial" w:cs="Arial" w:eastAsia="Arial" w:hAnsi="Arial"/>
                <w:b/>
                <w:bCs/>
                <w:i w:val="false"/>
                <w:iCs w:val="false"/>
                <w:color w:val="8B1A1A"/>
                <w:sz w:val="17"/>
                <w:szCs w:val="17"/>
              </w:rPr>
              <w:t xml:space="preserve">NEEDS FILING</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Trinity / TrustSquad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Before Mar 22 2026</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P-015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Multi-Chain RepID Portability via ZKP Bridge</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pPr>
              <w:jc w:val="left"/>
            </w:pPr>
            <w:r>
              <w:rPr>
                <w:rFonts w:ascii="Arial" w:cs="Arial" w:eastAsia="Arial" w:hAnsi="Arial"/>
                <w:b/>
                <w:bCs/>
                <w:i w:val="false"/>
                <w:iCs w:val="false"/>
                <w:color w:val="8B1A1A"/>
                <w:sz w:val="17"/>
                <w:szCs w:val="17"/>
              </w:rPr>
              <w:t xml:space="preserve">NEEDS FILING</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TrustRails / Trinity</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Before Mar 22 2026</w:t>
            </w:r>
          </w:p>
        </w:tc>
      </w:tr>
      <w:tr>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P-016</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ANFIS-Routed Polyglot Decentralized Data Fabric</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pPr>
              <w:jc w:val="left"/>
            </w:pPr>
            <w:r>
              <w:rPr>
                <w:rFonts w:ascii="Arial" w:cs="Arial" w:eastAsia="Arial" w:hAnsi="Arial"/>
                <w:b/>
                <w:bCs/>
                <w:i w:val="false"/>
                <w:iCs w:val="false"/>
                <w:color w:val="8B1A1A"/>
                <w:sz w:val="17"/>
                <w:szCs w:val="17"/>
              </w:rPr>
              <w:t xml:space="preserve">NEEDS FILING</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TrustRails / NEXUS</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Before Mar 22 2026</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P-017</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TrustSquad Four-Agent BFT Swarm with Idle Collective Learning</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pPr>
              <w:jc w:val="left"/>
            </w:pPr>
            <w:r>
              <w:rPr>
                <w:rFonts w:ascii="Arial" w:cs="Arial" w:eastAsia="Arial" w:hAnsi="Arial"/>
                <w:b/>
                <w:bCs/>
                <w:i w:val="false"/>
                <w:iCs w:val="false"/>
                <w:color w:val="8B1A1A"/>
                <w:sz w:val="17"/>
                <w:szCs w:val="17"/>
              </w:rPr>
              <w:t xml:space="preserve">NEEDS FILING</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TrustSquad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Before Apr 2026</w:t>
            </w:r>
          </w:p>
        </w:tc>
      </w:tr>
      <w:tr>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P-018</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Semantic Cache + pgvector Agent Memory Architecture</w:t>
            </w:r>
          </w:p>
        </w:tc>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pPr>
              <w:jc w:val="left"/>
            </w:pPr>
            <w:r>
              <w:rPr>
                <w:rFonts w:ascii="Arial" w:cs="Arial" w:eastAsia="Arial" w:hAnsi="Arial"/>
                <w:b/>
                <w:bCs/>
                <w:i w:val="false"/>
                <w:iCs w:val="false"/>
                <w:color w:val="7A4F00"/>
                <w:sz w:val="17"/>
                <w:szCs w:val="17"/>
              </w:rPr>
              <w:t xml:space="preserve">CONSIDER</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Trinity / TrustSquad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Apr 2026</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bCs/>
                <w:i w:val="false"/>
                <w:iCs w:val="false"/>
                <w:color w:val="1B2A4A"/>
                <w:sz w:val="17"/>
                <w:szCs w:val="17"/>
              </w:rPr>
              <w:t xml:space="preserve">P-019</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Stochastic Bias Fracture Array (SBFA) Multi-Provider Diversity</w:t>
            </w:r>
          </w:p>
        </w:tc>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pPr>
              <w:jc w:val="left"/>
            </w:pPr>
            <w:r>
              <w:rPr>
                <w:rFonts w:ascii="Arial" w:cs="Arial" w:eastAsia="Arial" w:hAnsi="Arial"/>
                <w:b/>
                <w:bCs/>
                <w:i w:val="false"/>
                <w:iCs w:val="false"/>
                <w:color w:val="7A4F00"/>
                <w:sz w:val="17"/>
                <w:szCs w:val="17"/>
              </w:rPr>
              <w:t xml:space="preserve">CONSIDER</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Trinity / All</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7"/>
                <w:szCs w:val="17"/>
              </w:rPr>
              <w:t xml:space="preserve">Apr 2026</w:t>
            </w:r>
          </w:p>
        </w:tc>
      </w:tr>
    </w:tbl>
    <w:p>
      <w:r>
        <w:br w:type="page"/>
      </w:r>
    </w:p>
    <w:p>
      <w:pPr>
        <w:pBdr>
          <w:bottom w:val="single" w:color="C9A84C" w:sz="6" w:space="1"/>
        </w:pBdr>
        <w:spacing w:before="160" w:after="100"/>
      </w:pPr>
      <w:r>
        <w:rPr>
          <w:rFonts w:ascii="Arial" w:cs="Arial" w:eastAsia="Arial" w:hAnsi="Arial"/>
          <w:b/>
          <w:bCs/>
          <w:color w:val="1B2A4A"/>
          <w:sz w:val="36"/>
          <w:szCs w:val="36"/>
        </w:rPr>
        <w:t xml:space="preserve">SECTION 2 — Filed Provisionals: Known Claims</w:t>
      </w:r>
    </w:p>
    <w:p>
      <w:pPr>
        <w:spacing w:before="60" w:after="60"/>
        <w:jc w:val="left"/>
      </w:pPr>
      <w:r>
        <w:rPr>
          <w:rFonts w:ascii="Arial" w:cs="Arial" w:eastAsia="Arial" w:hAnsi="Arial"/>
          <w:b w:val="false"/>
          <w:bCs w:val="false"/>
          <w:i/>
          <w:iCs/>
          <w:color w:val="888888"/>
          <w:sz w:val="20"/>
          <w:szCs w:val="20"/>
        </w:rPr>
        <w:t xml:space="preserve">The following patents were filed in August 2025. The claims listed below are reconstructed from technical documentation, white papers, and strategy documents. Grok must verify the exact claim language in the actual filings and flag any discrepancies.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P-002  </w:t>
            </w:r>
            <w:r>
              <w:rPr>
                <w:rFonts w:ascii="Arial" w:cs="Arial" w:eastAsia="Arial" w:hAnsi="Arial"/>
                <w:b/>
                <w:bCs/>
                <w:color w:val="FFFFFF"/>
                <w:sz w:val="28"/>
                <w:szCs w:val="28"/>
              </w:rPr>
              <w:t xml:space="preserve">Multiplicative GNN + HyperDAG Multi-Agent AI Coordination</w:t>
            </w:r>
          </w:p>
          <w:p>
            <w:pPr>
              <w:spacing w:before="60"/>
            </w:pPr>
            <w:r>
              <w:rPr>
                <w:rFonts w:ascii="Arial" w:cs="Arial" w:eastAsia="Arial" w:hAnsi="Arial"/>
                <w:b/>
                <w:bCs/>
                <w:color w:val="AACCEE"/>
                <w:sz w:val="19"/>
                <w:szCs w:val="19"/>
              </w:rPr>
              <w:t xml:space="preserve">Status: </w:t>
            </w:r>
            <w:r>
              <w:rPr>
                <w:rFonts w:ascii="Arial" w:cs="Arial" w:eastAsia="Arial" w:hAnsi="Arial"/>
                <w:b/>
                <w:bCs/>
                <w:color w:val="FFCC44"/>
                <w:sz w:val="19"/>
                <w:szCs w:val="19"/>
              </w:rPr>
              <w:t xml:space="preserve">FILED Aug 2025</w:t>
            </w:r>
            <w:r>
              <w:rPr>
                <w:rFonts w:ascii="Arial" w:cs="Arial" w:eastAsia="Arial" w:hAnsi="Arial"/>
                <w:color w:val="AACCEE"/>
                <w:sz w:val="19"/>
                <w:szCs w:val="19"/>
              </w:rPr>
              <w:t xml:space="preserve">   |   Deadline: Non-Provisional: August 17, 2026 ⚠️ URGENT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Full Title (Grok v2)</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Hyper Directed Acyclic Graph (HyperDAG) Architecture for Scalable, Fault-Tolerant Multi-Agent AI Coordination with Integrated Wisdom Synthesis, ZKP-Weighted Reputation, and Hybrid SNARK/STARK Proofs</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Core Novel Combination</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HyperDAG hyperedges + Multiplicative GNN convolution (φ-scaling) + ZKP reputation proofs + recursive agent learning loops</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Product Lines</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NEXUS CRE Intelligence · AI Trinity Symphony · HyperDAG Protocol</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Non-Prov Deadline</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August 17, 2026 — attorney engagement must begin by June 1, 2026</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Prior Art Distinguished</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Standard DAGs (IOTA), basic GNNs (PyG), standard BFT — the COMBINATION is novel</w:t>
            </w:r>
          </w:p>
        </w:tc>
      </w:tr>
    </w:tbl>
    <w:p>
      <w:r>
        <w:t xml:space="preserve"/>
      </w:r>
    </w:p>
    <w:p>
      <w:pPr>
        <w:spacing w:before="180" w:after="60"/>
      </w:pPr>
      <w:r>
        <w:rPr>
          <w:rFonts w:ascii="Arial" w:cs="Arial" w:eastAsia="Arial" w:hAnsi="Arial"/>
          <w:b/>
          <w:bCs/>
          <w:color w:val="C9A84C"/>
          <w:sz w:val="22"/>
          <w:szCs w:val="22"/>
        </w:rPr>
        <w:t xml:space="preserve">Reconstructed Claims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(Broad — System): A multi-agent AI coordination system comprising a directed acyclic graph with hyperedges enabling dynamic routing between agent nodes, wherein each hyperedge carries a multiplicative convolutional neural network weight scaled by the golden ratio φ = 1.61803398875</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(Broad — Method): A method of routing tasks across a multi-agent AI swarm using a HyperDAG structure where agents are organized in a neuromorphic 3×3+3 pattern comprising sensory, interneuron, and motor processing layers plus orchestration agents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(ZKP Reputation): A system wherein agent reputation scores are stored as zero-knowledge proof commitments, enabling reputation-gated task routing without revealing underlying performance data</w:t>
      </w:r>
    </w:p>
    <w:p>
      <w:pPr>
        <w:pStyle w:val="ListParagraph"/>
        <w:numPr>
          <w:ilvl w:val="0"/>
          <w:numId w:val="2"/>
        </w:numPr>
        <w:spacing w:before="40" w:after="40"/>
      </w:pPr>
      <w:r>
        <w:rPr>
          <w:rFonts w:ascii="Arial" w:cs="Arial" w:eastAsia="Arial" w:hAnsi="Arial"/>
          <w:b w:val="false"/>
          <w:bCs w:val="false"/>
          <w:color w:val="444444"/>
          <w:sz w:val="20"/>
          <w:szCs w:val="20"/>
        </w:rPr>
        <w:t xml:space="preserve">Claim 4 (Recursive Learning): A method of adaptive weight adjustment wherein agents recursively update HyperDAG routing weights based on task outcome logs, achieving measurable learn gain per cycle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5 (Hybrid ZKP): A system that dynamically selects between SNARK proofs for low-latency operations and STARK proofs for high-transparency audit requirements based on risk scoring</w:t>
      </w:r>
    </w:p>
    <w:p>
      <w:pPr>
        <w:pStyle w:val="ListParagraph"/>
        <w:numPr>
          <w:ilvl w:val="0"/>
          <w:numId w:val="2"/>
        </w:numPr>
        <w:spacing w:before="40" w:after="40"/>
      </w:pPr>
      <w:r>
        <w:rPr>
          <w:rFonts w:ascii="Arial" w:cs="Arial" w:eastAsia="Arial" w:hAnsi="Arial"/>
          <w:b w:val="false"/>
          <w:bCs w:val="false"/>
          <w:color w:val="444444"/>
          <w:sz w:val="20"/>
          <w:szCs w:val="20"/>
        </w:rPr>
        <w:t xml:space="preserve">Claim 6 (BYO Agnostic): A multi-agent coordination system that accepts pluggable LLM providers, wallet credentials, and identity systems via a standardized wrapper interface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7 (Solana Stub): The system of Claim 1 further comprising cross-chain compatibility stubs enabling deployment on EVM-compatible and non-EVM blockchain networks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8 (CRE Application): Application of Claims 1-4 to commercial real estate underwriting, wherein agent nodes perform DCF analysis, BFT consensus on cap rate estimation, and ZKP-gated deal matching</w:t>
      </w:r>
    </w:p>
    <w:p>
      <w:r>
        <w:t xml:space="preserve"/>
      </w:r>
    </w:p>
    <w:p>
      <w:pPr>
        <w:spacing w:before="180" w:after="60"/>
      </w:pPr>
      <w:r>
        <w:rPr>
          <w:rFonts w:ascii="Arial" w:cs="Arial" w:eastAsia="Arial" w:hAnsi="Arial"/>
          <w:b/>
          <w:bCs/>
          <w:color w:val="C9A84C"/>
          <w:sz w:val="22"/>
          <w:szCs w:val="22"/>
        </w:rPr>
        <w:t xml:space="preserve">Overlap Risk / Strategic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20"/>
              <w:bottom w:type="dxa" w:w="140"/>
              <w:right w:type="dxa" w:w="220"/>
            </w:tcMar>
          </w:tcPr>
          <w:p>
            <w:pPr>
              <w:spacing w:before="0" w:after="40"/>
            </w:pPr>
            <w:r>
              <w:rPr>
                <w:rFonts w:ascii="Arial" w:cs="Arial" w:eastAsia="Arial" w:hAnsi="Arial"/>
                <w:b/>
                <w:bCs/>
                <w:color w:val="7A4F00"/>
                <w:sz w:val="19"/>
                <w:szCs w:val="19"/>
              </w:rPr>
              <w:t xml:space="preserve">⚠️  OVERLAP WITH P-005 (BFT) and P-004 (ANFIS)</w:t>
            </w:r>
          </w:p>
          <w:p>
            <w:pPr>
              <w:spacing w:before="40" w:after="40"/>
            </w:pPr>
            <w:r>
              <w:rPr>
                <w:rFonts w:ascii="Arial" w:cs="Arial" w:eastAsia="Arial" w:hAnsi="Arial"/>
                <w:b w:val="false"/>
                <w:bCs w:val="false"/>
                <w:color w:val="444444"/>
                <w:sz w:val="20"/>
                <w:szCs w:val="20"/>
              </w:rPr>
              <w:t xml:space="preserve">The HyperDAG routing and the ANFIS routing are related but distinct: HyperDAG is the structural DAG architecture; ANFIS is the fuzzy inference routing within it. Keep separate. Claim 2 in P-002 should NOT describe ANFIS mechanics — those belong in P-004.</w:t>
            </w:r>
          </w:p>
          <w:p>
            <w:pPr>
              <w:spacing w:before="40" w:after="40"/>
            </w:pPr>
            <w:r>
              <w:rPr>
                <w:rFonts w:ascii="Arial" w:cs="Arial" w:eastAsia="Arial" w:hAnsi="Arial"/>
                <w:b w:val="false"/>
                <w:bCs w:val="false"/>
                <w:color w:val="444444"/>
                <w:sz w:val="20"/>
                <w:szCs w:val="20"/>
              </w:rPr>
              <w:t xml:space="preserve">The ZKP reputation claims here should be broader/architectural. The specific RepID-gated payment formula belongs in P-011.</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P-004  </w:t>
            </w:r>
            <w:r>
              <w:rPr>
                <w:rFonts w:ascii="Arial" w:cs="Arial" w:eastAsia="Arial" w:hAnsi="Arial"/>
                <w:b/>
                <w:bCs/>
                <w:color w:val="FFFFFF"/>
                <w:sz w:val="28"/>
                <w:szCs w:val="28"/>
              </w:rPr>
              <w:t xml:space="preserve">ANFIS Intelligent LLM Routing + Latency as Opportunity Pattern (LAOP)</w:t>
            </w:r>
          </w:p>
          <w:p>
            <w:pPr>
              <w:spacing w:before="60"/>
            </w:pPr>
            <w:r>
              <w:rPr>
                <w:rFonts w:ascii="Arial" w:cs="Arial" w:eastAsia="Arial" w:hAnsi="Arial"/>
                <w:b/>
                <w:bCs/>
                <w:color w:val="AACCEE"/>
                <w:sz w:val="19"/>
                <w:szCs w:val="19"/>
              </w:rPr>
              <w:t xml:space="preserve">Status: </w:t>
            </w:r>
            <w:r>
              <w:rPr>
                <w:rFonts w:ascii="Arial" w:cs="Arial" w:eastAsia="Arial" w:hAnsi="Arial"/>
                <w:b/>
                <w:bCs/>
                <w:color w:val="FFCC44"/>
                <w:sz w:val="19"/>
                <w:szCs w:val="19"/>
              </w:rPr>
              <w:t xml:space="preserve">FILED Aug 2025</w:t>
            </w:r>
            <w:r>
              <w:rPr>
                <w:rFonts w:ascii="Arial" w:cs="Arial" w:eastAsia="Arial" w:hAnsi="Arial"/>
                <w:color w:val="AACCEE"/>
                <w:sz w:val="19"/>
                <w:szCs w:val="19"/>
              </w:rPr>
              <w:t xml:space="preserve">   |   Deadline: Non-Provisional: TBD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Full Title (Grok v2)</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Latency as Opportunity Pattern (LAOP) Integrated with Tiered Multi-Agent Wisdom Synthesis Engine for Personalized, Auditable AI Responses with Hybrid ZKP and BYO Agnostic Trust Layer</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Core Novel Combination</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ANFIS fuzzy inference for LLM cost routing + LAOP (using inference latency for Socratic engagement) + tiered wisdom synthesis + BYO credential wrapper</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Proven Metric</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72.5% LLM cost reduction routing 80% of volume to utility tier (~$0.27/M tokens vs frontier ~$2.75/M)</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Product Lines</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AI Trinity Symphony · TrustShell · TrustRails · NEXUS CRE</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Key Formula</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f(x) = Σᵢ wᵢ·fᵢ(x)/Σᵢwᵢ where wᵢ = Πⱼ μ_Aᵢⱼ(xⱼ) — generalized bell membership functions</w:t>
            </w:r>
          </w:p>
        </w:tc>
      </w:tr>
    </w:tbl>
    <w:p>
      <w:r>
        <w:t xml:space="preserve"/>
      </w:r>
    </w:p>
    <w:p>
      <w:pPr>
        <w:spacing w:before="180" w:after="60"/>
      </w:pPr>
      <w:r>
        <w:rPr>
          <w:rFonts w:ascii="Arial" w:cs="Arial" w:eastAsia="Arial" w:hAnsi="Arial"/>
          <w:b/>
          <w:bCs/>
          <w:color w:val="C9A84C"/>
          <w:sz w:val="22"/>
          <w:szCs w:val="22"/>
        </w:rPr>
        <w:t xml:space="preserve">Reconstructed Claims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(Broad — System): An AI routing system using an Adaptive Neuro-Fuzzy Inference System (ANFIS) to dynamically select among multiple LLM providers based on task complexity, required accuracy, output type, and cost constraints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(LAOP): A method of using inference latency as a productive opportunity by simultaneously generating a Socratic engagement question for the user while background processing completes on a higher-capability model tier</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(Tiered Routing): A three-tier routing method comprising: Tier 1 (fast/low-cost models for simple tasks), Tier 2 (mid-tier for analysis), Tier 3 (frontier models for audit and high-stakes verification)</w:t>
      </w:r>
    </w:p>
    <w:p>
      <w:pPr>
        <w:pStyle w:val="ListParagraph"/>
        <w:numPr>
          <w:ilvl w:val="0"/>
          <w:numId w:val="2"/>
        </w:numPr>
        <w:spacing w:before="40" w:after="40"/>
      </w:pPr>
      <w:r>
        <w:rPr>
          <w:rFonts w:ascii="Arial" w:cs="Arial" w:eastAsia="Arial" w:hAnsi="Arial"/>
          <w:b w:val="false"/>
          <w:bCs w:val="false"/>
          <w:color w:val="444444"/>
          <w:sz w:val="20"/>
          <w:szCs w:val="20"/>
        </w:rPr>
        <w:t xml:space="preserve">Claim 4 (Cost Arbitrage): The system of Claim 1 wherein routing decisions achieve at least 60% cost reduction versus always-frontier routing while maintaining measurable accuracy equivalence on a defined task distribution</w:t>
      </w:r>
    </w:p>
    <w:p>
      <w:pPr>
        <w:pStyle w:val="ListParagraph"/>
        <w:numPr>
          <w:ilvl w:val="0"/>
          <w:numId w:val="2"/>
        </w:numPr>
        <w:spacing w:before="40" w:after="40"/>
      </w:pPr>
      <w:r>
        <w:rPr>
          <w:rFonts w:ascii="Arial" w:cs="Arial" w:eastAsia="Arial" w:hAnsi="Arial"/>
          <w:b w:val="false"/>
          <w:bCs w:val="false"/>
          <w:color w:val="444444"/>
          <w:sz w:val="20"/>
          <w:szCs w:val="20"/>
        </w:rPr>
        <w:t xml:space="preserve">Claim 5 (φ Scaling): A routing weight stabilization method using the golden ratio φ = 1.61803398875 as a scaling factor in the multiplicative convolutional layer, ensuring routing weights remain in a stable attractor basin</w:t>
      </w:r>
    </w:p>
    <w:p>
      <w:pPr>
        <w:pStyle w:val="ListParagraph"/>
        <w:numPr>
          <w:ilvl w:val="0"/>
          <w:numId w:val="2"/>
        </w:numPr>
        <w:spacing w:before="40" w:after="40"/>
      </w:pPr>
      <w:r>
        <w:rPr>
          <w:rFonts w:ascii="Arial" w:cs="Arial" w:eastAsia="Arial" w:hAnsi="Arial"/>
          <w:b w:val="false"/>
          <w:bCs w:val="false"/>
          <w:color w:val="444444"/>
          <w:sz w:val="20"/>
          <w:szCs w:val="20"/>
        </w:rPr>
        <w:t xml:space="preserve">Claim 6 (Wisdom Tiers): A multi-tier wisdom synthesis method comprising: individual agent outputs, BFT consensus layer, and SHOFET arbitration veto, wherein higher tiers are invoked based on ANFIS-scored task risk</w:t>
      </w:r>
    </w:p>
    <w:p>
      <w:pPr>
        <w:pStyle w:val="ListParagraph"/>
        <w:numPr>
          <w:ilvl w:val="0"/>
          <w:numId w:val="2"/>
        </w:numPr>
        <w:spacing w:before="40" w:after="40"/>
      </w:pPr>
      <w:r>
        <w:rPr>
          <w:rFonts w:ascii="Arial" w:cs="Arial" w:eastAsia="Arial" w:hAnsi="Arial"/>
          <w:b w:val="false"/>
          <w:bCs w:val="false"/>
          <w:color w:val="444444"/>
          <w:sz w:val="20"/>
          <w:szCs w:val="20"/>
        </w:rPr>
        <w:t xml:space="preserve">Claim 7 (BYO Agnostic): The system of Claim 1 further comprising a credential abstraction layer enabling any LLM API key, wallet address, or identity credential to be substituted without modifying core routing logic</w:t>
      </w:r>
    </w:p>
    <w:p>
      <w:pPr>
        <w:pStyle w:val="ListParagraph"/>
        <w:numPr>
          <w:ilvl w:val="0"/>
          <w:numId w:val="2"/>
        </w:numPr>
        <w:spacing w:before="40" w:after="40"/>
      </w:pPr>
      <w:r>
        <w:rPr>
          <w:rFonts w:ascii="Arial" w:cs="Arial" w:eastAsia="Arial" w:hAnsi="Arial"/>
          <w:b w:val="false"/>
          <w:bCs w:val="false"/>
          <w:color w:val="444444"/>
          <w:sz w:val="20"/>
          <w:szCs w:val="20"/>
        </w:rPr>
        <w:t xml:space="preserve">Claim 8 (Audit Trail): A method of generating a provenance record for each routed LLM call comprising: provider selected, routing score, task type, output hash, and timestamp stored in an immutable audit log</w:t>
      </w:r>
    </w:p>
    <w:p>
      <w:r>
        <w:t xml:space="preserve"/>
      </w:r>
    </w:p>
    <w:p>
      <w:pPr>
        <w:spacing w:before="180" w:after="60"/>
      </w:pPr>
      <w:r>
        <w:rPr>
          <w:rFonts w:ascii="Arial" w:cs="Arial" w:eastAsia="Arial" w:hAnsi="Arial"/>
          <w:b/>
          <w:bCs/>
          <w:color w:val="C9A84C"/>
          <w:sz w:val="22"/>
          <w:szCs w:val="22"/>
        </w:rPr>
        <w:t xml:space="preserve">Overlap Risk / Strategic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20"/>
              <w:bottom w:type="dxa" w:w="140"/>
              <w:right w:type="dxa" w:w="220"/>
            </w:tcMar>
          </w:tcPr>
          <w:p>
            <w:pPr>
              <w:spacing w:before="0" w:after="40"/>
            </w:pPr>
            <w:r>
              <w:rPr>
                <w:rFonts w:ascii="Arial" w:cs="Arial" w:eastAsia="Arial" w:hAnsi="Arial"/>
                <w:b/>
                <w:bCs/>
                <w:color w:val="1A6B3C"/>
                <w:sz w:val="19"/>
                <w:szCs w:val="19"/>
              </w:rPr>
              <w:t xml:space="preserve">LAOP is the most unique claim in this patent — protect it carefully.</w:t>
            </w:r>
          </w:p>
          <w:p>
            <w:pPr>
              <w:spacing w:before="40" w:after="40"/>
            </w:pPr>
            <w:r>
              <w:rPr>
                <w:rFonts w:ascii="Arial" w:cs="Arial" w:eastAsia="Arial" w:hAnsi="Arial"/>
                <w:b w:val="false"/>
                <w:bCs w:val="false"/>
                <w:color w:val="444444"/>
                <w:sz w:val="20"/>
                <w:szCs w:val="20"/>
              </w:rPr>
              <w:t xml:space="preserve">No prior art for 'use latency as an opportunity for Socratic engagement while processing continues.' This is genuinely novel.</w:t>
            </w:r>
          </w:p>
          <w:p>
            <w:pPr>
              <w:spacing w:before="40" w:after="40"/>
            </w:pPr>
            <w:r>
              <w:rPr>
                <w:rFonts w:ascii="Arial" w:cs="Arial" w:eastAsia="Arial" w:hAnsi="Arial"/>
                <w:b w:val="false"/>
                <w:bCs w:val="false"/>
                <w:color w:val="7A4F00"/>
                <w:sz w:val="20"/>
                <w:szCs w:val="20"/>
              </w:rPr>
              <w:t xml:space="preserve">⚠️  Do NOT describe the specific ANFIS formula parameters (c, a, b values for membership functions) in public docs until this non-provisional is filed. The formula in the NEXUS CRE doc should not be publicly distributed.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P-005  </w:t>
            </w:r>
            <w:r>
              <w:rPr>
                <w:rFonts w:ascii="Arial" w:cs="Arial" w:eastAsia="Arial" w:hAnsi="Arial"/>
                <w:b/>
                <w:bCs/>
                <w:color w:val="FFFFFF"/>
                <w:sz w:val="28"/>
                <w:szCs w:val="28"/>
              </w:rPr>
              <w:t xml:space="preserve">BFT φ-Weighted Consensus with Pythagorean Comma Veto Override</w:t>
            </w:r>
          </w:p>
          <w:p>
            <w:pPr>
              <w:spacing w:before="60"/>
            </w:pPr>
            <w:r>
              <w:rPr>
                <w:rFonts w:ascii="Arial" w:cs="Arial" w:eastAsia="Arial" w:hAnsi="Arial"/>
                <w:b/>
                <w:bCs/>
                <w:color w:val="AACCEE"/>
                <w:sz w:val="19"/>
                <w:szCs w:val="19"/>
              </w:rPr>
              <w:t xml:space="preserve">Status: </w:t>
            </w:r>
            <w:r>
              <w:rPr>
                <w:rFonts w:ascii="Arial" w:cs="Arial" w:eastAsia="Arial" w:hAnsi="Arial"/>
                <w:b/>
                <w:bCs/>
                <w:color w:val="FFCC44"/>
                <w:sz w:val="19"/>
                <w:szCs w:val="19"/>
              </w:rPr>
              <w:t xml:space="preserve">FILED Aug 2025</w:t>
            </w:r>
            <w:r>
              <w:rPr>
                <w:rFonts w:ascii="Arial" w:cs="Arial" w:eastAsia="Arial" w:hAnsi="Arial"/>
                <w:color w:val="AACCEE"/>
                <w:sz w:val="19"/>
                <w:szCs w:val="19"/>
              </w:rPr>
              <w:t xml:space="preserve">   |   Deadline: Non-Provisional: TBD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Core Novel Combination</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Standard BFT + golden ratio virtue weighting + Pythagorean Comma hard-gate veto that overrides majority consensus when minority confidence &gt; 0.85</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Key Math</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n ≥ 3f + 1; VETO iff dissent(aᵢ) ∧ confidence(aᵢ) &gt; θ_veto = 0.85; protects against confident-minority suppression</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Product Lines</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AI Trinity Symphony · TrustRails · NEXUS CRE · TrustSquad</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Named For</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The Pythagorean comma — the harmonic rounding error that compounds catastrophically. The veto prevents analogous AI errors.</w:t>
            </w:r>
          </w:p>
        </w:tc>
      </w:tr>
    </w:tbl>
    <w:p>
      <w:r>
        <w:t xml:space="preserve"/>
      </w:r>
    </w:p>
    <w:p>
      <w:pPr>
        <w:spacing w:before="180" w:after="60"/>
      </w:pPr>
      <w:r>
        <w:rPr>
          <w:rFonts w:ascii="Arial" w:cs="Arial" w:eastAsia="Arial" w:hAnsi="Arial"/>
          <w:b/>
          <w:bCs/>
          <w:color w:val="C9A84C"/>
          <w:sz w:val="22"/>
          <w:szCs w:val="22"/>
        </w:rPr>
        <w:t xml:space="preserve">Reconstructed Claims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(Broad — Method): A Byzantine Fault Tolerant consensus method for multi-agent AI systems wherein agent votes are weighted by virtue scores derived from historical performance metrics including accuracy, honesty, and calibration</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(Veto Override): A consensus override mechanism wherein a dissenting agent with confidence score exceeding a threshold θ (default 0.85) triggers a hard veto that blocks consensus output regardless of majority vote count</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(φ Weighting): The method of Claim 1 wherein virtue weight calculations incorporate the golden ratio φ = 1.61803398875 as a scaling factor, producing non-linear reputation compounding</w:t>
      </w:r>
    </w:p>
    <w:p>
      <w:pPr>
        <w:pStyle w:val="ListParagraph"/>
        <w:numPr>
          <w:ilvl w:val="0"/>
          <w:numId w:val="2"/>
        </w:numPr>
        <w:spacing w:before="40" w:after="40"/>
      </w:pPr>
      <w:r>
        <w:rPr>
          <w:rFonts w:ascii="Arial" w:cs="Arial" w:eastAsia="Arial" w:hAnsi="Arial"/>
          <w:b w:val="false"/>
          <w:bCs w:val="false"/>
          <w:color w:val="444444"/>
          <w:sz w:val="20"/>
          <w:szCs w:val="20"/>
        </w:rPr>
        <w:t xml:space="preserve">Claim 4 (HITL Escalation): The system of Claims 1-2 wherein a triggered veto escalates to human-in-the-loop review rather than suppressing the dissenting output, preventing confident-minority error suppression</w:t>
      </w:r>
    </w:p>
    <w:p>
      <w:pPr>
        <w:pStyle w:val="ListParagraph"/>
        <w:numPr>
          <w:ilvl w:val="0"/>
          <w:numId w:val="2"/>
        </w:numPr>
        <w:spacing w:before="40" w:after="40"/>
      </w:pPr>
      <w:r>
        <w:rPr>
          <w:rFonts w:ascii="Arial" w:cs="Arial" w:eastAsia="Arial" w:hAnsi="Arial"/>
          <w:b w:val="false"/>
          <w:bCs w:val="false"/>
          <w:color w:val="444444"/>
          <w:sz w:val="20"/>
          <w:szCs w:val="20"/>
        </w:rPr>
        <w:t xml:space="preserve">Claim 5 (KL Divergence): A method of detecting agent behavioral drift using KL-divergence between an agent's current output distribution and its historical baseline, triggering veto when divergence exceeds a defined threshold</w:t>
      </w:r>
    </w:p>
    <w:p>
      <w:pPr>
        <w:pStyle w:val="ListParagraph"/>
        <w:numPr>
          <w:ilvl w:val="0"/>
          <w:numId w:val="2"/>
        </w:numPr>
        <w:spacing w:before="40" w:after="40"/>
      </w:pPr>
      <w:r>
        <w:rPr>
          <w:rFonts w:ascii="Arial" w:cs="Arial" w:eastAsia="Arial" w:hAnsi="Arial"/>
          <w:b w:val="false"/>
          <w:bCs w:val="false"/>
          <w:color w:val="444444"/>
          <w:sz w:val="20"/>
          <w:szCs w:val="20"/>
        </w:rPr>
        <w:t xml:space="preserve">Claim 6 (On-Chain Validation): The method of Claim 2 wherein a veto trigger event generates a ValidationRequest transaction on an ERC-8004 compatible smart contract, creating a tamper-proof on-chain record of the veto event</w:t>
      </w:r>
    </w:p>
    <w:p>
      <w:pPr>
        <w:pStyle w:val="ListParagraph"/>
        <w:numPr>
          <w:ilvl w:val="0"/>
          <w:numId w:val="2"/>
        </w:numPr>
        <w:spacing w:before="40" w:after="40"/>
      </w:pPr>
      <w:r>
        <w:rPr>
          <w:rFonts w:ascii="Arial" w:cs="Arial" w:eastAsia="Arial" w:hAnsi="Arial"/>
          <w:b w:val="false"/>
          <w:bCs w:val="false"/>
          <w:color w:val="444444"/>
          <w:sz w:val="20"/>
          <w:szCs w:val="20"/>
        </w:rPr>
        <w:t xml:space="preserve">Claim 7 (Trading Application): Application of Claims 1-4 to autonomous trading systems wherein BFT consensus gates trade execution and veto prevents autonomous execution of flagged anomalous signals</w:t>
      </w:r>
    </w:p>
    <w:p>
      <w:r>
        <w:t xml:space="preserve"/>
      </w:r>
    </w:p>
    <w:p>
      <w:pPr>
        <w:spacing w:before="180" w:after="60"/>
      </w:pPr>
      <w:r>
        <w:rPr>
          <w:rFonts w:ascii="Arial" w:cs="Arial" w:eastAsia="Arial" w:hAnsi="Arial"/>
          <w:b/>
          <w:bCs/>
          <w:color w:val="C9A84C"/>
          <w:sz w:val="22"/>
          <w:szCs w:val="22"/>
        </w:rPr>
        <w:t xml:space="preserve">Overlap Risk / Strategic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0F0" w:val="clear"/>
            <w:tcMar>
              <w:top w:type="dxa" w:w="140"/>
              <w:left w:type="dxa" w:w="220"/>
              <w:bottom w:type="dxa" w:w="140"/>
              <w:right w:type="dxa" w:w="220"/>
            </w:tcMar>
          </w:tcPr>
          <w:p>
            <w:pPr>
              <w:spacing w:before="0" w:after="40"/>
            </w:pPr>
            <w:r>
              <w:rPr>
                <w:rFonts w:ascii="Arial" w:cs="Arial" w:eastAsia="Arial" w:hAnsi="Arial"/>
                <w:b/>
                <w:bCs/>
                <w:color w:val="8B1A1A"/>
                <w:sz w:val="19"/>
                <w:szCs w:val="19"/>
              </w:rPr>
              <w:t xml:space="preserve">P-005 and P-009 (Pythagorean Comma) may overlap — STRATEGIC DECISION NEEDED.</w:t>
            </w:r>
          </w:p>
          <w:p>
            <w:pPr>
              <w:spacing w:before="40" w:after="40"/>
            </w:pPr>
            <w:r>
              <w:rPr>
                <w:rFonts w:ascii="Arial" w:cs="Arial" w:eastAsia="Arial" w:hAnsi="Arial"/>
                <w:b w:val="false"/>
                <w:bCs w:val="false"/>
                <w:color w:val="444444"/>
                <w:sz w:val="20"/>
                <w:szCs w:val="20"/>
              </w:rPr>
              <w:t xml:space="preserve">Option A: Keep separate. P-005 = the BFT system with veto. P-009 = the specific Pythagorean Comma mathematical drift detection method. Different enough to be separate.</w:t>
            </w:r>
          </w:p>
          <w:p>
            <w:pPr>
              <w:spacing w:before="40" w:after="40"/>
            </w:pPr>
            <w:r>
              <w:rPr>
                <w:rFonts w:ascii="Arial" w:cs="Arial" w:eastAsia="Arial" w:hAnsi="Arial"/>
                <w:b w:val="false"/>
                <w:bCs w:val="false"/>
                <w:color w:val="444444"/>
                <w:sz w:val="20"/>
                <w:szCs w:val="20"/>
              </w:rPr>
              <w:t xml:space="preserve">Option B: Consolidate into one patent. P-009 becomes dependent claims of P-005. Simpler portfolio, slightly less protection.</w:t>
            </w:r>
          </w:p>
          <w:p>
            <w:pPr>
              <w:spacing w:before="40" w:after="40"/>
            </w:pPr>
            <w:r>
              <w:rPr>
                <w:rFonts w:ascii="Arial" w:cs="Arial" w:eastAsia="Arial" w:hAnsi="Arial"/>
                <w:b/>
                <w:bCs/>
                <w:color w:val="1A6B3C"/>
                <w:sz w:val="20"/>
                <w:szCs w:val="20"/>
              </w:rPr>
              <w:t xml:space="preserve">RECOMMENDATION: Keep separate. The veto threshold mechanism (P-005) and the drift detection formula (P-009) are independently licensable methods. Separate patents = separate revenue streams.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P-009  </w:t>
            </w:r>
            <w:r>
              <w:rPr>
                <w:rFonts w:ascii="Arial" w:cs="Arial" w:eastAsia="Arial" w:hAnsi="Arial"/>
                <w:b/>
                <w:bCs/>
                <w:color w:val="FFFFFF"/>
                <w:sz w:val="28"/>
                <w:szCs w:val="28"/>
              </w:rPr>
              <w:t xml:space="preserve">Pythagorean Comma Mathematical Drift Detection for AI Agents</w:t>
            </w:r>
          </w:p>
          <w:p>
            <w:pPr>
              <w:spacing w:before="60"/>
            </w:pPr>
            <w:r>
              <w:rPr>
                <w:rFonts w:ascii="Arial" w:cs="Arial" w:eastAsia="Arial" w:hAnsi="Arial"/>
                <w:b/>
                <w:bCs/>
                <w:color w:val="AACCEE"/>
                <w:sz w:val="19"/>
                <w:szCs w:val="19"/>
              </w:rPr>
              <w:t xml:space="preserve">Status: </w:t>
            </w:r>
            <w:r>
              <w:rPr>
                <w:rFonts w:ascii="Arial" w:cs="Arial" w:eastAsia="Arial" w:hAnsi="Arial"/>
                <w:b/>
                <w:bCs/>
                <w:color w:val="FFCC44"/>
                <w:sz w:val="19"/>
                <w:szCs w:val="19"/>
              </w:rPr>
              <w:t xml:space="preserve">FILED Aug 2025</w:t>
            </w:r>
            <w:r>
              <w:rPr>
                <w:rFonts w:ascii="Arial" w:cs="Arial" w:eastAsia="Arial" w:hAnsi="Arial"/>
                <w:color w:val="AACCEE"/>
                <w:sz w:val="19"/>
                <w:szCs w:val="19"/>
              </w:rPr>
              <w:t xml:space="preserve">   |   Deadline: Non-Provisional: TBD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Core Novel Idea</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Using the Pythagorean comma (the harmonic 'rounding error' in music theory) as an analogy and mathematical basis for detecting AI agent output drift before it compounds catastrophically</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Key Method</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Measure harmonic divergence gap between agent signal and baseline; if gap exceeds 0.85 confidence threshold, fire hard veto regardless of majority consensus</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Product Lines</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AI Trinity Symphony · VERITAS agent · TrustRails</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Demo Evidence</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Live on Base Sepolia — ValidationRequest fires when VERITAS detects drift. Hackathon reduction-to-practice.</w:t>
            </w:r>
          </w:p>
        </w:tc>
      </w:tr>
    </w:tbl>
    <w:p>
      <w:r>
        <w:t xml:space="preserve"/>
      </w:r>
    </w:p>
    <w:p>
      <w:pPr>
        <w:spacing w:before="180" w:after="60"/>
      </w:pPr>
      <w:r>
        <w:rPr>
          <w:rFonts w:ascii="Arial" w:cs="Arial" w:eastAsia="Arial" w:hAnsi="Arial"/>
          <w:b/>
          <w:bCs/>
          <w:color w:val="C9A84C"/>
          <w:sz w:val="22"/>
          <w:szCs w:val="22"/>
        </w:rPr>
        <w:t xml:space="preserve">Reconstructed Claims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(Broad — Method): A method of detecting output drift in AI language models by measuring the divergence between consecutive outputs using a harmonic gap metric analogous to the Pythagorean comma in musical tuning theory</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(Pre-Trade Gate): Application of Claim 1 to autonomous trading systems wherein detected drift triggers a hard gate preventing trade execution until human review is completed</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(KL-Divergence Implementation): The method of Claim 1 wherein the harmonic gap metric is computed as the KL-divergence between the probability distributions of an agent's current output and its established behavioral baseline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4 (Recursive Monitoring): A continuous monitoring method wherein VERITAS agent measures drift across multiple consecutive agent outputs, compounding detection sensitivity for gradual drift that single-measurement methods miss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5 (Identity Spoof Detection): Extension of Claim 1 to detect agent identity spoofing wherein an agent's outputs are compared against the registered behavioral profile of the claimed agent identity on an ERC-8004 compatible registry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P-011  </w:t>
            </w:r>
            <w:r>
              <w:rPr>
                <w:rFonts w:ascii="Arial" w:cs="Arial" w:eastAsia="Arial" w:hAnsi="Arial"/>
                <w:b/>
                <w:bCs/>
                <w:color w:val="FFFFFF"/>
                <w:sz w:val="28"/>
                <w:szCs w:val="28"/>
              </w:rPr>
              <w:t xml:space="preserve">RepID-Gated Payment Authorization for Autonomous AI Agents</w:t>
            </w:r>
          </w:p>
          <w:p>
            <w:pPr>
              <w:spacing w:before="60"/>
            </w:pPr>
            <w:r>
              <w:rPr>
                <w:rFonts w:ascii="Arial" w:cs="Arial" w:eastAsia="Arial" w:hAnsi="Arial"/>
                <w:b/>
                <w:bCs/>
                <w:color w:val="AACCEE"/>
                <w:sz w:val="19"/>
                <w:szCs w:val="19"/>
              </w:rPr>
              <w:t xml:space="preserve">Status: </w:t>
            </w:r>
            <w:r>
              <w:rPr>
                <w:rFonts w:ascii="Arial" w:cs="Arial" w:eastAsia="Arial" w:hAnsi="Arial"/>
                <w:b/>
                <w:bCs/>
                <w:color w:val="FFCC44"/>
                <w:sz w:val="19"/>
                <w:szCs w:val="19"/>
              </w:rPr>
              <w:t xml:space="preserve">FILED Aug 2025</w:t>
            </w:r>
            <w:r>
              <w:rPr>
                <w:rFonts w:ascii="Arial" w:cs="Arial" w:eastAsia="Arial" w:hAnsi="Arial"/>
                <w:color w:val="AACCEE"/>
                <w:sz w:val="19"/>
                <w:szCs w:val="19"/>
              </w:rPr>
              <w:t xml:space="preserve">   |   Deadline: Non-Provisional: TBD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Core Novel Idea</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Using an on-chain reputation score (RepID) as a dynamic authorization gate for AI agent payment execution — agents with higher reputation can execute larger transactions autonomously</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Key Formula</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T = floor(2000 × log₁₀(amount × 1000 + 1) × (1.5 − virtue_score))  [DO NOT PUBLISH PUBLICLY UNTIL NON-PROV FILED]</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Product Lines</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AI Trinity Symphony · TrustShell · TrustRails · TrustSquad</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Integration</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ERC-8004 Reputation Registry + x402 payment middleware + autonomy tier thresholds</w:t>
            </w:r>
          </w:p>
        </w:tc>
      </w:tr>
    </w:tbl>
    <w:p>
      <w:r>
        <w:t xml:space="preserve"/>
      </w:r>
    </w:p>
    <w:p>
      <w:pPr>
        <w:spacing w:before="180" w:after="60"/>
      </w:pPr>
      <w:r>
        <w:rPr>
          <w:rFonts w:ascii="Arial" w:cs="Arial" w:eastAsia="Arial" w:hAnsi="Arial"/>
          <w:b/>
          <w:bCs/>
          <w:color w:val="C9A84C"/>
          <w:sz w:val="22"/>
          <w:szCs w:val="22"/>
        </w:rPr>
        <w:t xml:space="preserve">Reconstructed Claims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(Broad — System): A payment authorization system for autonomous AI agents wherein transaction approval is conditioned on the agent's on-chain reputation score exceeding a dynamically calculated threshold based on transaction amount and risk parameters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(Autonomy Tiers): A three-tier autonomous execution framework comprising: JUST_DO_IT (high reputation, low value — fully autonomous), DO_THEN_TELL (medium — execute and notify), ASK_FIRST (low reputation or high value — require human approval)</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(Virtue Weighting): The system of Claim 1 wherein reputation scores are computed as a weighted combination of virtue metrics including accuracy, honesty, calibration, helpfulness, and harm avoidance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4 (Logarithmic Scaling): A payment threshold calculation method using logarithmic scaling of transaction amount to prevent disproportionate restriction of small payments while maintaining protection for large transactions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5 (ERC-8004 Integration): The system of Claims 1-3 wherein reputation scores are stored in and retrieved from an ERC-8004 compatible Reputation Registry smart contract on a public blockchain</w:t>
      </w:r>
    </w:p>
    <w:p>
      <w:pPr>
        <w:pStyle w:val="ListParagraph"/>
        <w:numPr>
          <w:ilvl w:val="0"/>
          <w:numId w:val="2"/>
        </w:numPr>
        <w:spacing w:before="40" w:after="40"/>
      </w:pPr>
      <w:r>
        <w:rPr>
          <w:rFonts w:ascii="Arial" w:cs="Arial" w:eastAsia="Arial" w:hAnsi="Arial"/>
          <w:b w:val="false"/>
          <w:bCs w:val="false"/>
          <w:color w:val="444444"/>
          <w:sz w:val="20"/>
          <w:szCs w:val="20"/>
        </w:rPr>
        <w:t xml:space="preserve">Claim 6 (x402 Integration): The system of Claim 1 wherein payment execution uses the x402 HTTP payment protocol, with reputation gate enforced at the middleware layer before the x402 payment request is transmitted</w:t>
      </w:r>
    </w:p>
    <w:p>
      <w:pPr>
        <w:pStyle w:val="ListParagraph"/>
        <w:numPr>
          <w:ilvl w:val="0"/>
          <w:numId w:val="2"/>
        </w:numPr>
        <w:spacing w:before="40" w:after="40"/>
      </w:pPr>
      <w:r>
        <w:rPr>
          <w:rFonts w:ascii="Arial" w:cs="Arial" w:eastAsia="Arial" w:hAnsi="Arial"/>
          <w:b w:val="false"/>
          <w:bCs w:val="false"/>
          <w:color w:val="444444"/>
          <w:sz w:val="20"/>
          <w:szCs w:val="20"/>
        </w:rPr>
        <w:t xml:space="preserve">Claim 7 (Feedback Loop): A method of updating agent reputation scores based on verified payment outcomes, wherein successful x402 settlement increments reputation and failed or disputed transactions trigger reputation review</w:t>
      </w:r>
    </w:p>
    <w:p>
      <w:r>
        <w:t xml:space="preserve"/>
      </w:r>
    </w:p>
    <w:p>
      <w:pPr>
        <w:spacing w:before="180" w:after="60"/>
      </w:pPr>
      <w:r>
        <w:rPr>
          <w:rFonts w:ascii="Arial" w:cs="Arial" w:eastAsia="Arial" w:hAnsi="Arial"/>
          <w:b/>
          <w:bCs/>
          <w:color w:val="C9A84C"/>
          <w:sz w:val="22"/>
          <w:szCs w:val="22"/>
        </w:rPr>
        <w:t xml:space="preserve">Overlap Risk / Strategic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0E0" w:val="clear"/>
            <w:tcMar>
              <w:top w:type="dxa" w:w="140"/>
              <w:left w:type="dxa" w:w="220"/>
              <w:bottom w:type="dxa" w:w="140"/>
              <w:right w:type="dxa" w:w="220"/>
            </w:tcMar>
          </w:tcPr>
          <w:p>
            <w:pPr>
              <w:spacing w:before="0" w:after="40"/>
            </w:pPr>
            <w:r>
              <w:rPr>
                <w:rFonts w:ascii="Arial" w:cs="Arial" w:eastAsia="Arial" w:hAnsi="Arial"/>
                <w:b/>
                <w:bCs/>
                <w:color w:val="8B1A1A"/>
                <w:sz w:val="19"/>
                <w:szCs w:val="19"/>
              </w:rPr>
              <w:t xml:space="preserve">⚠️  PATENT GATE: The T = floor(2000 × log₁₀...) formula must NOT appear verbatim in public README or demo video until non-provisional is filed.</w:t>
            </w:r>
          </w:p>
          <w:p>
            <w:pPr>
              <w:spacing w:before="40" w:after="40"/>
            </w:pPr>
            <w:r>
              <w:rPr>
                <w:rFonts w:ascii="Arial" w:cs="Arial" w:eastAsia="Arial" w:hAnsi="Arial"/>
                <w:b w:val="false"/>
                <w:bCs w:val="false"/>
                <w:color w:val="444444"/>
                <w:sz w:val="20"/>
                <w:szCs w:val="20"/>
              </w:rPr>
              <w:t xml:space="preserve">The method (reputation-gated payment) can be described conceptually. The specific formula is the patentable implementation detail.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P-012  </w:t>
            </w:r>
            <w:r>
              <w:rPr>
                <w:rFonts w:ascii="Arial" w:cs="Arial" w:eastAsia="Arial" w:hAnsi="Arial"/>
                <w:b/>
                <w:bCs/>
                <w:color w:val="FFFFFF"/>
                <w:sz w:val="28"/>
                <w:szCs w:val="28"/>
              </w:rPr>
              <w:t xml:space="preserve">NEXUS CRE Five-System Novel Combination Patent</w:t>
            </w:r>
          </w:p>
          <w:p>
            <w:pPr>
              <w:spacing w:before="60"/>
            </w:pPr>
            <w:r>
              <w:rPr>
                <w:rFonts w:ascii="Arial" w:cs="Arial" w:eastAsia="Arial" w:hAnsi="Arial"/>
                <w:b/>
                <w:bCs/>
                <w:color w:val="AACCEE"/>
                <w:sz w:val="19"/>
                <w:szCs w:val="19"/>
              </w:rPr>
              <w:t xml:space="preserve">Status: </w:t>
            </w:r>
            <w:r>
              <w:rPr>
                <w:rFonts w:ascii="Arial" w:cs="Arial" w:eastAsia="Arial" w:hAnsi="Arial"/>
                <w:b/>
                <w:bCs/>
                <w:color w:val="FFCC44"/>
                <w:sz w:val="19"/>
                <w:szCs w:val="19"/>
              </w:rPr>
              <w:t xml:space="preserve">FILED (date TBC)</w:t>
            </w:r>
            <w:r>
              <w:rPr>
                <w:rFonts w:ascii="Arial" w:cs="Arial" w:eastAsia="Arial" w:hAnsi="Arial"/>
                <w:color w:val="AACCEE"/>
                <w:sz w:val="19"/>
                <w:szCs w:val="19"/>
              </w:rPr>
              <w:t xml:space="preserve">   |   Deadline: Non-Provisional: TBD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Core Strategy</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Berkshire principle: individual components have prior art, the COMBINATION does not. This is the combination patent covering NEXUS CRE specifically.</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Five Systems Combined</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ANFIS routing + BFT consensus + GNN cap rate estimation + ZKP privacy + ERC-8004 agent identity — never previously combined in CRE underwriting</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Product Lines</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NEXUS CRE Intelligence · NMGDA</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Coverage Note</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This patent covers the CRE application. The underlying methods are covered by P-002, P-004, P-005 separately.</w:t>
            </w:r>
          </w:p>
        </w:tc>
      </w:tr>
    </w:tbl>
    <w:p>
      <w:r>
        <w:t xml:space="preserve"/>
      </w:r>
    </w:p>
    <w:p>
      <w:pPr>
        <w:spacing w:before="180" w:after="60"/>
      </w:pPr>
      <w:r>
        <w:rPr>
          <w:rFonts w:ascii="Arial" w:cs="Arial" w:eastAsia="Arial" w:hAnsi="Arial"/>
          <w:b/>
          <w:bCs/>
          <w:color w:val="C9A84C"/>
          <w:sz w:val="22"/>
          <w:szCs w:val="22"/>
        </w:rPr>
        <w:t xml:space="preserve">Reconstructed Claims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(Combination): A commercial real estate underwriting system combining: ANFIS-routed multi-agent LLM processing, Byzantine Fault Tolerant consensus on financial outputs, Graph Neural Network cap rate estimation from verified comparables, zero-knowledge proof privacy for deal matching, and on-chain agent identity via ERC-8004 — wherein the combination produces underwriting outputs in under 30 minutes with mathematical verification at each step</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(GNN Cap Rate): A cap rate estimation method using a Graph Neural Network trained on verified comparable transactions, wherein each property is a node, edges are weighted by semantic similarity, and node embeddings propagate via: h_v^(k) = σ(W^(k) · CONCAT(h_v^(k-1), AGG({h_u^(k-1): u ∈ N(v)})))</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(XIRR Dual-Path): A method of verifying commercial real estate IRR calculations by running dual independent XIRR computations and flagging divergence exceeding ε=1e-8 for human review</w:t>
      </w:r>
    </w:p>
    <w:p>
      <w:pPr>
        <w:pStyle w:val="ListParagraph"/>
        <w:numPr>
          <w:ilvl w:val="0"/>
          <w:numId w:val="2"/>
        </w:numPr>
        <w:spacing w:before="40" w:after="40"/>
      </w:pPr>
      <w:r>
        <w:rPr>
          <w:rFonts w:ascii="Arial" w:cs="Arial" w:eastAsia="Arial" w:hAnsi="Arial"/>
          <w:b w:val="false"/>
          <w:bCs w:val="false"/>
          <w:color w:val="444444"/>
          <w:sz w:val="20"/>
          <w:szCs w:val="20"/>
        </w:rPr>
        <w:t xml:space="preserve">Claim 4 (Markov Vacancy): A probabilistic NOI estimation method using Markov chain vacancy modeling with tenant-by-tenant state transitions, producing expected NOI distributions rather than single-point vacancy assumptions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5 (LASSO Sensitivity): A method of identifying material risk drivers in real estate DCF models using LASSO regression with L1 regularization, producing a sparse sensitivity ranking of inputs that actually drive IRR</w:t>
      </w:r>
    </w:p>
    <w:p>
      <w:pPr>
        <w:pStyle w:val="ListParagraph"/>
        <w:numPr>
          <w:ilvl w:val="0"/>
          <w:numId w:val="2"/>
        </w:numPr>
        <w:spacing w:before="40" w:after="40"/>
      </w:pPr>
      <w:r>
        <w:rPr>
          <w:rFonts w:ascii="Arial" w:cs="Arial" w:eastAsia="Arial" w:hAnsi="Arial"/>
          <w:b w:val="false"/>
          <w:bCs w:val="false"/>
          <w:color w:val="444444"/>
          <w:sz w:val="20"/>
          <w:szCs w:val="20"/>
        </w:rPr>
        <w:t xml:space="preserve">Claim 6 (ZK Deal Matching): A method of matching real estate deals to capital deployers using zero-knowledge proofs wherein both parties prove criteria compatibility without revealing identifying information until mutual consent</w:t>
      </w:r>
    </w:p>
    <w:p>
      <w:r>
        <w:t xml:space="preserve"/>
      </w:r>
    </w:p>
    <w:p>
      <w:r>
        <w:br w:type="page"/>
      </w:r>
    </w:p>
    <w:p>
      <w:pPr>
        <w:pBdr>
          <w:bottom w:val="single" w:color="C9A84C" w:sz="6" w:space="1"/>
        </w:pBdr>
        <w:spacing w:before="160" w:after="100"/>
      </w:pPr>
      <w:r>
        <w:rPr>
          <w:rFonts w:ascii="Arial" w:cs="Arial" w:eastAsia="Arial" w:hAnsi="Arial"/>
          <w:b/>
          <w:bCs/>
          <w:color w:val="1B2A4A"/>
          <w:sz w:val="36"/>
          <w:szCs w:val="36"/>
        </w:rPr>
        <w:t xml:space="preserve">SECTION 3 — Must File Before March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0E0" w:val="clear"/>
            <w:tcMar>
              <w:top w:type="dxa" w:w="140"/>
              <w:left w:type="dxa" w:w="220"/>
              <w:bottom w:type="dxa" w:w="140"/>
              <w:right w:type="dxa" w:w="220"/>
            </w:tcMar>
          </w:tcPr>
          <w:p>
            <w:pPr>
              <w:spacing w:before="0" w:after="40"/>
            </w:pPr>
            <w:r>
              <w:rPr>
                <w:rFonts w:ascii="Arial" w:cs="Arial" w:eastAsia="Arial" w:hAnsi="Arial"/>
                <w:b/>
                <w:bCs/>
                <w:color w:val="8B1A1A"/>
                <w:sz w:val="20"/>
                <w:szCs w:val="20"/>
              </w:rPr>
              <w:t xml:space="preserve">These four provisional applications must be filed BEFORE the hackathon submission on March 22.</w:t>
            </w:r>
          </w:p>
          <w:p>
            <w:pPr>
              <w:spacing w:before="40" w:after="40"/>
            </w:pPr>
            <w:r>
              <w:rPr>
                <w:rFonts w:ascii="Arial" w:cs="Arial" w:eastAsia="Arial" w:hAnsi="Arial"/>
                <w:b w:val="false"/>
                <w:bCs w:val="false"/>
                <w:color w:val="444444"/>
                <w:sz w:val="20"/>
                <w:szCs w:val="20"/>
              </w:rPr>
              <w:t xml:space="preserve">The hackathon video and README will publicly demonstrate these methods. Any method demonstrated without a filed provisional loses patent protection.</w:t>
            </w:r>
          </w:p>
          <w:p>
            <w:pPr>
              <w:spacing w:before="40" w:after="40"/>
            </w:pPr>
            <w:r>
              <w:rPr>
                <w:rFonts w:ascii="Arial" w:cs="Arial" w:eastAsia="Arial" w:hAnsi="Arial"/>
                <w:b w:val="false"/>
                <w:bCs w:val="false"/>
                <w:color w:val="444444"/>
                <w:sz w:val="20"/>
                <w:szCs w:val="20"/>
              </w:rPr>
              <w:t xml:space="preserve">Grok: all four can be filed as provisional applications. Provisionals do not require claims in the formal sense — a detailed technical description is sufficient to establish priority.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P-013  </w:t>
            </w:r>
            <w:r>
              <w:rPr>
                <w:rFonts w:ascii="Arial" w:cs="Arial" w:eastAsia="Arial" w:hAnsi="Arial"/>
                <w:b/>
                <w:bCs/>
                <w:color w:val="FFFFFF"/>
                <w:sz w:val="28"/>
                <w:szCs w:val="28"/>
              </w:rPr>
              <w:t xml:space="preserve">DBT→SBT Human Accountability Chain for AI Agent Governance</w:t>
            </w:r>
          </w:p>
          <w:p>
            <w:pPr>
              <w:spacing w:before="60"/>
            </w:pPr>
            <w:r>
              <w:rPr>
                <w:rFonts w:ascii="Arial" w:cs="Arial" w:eastAsia="Arial" w:hAnsi="Arial"/>
                <w:b/>
                <w:bCs/>
                <w:color w:val="AACCEE"/>
                <w:sz w:val="19"/>
                <w:szCs w:val="19"/>
              </w:rPr>
              <w:t xml:space="preserve">Status: </w:t>
            </w:r>
            <w:r>
              <w:rPr>
                <w:rFonts w:ascii="Arial" w:cs="Arial" w:eastAsia="Arial" w:hAnsi="Arial"/>
                <w:b/>
                <w:bCs/>
                <w:color w:val="FF6666"/>
                <w:sz w:val="19"/>
                <w:szCs w:val="19"/>
              </w:rPr>
              <w:t xml:space="preserve">NEEDS FILING</w:t>
            </w:r>
            <w:r>
              <w:rPr>
                <w:rFonts w:ascii="Arial" w:cs="Arial" w:eastAsia="Arial" w:hAnsi="Arial"/>
                <w:color w:val="AACCEE"/>
                <w:sz w:val="19"/>
                <w:szCs w:val="19"/>
              </w:rPr>
              <w:t xml:space="preserve">   |   Deadline: Before March 22, 2026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Core Novel Idea</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 system that gates AI agent autonomous spending authority on ZKP-verified human legal status — agent Delegated Bound Tokens convert to Human Soulbound Tokens only after 4FA + legal classifier verification</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Regulatory Pre-Compliance</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EU AI Act (2026), US AI EO, FATF AML/KYC for AI payments — this architecture is pre-compliant with anticipated requirements</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Key Innovation</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ZKP proof of legal status (age &gt;18, non-sanctioned) without revealing personal data — agent cannot act beyond human principal's verified scope</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Product Lines</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TrustShell · TrustRails · TrustSquad · AI Trinity Symphony</w:t>
            </w:r>
          </w:p>
        </w:tc>
      </w:tr>
    </w:tbl>
    <w:p>
      <w:r>
        <w:t xml:space="preserve"/>
      </w:r>
    </w:p>
    <w:p>
      <w:pPr>
        <w:spacing w:before="180" w:after="60"/>
      </w:pPr>
      <w:r>
        <w:rPr>
          <w:rFonts w:ascii="Arial" w:cs="Arial" w:eastAsia="Arial" w:hAnsi="Arial"/>
          <w:b/>
          <w:bCs/>
          <w:color w:val="C9A84C"/>
          <w:sz w:val="22"/>
          <w:szCs w:val="22"/>
        </w:rPr>
        <w:t xml:space="preserve">Claims to File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(Broad — System): A system for enforcing human accountability in autonomous AI agent actions wherein each agent's Delegated Bound Token (DBT) is cryptographically linked to a verified human Soulbound Token (SBT) via zero-knowledge proof, and agent spending authority is scoped to the human principal's verified legal status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(4FA Conversion): A method of converting an agent DBT to a human-verified SBT requiring four-factor authentication comprising: biometric verification, hardware device attestation, knowledge factor, and geolocation check</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(ZKP Legal Proof): A method of proving an AI agent's human principal satisfies legal requirements (minimum age, non-sanctioned nationality, non-incarcerated status) using zero-knowledge proofs that verify compliance without revealing the underlying personal data</w:t>
      </w:r>
    </w:p>
    <w:p>
      <w:pPr>
        <w:pStyle w:val="ListParagraph"/>
        <w:numPr>
          <w:ilvl w:val="0"/>
          <w:numId w:val="2"/>
        </w:numPr>
        <w:spacing w:before="40" w:after="40"/>
      </w:pPr>
      <w:r>
        <w:rPr>
          <w:rFonts w:ascii="Arial" w:cs="Arial" w:eastAsia="Arial" w:hAnsi="Arial"/>
          <w:b w:val="false"/>
          <w:bCs w:val="false"/>
          <w:color w:val="444444"/>
          <w:sz w:val="20"/>
          <w:szCs w:val="20"/>
        </w:rPr>
        <w:t xml:space="preserve">Claim 4 (Oracle Integration): The system of Claim 3 wherein legal status verification uses on-chain oracle data from sanctions lists (e.g., OFAC) and public records, with ZKP proof generated from oracle-provided data</w:t>
      </w:r>
    </w:p>
    <w:p>
      <w:pPr>
        <w:pStyle w:val="ListParagraph"/>
        <w:numPr>
          <w:ilvl w:val="0"/>
          <w:numId w:val="2"/>
        </w:numPr>
        <w:spacing w:before="40" w:after="40"/>
      </w:pPr>
      <w:r>
        <w:rPr>
          <w:rFonts w:ascii="Arial" w:cs="Arial" w:eastAsia="Arial" w:hAnsi="Arial"/>
          <w:b w:val="false"/>
          <w:bCs w:val="false"/>
          <w:color w:val="444444"/>
          <w:sz w:val="20"/>
          <w:szCs w:val="20"/>
        </w:rPr>
        <w:t xml:space="preserve">Claim 5 (Revocation): A method of revoking an agent's SBT-linked authority upon verified violation of legal status, automatically restricting autonomous spending scope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6 (Minor Protection): The system of Claims 1-2 wherein agents linked to principals below legal age threshold are restricted from autonomous financial transactions and payment execution</w:t>
      </w:r>
    </w:p>
    <w:p>
      <w:pPr>
        <w:pStyle w:val="ListParagraph"/>
        <w:numPr>
          <w:ilvl w:val="0"/>
          <w:numId w:val="2"/>
        </w:numPr>
        <w:spacing w:before="40" w:after="40"/>
      </w:pPr>
      <w:r>
        <w:rPr>
          <w:rFonts w:ascii="Arial" w:cs="Arial" w:eastAsia="Arial" w:hAnsi="Arial"/>
          <w:b w:val="false"/>
          <w:bCs w:val="false"/>
          <w:color w:val="444444"/>
          <w:sz w:val="20"/>
          <w:szCs w:val="20"/>
        </w:rPr>
        <w:t xml:space="preserve">Claim 7 (Antifragile Retry): A retry mechanism with exponential backoff for failed verification attempts, with escalation to human-in-the-loop review after maximum retries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P-014  </w:t>
            </w:r>
            <w:r>
              <w:rPr>
                <w:rFonts w:ascii="Arial" w:cs="Arial" w:eastAsia="Arial" w:hAnsi="Arial"/>
                <w:b/>
                <w:bCs/>
                <w:color w:val="FFFFFF"/>
                <w:sz w:val="28"/>
                <w:szCs w:val="28"/>
              </w:rPr>
              <w:t xml:space="preserve">Night Shift Autonomous Token Budget Scavenger Agent</w:t>
            </w:r>
          </w:p>
          <w:p>
            <w:pPr>
              <w:spacing w:before="60"/>
            </w:pPr>
            <w:r>
              <w:rPr>
                <w:rFonts w:ascii="Arial" w:cs="Arial" w:eastAsia="Arial" w:hAnsi="Arial"/>
                <w:b/>
                <w:bCs/>
                <w:color w:val="AACCEE"/>
                <w:sz w:val="19"/>
                <w:szCs w:val="19"/>
              </w:rPr>
              <w:t xml:space="preserve">Status: </w:t>
            </w:r>
            <w:r>
              <w:rPr>
                <w:rFonts w:ascii="Arial" w:cs="Arial" w:eastAsia="Arial" w:hAnsi="Arial"/>
                <w:b/>
                <w:bCs/>
                <w:color w:val="FF6666"/>
                <w:sz w:val="19"/>
                <w:szCs w:val="19"/>
              </w:rPr>
              <w:t xml:space="preserve">NEEDS FILING</w:t>
            </w:r>
            <w:r>
              <w:rPr>
                <w:rFonts w:ascii="Arial" w:cs="Arial" w:eastAsia="Arial" w:hAnsi="Arial"/>
                <w:color w:val="AACCEE"/>
                <w:sz w:val="19"/>
                <w:szCs w:val="19"/>
              </w:rPr>
              <w:t xml:space="preserve">   |   Deadline: Before March 22, 2026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Core Novel Idea</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An autonomous agent that monitors remaining daily API token budgets across multiple LLM providers and intelligently assigns accumulated backlog tasks before daily limits reset — turning unused capacity into productive compute</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Key Behavior</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At configurable threshold time (e.g., 11 PM), agent queries remaining capacity across all providers, prioritizes backlog tasks by token cost vs. value, executes as much as possible before midnight reset</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Product Lines</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AI Trinity Symphony · TrustSquad · Any multi-provider LLM system</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Business Impact</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Converts paid-but-unused API capacity (which expires at reset) into productive work. Estimated 20-40% effective capacity increase.</w:t>
            </w:r>
          </w:p>
        </w:tc>
      </w:tr>
    </w:tbl>
    <w:p>
      <w:r>
        <w:t xml:space="preserve"/>
      </w:r>
    </w:p>
    <w:p>
      <w:pPr>
        <w:spacing w:before="180" w:after="60"/>
      </w:pPr>
      <w:r>
        <w:rPr>
          <w:rFonts w:ascii="Arial" w:cs="Arial" w:eastAsia="Arial" w:hAnsi="Arial"/>
          <w:b/>
          <w:bCs/>
          <w:color w:val="C9A84C"/>
          <w:sz w:val="22"/>
          <w:szCs w:val="22"/>
        </w:rPr>
        <w:t xml:space="preserve">Claims to File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(Broad — Method): A method of maximizing utilization of time-limited AI inference API allocations comprising: monitoring remaining capacity across multiple providers, maintaining a prioritized backlog queue, and autonomously executing queued tasks before capacity expiration</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(Multi-Provider): The method of Claim 1 applied across heterogeneous LLM providers with different capacity limits, reset schedules, and cost structures, wherein the system optimally allocates tasks to maximize total value delivered before each provider's reset</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(ANFIS Prioritization): The method of Claim 1 wherein task prioritization uses ANFIS scoring based on task value, token cost estimate, and remaining capacity, ensuring highest-value tasks are executed first</w:t>
      </w:r>
    </w:p>
    <w:p>
      <w:pPr>
        <w:pStyle w:val="ListParagraph"/>
        <w:numPr>
          <w:ilvl w:val="0"/>
          <w:numId w:val="2"/>
        </w:numPr>
        <w:spacing w:before="40" w:after="40"/>
      </w:pPr>
      <w:r>
        <w:rPr>
          <w:rFonts w:ascii="Arial" w:cs="Arial" w:eastAsia="Arial" w:hAnsi="Arial"/>
          <w:b w:val="false"/>
          <w:bCs w:val="false"/>
          <w:color w:val="444444"/>
          <w:sz w:val="20"/>
          <w:szCs w:val="20"/>
        </w:rPr>
        <w:t xml:space="preserve">Claim 4 (Semantic Cache Integration): The system of Claim 1 wherein tasks are pre-screened against a semantic cache before execution, preventing duplicate API calls for substantially similar queries</w:t>
      </w:r>
    </w:p>
    <w:p>
      <w:pPr>
        <w:pStyle w:val="ListParagraph"/>
        <w:numPr>
          <w:ilvl w:val="0"/>
          <w:numId w:val="2"/>
        </w:numPr>
        <w:spacing w:before="40" w:after="40"/>
      </w:pPr>
      <w:r>
        <w:rPr>
          <w:rFonts w:ascii="Arial" w:cs="Arial" w:eastAsia="Arial" w:hAnsi="Arial"/>
          <w:b w:val="false"/>
          <w:bCs w:val="false"/>
          <w:color w:val="444444"/>
          <w:sz w:val="20"/>
          <w:szCs w:val="20"/>
        </w:rPr>
        <w:t xml:space="preserve">Claim 5 (Collective Learning): Application of Claim 1 to a network of agent squads wherein idle capacity is used to run collective benchmark tasks that improve routing performance for all participants in the network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P-015  </w:t>
            </w:r>
            <w:r>
              <w:rPr>
                <w:rFonts w:ascii="Arial" w:cs="Arial" w:eastAsia="Arial" w:hAnsi="Arial"/>
                <w:b/>
                <w:bCs/>
                <w:color w:val="FFFFFF"/>
                <w:sz w:val="28"/>
                <w:szCs w:val="28"/>
              </w:rPr>
              <w:t xml:space="preserve">Multi-Chain AI Agent RepID Portability via ZKP Bridge</w:t>
            </w:r>
          </w:p>
          <w:p>
            <w:pPr>
              <w:spacing w:before="60"/>
            </w:pPr>
            <w:r>
              <w:rPr>
                <w:rFonts w:ascii="Arial" w:cs="Arial" w:eastAsia="Arial" w:hAnsi="Arial"/>
                <w:b/>
                <w:bCs/>
                <w:color w:val="AACCEE"/>
                <w:sz w:val="19"/>
                <w:szCs w:val="19"/>
              </w:rPr>
              <w:t xml:space="preserve">Status: </w:t>
            </w:r>
            <w:r>
              <w:rPr>
                <w:rFonts w:ascii="Arial" w:cs="Arial" w:eastAsia="Arial" w:hAnsi="Arial"/>
                <w:b/>
                <w:bCs/>
                <w:color w:val="FF6666"/>
                <w:sz w:val="19"/>
                <w:szCs w:val="19"/>
              </w:rPr>
              <w:t xml:space="preserve">NEEDS FILING</w:t>
            </w:r>
            <w:r>
              <w:rPr>
                <w:rFonts w:ascii="Arial" w:cs="Arial" w:eastAsia="Arial" w:hAnsi="Arial"/>
                <w:color w:val="AACCEE"/>
                <w:sz w:val="19"/>
                <w:szCs w:val="19"/>
              </w:rPr>
              <w:t xml:space="preserve">   |   Deadline: Before March 22, 2026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Core Novel Idea</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 method enabling an AI agent's reputation score (RepID) established on one blockchain to be verifiably ported to another blockchain without re-registration, using ZKP proofs of the original reputation state</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Key Innovation</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Agent doesn't re-register on Chain B — instead provides ZKP proof of its Chain A reputation, which Chain B accepts as valid initial reputation state</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Product Lines</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TrustRails · TrustShell · AI Trinity Symphony</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Current Demo</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ERC-8004 on Base Sepolia → Solana devnet (via rust-brain service)</w:t>
            </w:r>
          </w:p>
        </w:tc>
      </w:tr>
    </w:tbl>
    <w:p>
      <w:r>
        <w:t xml:space="preserve"/>
      </w:r>
    </w:p>
    <w:p>
      <w:pPr>
        <w:spacing w:before="180" w:after="60"/>
      </w:pPr>
      <w:r>
        <w:rPr>
          <w:rFonts w:ascii="Arial" w:cs="Arial" w:eastAsia="Arial" w:hAnsi="Arial"/>
          <w:b/>
          <w:bCs/>
          <w:color w:val="C9A84C"/>
          <w:sz w:val="22"/>
          <w:szCs w:val="22"/>
        </w:rPr>
        <w:t xml:space="preserve">Claims to File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(Broad — Method): A method of transferring verifiable AI agent reputation between blockchain networks comprising: generating a zero-knowledge proof of reputation state on a source chain, submitting the proof to a destination chain registry, and accepting the proof as valid initial reputation state without requiring independent verification history on the destination chain</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(EVM to Non-EVM): The method of Claim 1 applied to transferring reputation from an EVM-compatible chain to a non-EVM chain, using a chain-agnostic ZKP proof format</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(Reputation Floor): The system of Claim 1 wherein cross-chain reputation transfer applies a discount factor to account for unverified history on the destination chain, providing a reputation floor rather than full portability</w:t>
      </w:r>
    </w:p>
    <w:p>
      <w:pPr>
        <w:pStyle w:val="ListParagraph"/>
        <w:numPr>
          <w:ilvl w:val="0"/>
          <w:numId w:val="2"/>
        </w:numPr>
        <w:spacing w:before="40" w:after="40"/>
      </w:pPr>
      <w:r>
        <w:rPr>
          <w:rFonts w:ascii="Arial" w:cs="Arial" w:eastAsia="Arial" w:hAnsi="Arial"/>
          <w:b w:val="false"/>
          <w:bCs w:val="false"/>
          <w:color w:val="444444"/>
          <w:sz w:val="20"/>
          <w:szCs w:val="20"/>
        </w:rPr>
        <w:t xml:space="preserve">Claim 4 (Bidirectional Sync): A method of maintaining reputation consistency across multiple chains wherein reputation updates on any chain are propagated to other chains via ZKP proofs within a defined synchronization window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P-016  </w:t>
            </w:r>
            <w:r>
              <w:rPr>
                <w:rFonts w:ascii="Arial" w:cs="Arial" w:eastAsia="Arial" w:hAnsi="Arial"/>
                <w:b/>
                <w:bCs/>
                <w:color w:val="FFFFFF"/>
                <w:sz w:val="28"/>
                <w:szCs w:val="28"/>
              </w:rPr>
              <w:t xml:space="preserve">ANFIS-Routed Polyglot Decentralized Data Fabric with ZKP Access Control</w:t>
            </w:r>
          </w:p>
          <w:p>
            <w:pPr>
              <w:spacing w:before="60"/>
            </w:pPr>
            <w:r>
              <w:rPr>
                <w:rFonts w:ascii="Arial" w:cs="Arial" w:eastAsia="Arial" w:hAnsi="Arial"/>
                <w:b/>
                <w:bCs/>
                <w:color w:val="AACCEE"/>
                <w:sz w:val="19"/>
                <w:szCs w:val="19"/>
              </w:rPr>
              <w:t xml:space="preserve">Status: </w:t>
            </w:r>
            <w:r>
              <w:rPr>
                <w:rFonts w:ascii="Arial" w:cs="Arial" w:eastAsia="Arial" w:hAnsi="Arial"/>
                <w:b/>
                <w:bCs/>
                <w:color w:val="FF6666"/>
                <w:sz w:val="19"/>
                <w:szCs w:val="19"/>
              </w:rPr>
              <w:t xml:space="preserve">NEEDS FILING</w:t>
            </w:r>
            <w:r>
              <w:rPr>
                <w:rFonts w:ascii="Arial" w:cs="Arial" w:eastAsia="Arial" w:hAnsi="Arial"/>
                <w:color w:val="AACCEE"/>
                <w:sz w:val="19"/>
                <w:szCs w:val="19"/>
              </w:rPr>
              <w:t xml:space="preserve">   |   Deadline: Before March 22, 2026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Core Novel Idea</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 self-building, self-improving data infrastructure that uses ANFIS to route data to optimal storage (local cache, relational DB, IPFS, vector DB) based on risk and access patterns, with ZKP proofs controlling access without revealing data</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Key Innovation</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The COMBINATION of ANFIS routing + polyglot persistence + ZKP access proofs + self-adapting schema in a single data fabric for AI agent systems</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Product Lines</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TrustRails · NEXUS CRE · HyperDAG Protocol</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Architecture</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Kafka event bus → ANFIS risk scorer → route to: IndexedDB (edge) / Supabase pgvector (relational+vector) / IPFS (decentralized sensitive data)</w:t>
            </w:r>
          </w:p>
        </w:tc>
      </w:tr>
    </w:tbl>
    <w:p>
      <w:r>
        <w:t xml:space="preserve"/>
      </w:r>
    </w:p>
    <w:p>
      <w:pPr>
        <w:spacing w:before="180" w:after="60"/>
      </w:pPr>
      <w:r>
        <w:rPr>
          <w:rFonts w:ascii="Arial" w:cs="Arial" w:eastAsia="Arial" w:hAnsi="Arial"/>
          <w:b/>
          <w:bCs/>
          <w:color w:val="C9A84C"/>
          <w:sz w:val="22"/>
          <w:szCs w:val="22"/>
        </w:rPr>
        <w:t xml:space="preserve">Claims to File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(Broad — System): A data storage and retrieval system for AI agent networks comprising: an event bus receiving data events, an ANFIS routing engine scoring each event for risk and access pattern, and a polyglot persistence layer routing data to optimal storage based on score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(ZKP Access): The system of Claim 1 wherein access to sensitive data shards stored in decentralized storage is gated by zero-knowledge proofs proving authorization without revealing the underlying data or the requester's identity</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(Self-Building): A method of automatic data schema adaptation wherein AI agents detect new data fields, propose schema updates, reach consensus on the update via BFT, and apply the update without manual intervention</w:t>
      </w:r>
    </w:p>
    <w:p>
      <w:pPr>
        <w:pStyle w:val="ListParagraph"/>
        <w:numPr>
          <w:ilvl w:val="0"/>
          <w:numId w:val="2"/>
        </w:numPr>
        <w:spacing w:before="40" w:after="40"/>
      </w:pPr>
      <w:r>
        <w:rPr>
          <w:rFonts w:ascii="Arial" w:cs="Arial" w:eastAsia="Arial" w:hAnsi="Arial"/>
          <w:b w:val="false"/>
          <w:bCs w:val="false"/>
          <w:color w:val="444444"/>
          <w:sz w:val="20"/>
          <w:szCs w:val="20"/>
        </w:rPr>
        <w:t xml:space="preserve">Claim 4 (Recursive Improvement): The system of Claims 1-3 wherein the ANFIS routing weights are updated based on measured storage performance metrics (latency, cost, retrieval accuracy), with recursive adaptation improving routing efficiency over time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5 (Strangler Fig Migration): A method of migrating legacy database systems to the fabric of Claim 1 using a strangler fig pattern wherein new traffic is routed through the fabric while legacy data is gradually migrated via CDC</w:t>
      </w:r>
    </w:p>
    <w:p>
      <w:r>
        <w:t xml:space="preserve"/>
      </w:r>
    </w:p>
    <w:p>
      <w:r>
        <w:br w:type="page"/>
      </w:r>
    </w:p>
    <w:p>
      <w:pPr>
        <w:pBdr>
          <w:bottom w:val="single" w:color="C9A84C" w:sz="6" w:space="1"/>
        </w:pBdr>
        <w:spacing w:before="160" w:after="100"/>
      </w:pPr>
      <w:r>
        <w:rPr>
          <w:rFonts w:ascii="Arial" w:cs="Arial" w:eastAsia="Arial" w:hAnsi="Arial"/>
          <w:b/>
          <w:bCs/>
          <w:color w:val="1B2A4A"/>
          <w:sz w:val="36"/>
          <w:szCs w:val="36"/>
        </w:rPr>
        <w:t xml:space="preserve">SECTION 4 — New Patent Opportunities (File April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P-017  </w:t>
            </w:r>
            <w:r>
              <w:rPr>
                <w:rFonts w:ascii="Arial" w:cs="Arial" w:eastAsia="Arial" w:hAnsi="Arial"/>
                <w:b/>
                <w:bCs/>
                <w:color w:val="FFFFFF"/>
                <w:sz w:val="28"/>
                <w:szCs w:val="28"/>
              </w:rPr>
              <w:t xml:space="preserve">TrustSquad: Four-Agent BFT Swarm with Idle Collective Learning Network</w:t>
            </w:r>
          </w:p>
          <w:p>
            <w:pPr>
              <w:spacing w:before="60"/>
            </w:pPr>
            <w:r>
              <w:rPr>
                <w:rFonts w:ascii="Arial" w:cs="Arial" w:eastAsia="Arial" w:hAnsi="Arial"/>
                <w:b/>
                <w:bCs/>
                <w:color w:val="AACCEE"/>
                <w:sz w:val="19"/>
                <w:szCs w:val="19"/>
              </w:rPr>
              <w:t xml:space="preserve">Status: </w:t>
            </w:r>
            <w:r>
              <w:rPr>
                <w:rFonts w:ascii="Arial" w:cs="Arial" w:eastAsia="Arial" w:hAnsi="Arial"/>
                <w:b/>
                <w:bCs/>
                <w:color w:val="FF6666"/>
                <w:sz w:val="19"/>
                <w:szCs w:val="19"/>
              </w:rPr>
              <w:t xml:space="preserve">NEEDS FILING</w:t>
            </w:r>
            <w:r>
              <w:rPr>
                <w:rFonts w:ascii="Arial" w:cs="Arial" w:eastAsia="Arial" w:hAnsi="Arial"/>
                <w:color w:val="AACCEE"/>
                <w:sz w:val="19"/>
                <w:szCs w:val="19"/>
              </w:rPr>
              <w:t xml:space="preserve">   |   Deadline: Before April 15, 2026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Core Novel Idea</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 consumer-deployable four-agent AI squad where three user-selected specialist agents reach BFT consensus before delivering outputs, plus one infrastructure agent managing routing and trust — with idle-state participation in a collective learning network</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Most Novel Element</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The idle-learning-for-platform-benefits exchange: dormant squads contribute to anonymous network benchmarks and receive routing improvements in return, with ZKP ensuring zero personal data disclosure</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Product Lines</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TrustSquad.dev</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bCs/>
                <w:i w:val="false"/>
                <w:iCs w:val="false"/>
                <w:color w:val="1B2A4A"/>
                <w:sz w:val="18"/>
                <w:szCs w:val="18"/>
              </w:rPr>
              <w:t xml:space="preserve">Business Model</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Free (1 specialist) / Pro $29/month (3 specialists BYOK) / Team $99 / Enterprise custom</w:t>
            </w:r>
          </w:p>
        </w:tc>
      </w:tr>
    </w:tbl>
    <w:p>
      <w:r>
        <w:t xml:space="preserve"/>
      </w:r>
    </w:p>
    <w:p>
      <w:pPr>
        <w:spacing w:before="180" w:after="60"/>
      </w:pPr>
      <w:r>
        <w:rPr>
          <w:rFonts w:ascii="Arial" w:cs="Arial" w:eastAsia="Arial" w:hAnsi="Arial"/>
          <w:b/>
          <w:bCs/>
          <w:color w:val="C9A84C"/>
          <w:sz w:val="22"/>
          <w:szCs w:val="22"/>
        </w:rPr>
        <w:t xml:space="preserve">Claims to File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(Broad — System): A personal AI agent system comprising: one infrastructure agent providing ANFIS routing, semantic memory, and reputation verification; and three user-selected specialist agents using enforced LLM diversity; wherein outputs require BFT consensus from at least two of three specialists before delivery</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(Specialist Marketplace): A marketplace for AI specialist agent configurations wherein third-party developers publish domain-specific agent configurations that users can select as squad members, with revenue sharing between developer and platform</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(Idle Learning): A method wherein inactive agent squads participate in collective network benchmarks during idle periods, contributing anonymous performance metrics to improve ANFIS routing for all network participants, with ZKP proofs ensuring zero user content disclosure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4 (BYOK Specialist): The system of Claim 1 wherein each specialist agent uses a user-provided LLM API key, enabling cost optimization through direct provider relationships while maintaining platform trust infrastructure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5 (RepID Accumulation): The system of Claims 1 and 3 wherein idle benchmark participation contributes to the squad's collective RepID score, creating a reputation incentive for idle-period contribution</w:t>
      </w:r>
    </w:p>
    <w:p>
      <w:pPr>
        <w:pStyle w:val="ListParagraph"/>
        <w:numPr>
          <w:ilvl w:val="0"/>
          <w:numId w:val="2"/>
        </w:numPr>
        <w:spacing w:before="40" w:after="40"/>
      </w:pPr>
      <w:r>
        <w:rPr>
          <w:rFonts w:ascii="Arial" w:cs="Arial" w:eastAsia="Arial" w:hAnsi="Arial"/>
          <w:b w:val="false"/>
          <w:bCs w:val="false"/>
          <w:color w:val="444444"/>
          <w:sz w:val="20"/>
          <w:szCs w:val="20"/>
        </w:rPr>
        <w:t xml:space="preserve">Claim 6 (Enforced Diversity): The system of Claim 1 wherein the three specialist agents are required to use LLMs from different epistemic families (e.g., different training organizations) to prevent coordinated hallucination through shared training biases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P-018  </w:t>
            </w:r>
            <w:r>
              <w:rPr>
                <w:rFonts w:ascii="Arial" w:cs="Arial" w:eastAsia="Arial" w:hAnsi="Arial"/>
                <w:b/>
                <w:bCs/>
                <w:color w:val="FFFFFF"/>
                <w:sz w:val="28"/>
                <w:szCs w:val="28"/>
              </w:rPr>
              <w:t xml:space="preserve">Semantic Cache with Vector Embedding Pre-screening for Multi-Agent AI Systems</w:t>
            </w:r>
          </w:p>
          <w:p>
            <w:pPr>
              <w:spacing w:before="60"/>
            </w:pPr>
            <w:r>
              <w:rPr>
                <w:rFonts w:ascii="Arial" w:cs="Arial" w:eastAsia="Arial" w:hAnsi="Arial"/>
                <w:b/>
                <w:bCs/>
                <w:color w:val="AACCEE"/>
                <w:sz w:val="19"/>
                <w:szCs w:val="19"/>
              </w:rPr>
              <w:t xml:space="preserve">Status: </w:t>
            </w:r>
            <w:r>
              <w:rPr>
                <w:rFonts w:ascii="Arial" w:cs="Arial" w:eastAsia="Arial" w:hAnsi="Arial"/>
                <w:b/>
                <w:bCs/>
                <w:color w:val="FFCC44"/>
                <w:sz w:val="19"/>
                <w:szCs w:val="19"/>
              </w:rPr>
              <w:t xml:space="preserve">CONSIDER</w:t>
            </w:r>
            <w:r>
              <w:rPr>
                <w:rFonts w:ascii="Arial" w:cs="Arial" w:eastAsia="Arial" w:hAnsi="Arial"/>
                <w:color w:val="AACCEE"/>
                <w:sz w:val="19"/>
                <w:szCs w:val="19"/>
              </w:rPr>
              <w:t xml:space="preserve">   |   Deadline: April 2026</w:t>
            </w:r>
          </w:p>
        </w:tc>
      </w:tr>
    </w:tbl>
    <w:p>
      <w:r>
        <w:t xml:space="preserve"/>
      </w:r>
    </w:p>
    <w:p>
      <w:pPr>
        <w:spacing w:before="180" w:after="60"/>
      </w:pPr>
      <w:r>
        <w:rPr>
          <w:rFonts w:ascii="Arial" w:cs="Arial" w:eastAsia="Arial" w:hAnsi="Arial"/>
          <w:b/>
          <w:bCs/>
          <w:color w:val="C9A84C"/>
          <w:sz w:val="22"/>
          <w:szCs w:val="22"/>
        </w:rPr>
        <w:t xml:space="preserve">Claims to Consider</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A method of reducing AI inference API calls by pre-screening prompts against a vector embedding cache, returning cached responses for queries with cosine similarity exceeding a configurable threshold (e.g., 0.92)</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The method of Claim 1 applied to a multi-agent system wherein the shared cache reduces redundant inference calls across all agents in a coordinated swarm</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Integration with pgvector database extension enabling semantic cache storage in existing PostgreSQL infrastructure without additional database services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C9A84C"/>
                <w:sz w:val="28"/>
                <w:szCs w:val="28"/>
              </w:rPr>
              <w:t xml:space="preserve">P-019  </w:t>
            </w:r>
            <w:r>
              <w:rPr>
                <w:rFonts w:ascii="Arial" w:cs="Arial" w:eastAsia="Arial" w:hAnsi="Arial"/>
                <w:b/>
                <w:bCs/>
                <w:color w:val="FFFFFF"/>
                <w:sz w:val="28"/>
                <w:szCs w:val="28"/>
              </w:rPr>
              <w:t xml:space="preserve">Stochastic Bias Fracture Array (SBFA) Multi-Provider Diversity for AI Hallucination Prevention</w:t>
            </w:r>
          </w:p>
          <w:p>
            <w:pPr>
              <w:spacing w:before="60"/>
            </w:pPr>
            <w:r>
              <w:rPr>
                <w:rFonts w:ascii="Arial" w:cs="Arial" w:eastAsia="Arial" w:hAnsi="Arial"/>
                <w:b/>
                <w:bCs/>
                <w:color w:val="AACCEE"/>
                <w:sz w:val="19"/>
                <w:szCs w:val="19"/>
              </w:rPr>
              <w:t xml:space="preserve">Status: </w:t>
            </w:r>
            <w:r>
              <w:rPr>
                <w:rFonts w:ascii="Arial" w:cs="Arial" w:eastAsia="Arial" w:hAnsi="Arial"/>
                <w:b/>
                <w:bCs/>
                <w:color w:val="FFCC44"/>
                <w:sz w:val="19"/>
                <w:szCs w:val="19"/>
              </w:rPr>
              <w:t xml:space="preserve">CONSIDER</w:t>
            </w:r>
            <w:r>
              <w:rPr>
                <w:rFonts w:ascii="Arial" w:cs="Arial" w:eastAsia="Arial" w:hAnsi="Arial"/>
                <w:color w:val="AACCEE"/>
                <w:sz w:val="19"/>
                <w:szCs w:val="19"/>
              </w:rPr>
              <w:t xml:space="preserve">   |   Deadline: April 2026</w:t>
            </w:r>
          </w:p>
        </w:tc>
      </w:tr>
    </w:tbl>
    <w:p>
      <w:r>
        <w:t xml:space="preserve"/>
      </w:r>
    </w:p>
    <w:p>
      <w:pPr>
        <w:spacing w:before="180" w:after="60"/>
      </w:pPr>
      <w:r>
        <w:rPr>
          <w:rFonts w:ascii="Arial" w:cs="Arial" w:eastAsia="Arial" w:hAnsi="Arial"/>
          <w:b/>
          <w:bCs/>
          <w:color w:val="C9A84C"/>
          <w:sz w:val="22"/>
          <w:szCs w:val="22"/>
        </w:rPr>
        <w:t xml:space="preserve">Claims to Consider</w:t>
      </w:r>
    </w:p>
    <w:p>
      <w:pPr>
        <w:pStyle w:val="ListParagraph"/>
        <w:numPr>
          <w:ilvl w:val="0"/>
          <w:numId w:val="2"/>
        </w:numPr>
        <w:spacing w:before="40" w:after="40"/>
      </w:pPr>
      <w:r>
        <w:rPr>
          <w:rFonts w:ascii="Arial" w:cs="Arial" w:eastAsia="Arial" w:hAnsi="Arial"/>
          <w:b w:val="false"/>
          <w:bCs w:val="false"/>
          <w:color w:val="444444"/>
          <w:sz w:val="20"/>
          <w:szCs w:val="20"/>
        </w:rPr>
        <w:t xml:space="preserve">Claim 1: A method of reducing AI hallucination in multi-agent systems by enforcing selection of LLM providers from distinct epistemic families (different training organizations, datasets, and architectures) for each agent in a consensus group</w:t>
      </w:r>
    </w:p>
    <w:p>
      <w:pPr>
        <w:pStyle w:val="ListParagraph"/>
        <w:numPr>
          <w:ilvl w:val="0"/>
          <w:numId w:val="2"/>
        </w:numPr>
        <w:spacing w:before="40" w:after="40"/>
      </w:pPr>
      <w:r>
        <w:rPr>
          <w:rFonts w:ascii="Arial" w:cs="Arial" w:eastAsia="Arial" w:hAnsi="Arial"/>
          <w:b w:val="false"/>
          <w:bCs w:val="false"/>
          <w:color w:val="444444"/>
          <w:sz w:val="20"/>
          <w:szCs w:val="20"/>
        </w:rPr>
        <w:t xml:space="preserve">Claim 2: The method of Claim 1 wherein 'epistemic family' classification is determined by LLM provider organization, training data source, and known failure mode profile</w:t>
      </w:r>
    </w:p>
    <w:p>
      <w:pPr>
        <w:pStyle w:val="ListParagraph"/>
        <w:numPr>
          <w:ilvl w:val="0"/>
          <w:numId w:val="2"/>
        </w:numPr>
        <w:spacing w:before="40" w:after="40"/>
      </w:pPr>
      <w:r>
        <w:rPr>
          <w:rFonts w:ascii="Arial" w:cs="Arial" w:eastAsia="Arial" w:hAnsi="Arial"/>
          <w:b w:val="false"/>
          <w:bCs w:val="false"/>
          <w:color w:val="444444"/>
          <w:sz w:val="20"/>
          <w:szCs w:val="20"/>
        </w:rPr>
        <w:t xml:space="preserve">Claim 3: Application of Claim 1 to BFT consensus systems wherein the mathematical guarantee of Byzantine fault tolerance is strengthened by the additional guarantee that colluding agents are unlikely to share identical hallucination patterns</w:t>
      </w:r>
    </w:p>
    <w:p>
      <w:r>
        <w:br w:type="page"/>
      </w:r>
    </w:p>
    <w:p>
      <w:pPr>
        <w:pBdr>
          <w:bottom w:val="single" w:color="C9A84C" w:sz="6" w:space="1"/>
        </w:pBdr>
        <w:spacing w:before="160" w:after="100"/>
      </w:pPr>
      <w:r>
        <w:rPr>
          <w:rFonts w:ascii="Arial" w:cs="Arial" w:eastAsia="Arial" w:hAnsi="Arial"/>
          <w:b/>
          <w:bCs/>
          <w:color w:val="1B2A4A"/>
          <w:sz w:val="36"/>
          <w:szCs w:val="36"/>
        </w:rPr>
        <w:t xml:space="preserve">SECTION 5 — Strategic Analysis: Overlaps, Gaps, and Consolidation</w:t>
      </w:r>
    </w:p>
    <w:p>
      <w:r>
        <w:t xml:space="preserve"/>
      </w:r>
    </w:p>
    <w:p>
      <w:pPr>
        <w:spacing w:before="240" w:after="80"/>
      </w:pPr>
      <w:r>
        <w:rPr>
          <w:rFonts w:ascii="Arial" w:cs="Arial" w:eastAsia="Arial" w:hAnsi="Arial"/>
          <w:b/>
          <w:bCs/>
          <w:color w:val="1B2A4A"/>
          <w:sz w:val="28"/>
          <w:szCs w:val="28"/>
        </w:rPr>
        <w:t xml:space="preserve">5.1 — Overlap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pPr>
              <w:jc w:val="left"/>
            </w:pPr>
            <w:r>
              <w:rPr>
                <w:rFonts w:ascii="Arial" w:cs="Arial" w:eastAsia="Arial" w:hAnsi="Arial"/>
                <w:b/>
                <w:bCs/>
                <w:i w:val="false"/>
                <w:iCs w:val="false"/>
                <w:color w:val="FFFFFF"/>
                <w:sz w:val="18"/>
                <w:szCs w:val="18"/>
              </w:rPr>
              <w:t xml:space="preserve">Patent Pair</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pPr>
              <w:jc w:val="left"/>
            </w:pPr>
            <w:r>
              <w:rPr>
                <w:rFonts w:ascii="Arial" w:cs="Arial" w:eastAsia="Arial" w:hAnsi="Arial"/>
                <w:b/>
                <w:bCs/>
                <w:i w:val="false"/>
                <w:iCs w:val="false"/>
                <w:color w:val="FFFFFF"/>
                <w:sz w:val="18"/>
                <w:szCs w:val="18"/>
              </w:rPr>
              <w:t xml:space="preserve">Overlap Area</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pPr>
              <w:jc w:val="left"/>
            </w:pPr>
            <w:r>
              <w:rPr>
                <w:rFonts w:ascii="Arial" w:cs="Arial" w:eastAsia="Arial" w:hAnsi="Arial"/>
                <w:b/>
                <w:bCs/>
                <w:i w:val="false"/>
                <w:iCs w:val="false"/>
                <w:color w:val="FFFFFF"/>
                <w:sz w:val="18"/>
                <w:szCs w:val="18"/>
              </w:rPr>
              <w:t xml:space="preserve">Resolution</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P-002 ↔ P-004</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HyperDAG routing vs ANFIS routing</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Keep separate: P-002 = DAG structure, P-004 = fuzzy inference within it. P-004 claims SHOULD NOT duplicate P-002 DAG structure claims.</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P-005 ↔ P-009</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BFT veto vs Pythagorean Comma drift</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Keep separate: P-005 = the veto system, P-009 = the specific drift detection formula triggering it. Independent licensing value.</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P-002 ↔ P-005</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Multi-agent coordination + consensus</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P-002 claims the DAG structure. P-005 claims the consensus METHOD. Ensure P-002 does not claim BFT mechanics — those belong in P-005.</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P-004 ↔ P-016</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ANFIS routing (LLMs) vs ANFIS routing (data)</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Application domain differs: P-004 = routing LLM API calls. P-016 = routing data to storage tiers. Same ANFIS method, different applications — keep separate for broader coverage.</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P-011 ↔ P-013</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RepID payment gate vs SBT accountability</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Complementary not overlapping: P-011 = reputation threshold gates payment. P-013 = human legal status gates agent authority. Different gatekeeping mechanisms.</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P-005 ↔ P-017</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BFT consensus vs TrustSquad BFT</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P-017 should incorporate P-005 by reference as prior art owned by same inventor. TrustSquad claims = application of BFT to consumer product, not re-claiming the BFT method.</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P-002 ↔ P-012</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HyperDAG architecture vs CRE combination</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P-012 explicitly builds on P-002 as prior art. This is correct — combination patents reference component patents.</w:t>
            </w:r>
          </w:p>
        </w:tc>
      </w:tr>
    </w:tbl>
    <w:p>
      <w:r>
        <w:t xml:space="preserve"/>
      </w:r>
    </w:p>
    <w:p>
      <w:pPr>
        <w:spacing w:before="240" w:after="80"/>
      </w:pPr>
      <w:r>
        <w:rPr>
          <w:rFonts w:ascii="Arial" w:cs="Arial" w:eastAsia="Arial" w:hAnsi="Arial"/>
          <w:b/>
          <w:bCs/>
          <w:color w:val="1B2A4A"/>
          <w:sz w:val="28"/>
          <w:szCs w:val="28"/>
        </w:rPr>
        <w:t xml:space="preserve">5.2 — Coverage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0E0" w:val="clear"/>
            <w:tcMar>
              <w:top w:type="dxa" w:w="140"/>
              <w:left w:type="dxa" w:w="220"/>
              <w:bottom w:type="dxa" w:w="140"/>
              <w:right w:type="dxa" w:w="220"/>
            </w:tcMar>
          </w:tcPr>
          <w:p>
            <w:pPr>
              <w:spacing w:before="0" w:after="40"/>
            </w:pPr>
            <w:r>
              <w:rPr>
                <w:rFonts w:ascii="Arial" w:cs="Arial" w:eastAsia="Arial" w:hAnsi="Arial"/>
                <w:b/>
                <w:bCs/>
                <w:color w:val="8B1A1A"/>
                <w:sz w:val="20"/>
                <w:szCs w:val="20"/>
              </w:rPr>
              <w:t xml:space="preserve">IDENTIFIED GAPS — Methods demonstrated in hackathon not yet covered:</w:t>
            </w:r>
          </w:p>
          <w:p>
            <w:pPr>
              <w:spacing w:before="40" w:after="40"/>
            </w:pPr>
            <w:r>
              <w:rPr>
                <w:rFonts w:ascii="Arial" w:cs="Arial" w:eastAsia="Arial" w:hAnsi="Arial"/>
                <w:b w:val="false"/>
                <w:bCs w:val="false"/>
                <w:color w:val="444444"/>
                <w:sz w:val="20"/>
                <w:szCs w:val="20"/>
              </w:rPr>
              <w:t xml:space="preserve">1. Superfluid token streaming between AI agents (SOPHIA→HDM) — no provisional covers this specific method</w:t>
            </w:r>
          </w:p>
          <w:p>
            <w:pPr>
              <w:spacing w:before="40" w:after="40"/>
            </w:pPr>
            <w:r>
              <w:rPr>
                <w:rFonts w:ascii="Arial" w:cs="Arial" w:eastAsia="Arial" w:hAnsi="Arial"/>
                <w:b w:val="false"/>
                <w:bCs w:val="false"/>
                <w:color w:val="444444"/>
                <w:sz w:val="20"/>
                <w:szCs w:val="20"/>
              </w:rPr>
              <w:t xml:space="preserve">2. A2A protocol routing with ERC-8004 trust verification (W3C agent) — the combination is novel</w:t>
            </w:r>
          </w:p>
          <w:p>
            <w:pPr>
              <w:spacing w:before="40" w:after="40"/>
            </w:pPr>
            <w:r>
              <w:rPr>
                <w:rFonts w:ascii="Arial" w:cs="Arial" w:eastAsia="Arial" w:hAnsi="Arial"/>
                <w:b w:val="false"/>
                <w:bCs w:val="false"/>
                <w:color w:val="444444"/>
                <w:sz w:val="20"/>
                <w:szCs w:val="20"/>
              </w:rPr>
              <w:t xml:space="preserve">3. Recall Network CID as ValidationRequest URI (verifiable agent memory) — novel use of Recall + ERC-8004</w:t>
            </w:r>
          </w:p>
          <w:p>
            <w:pPr>
              <w:spacing w:before="40" w:after="40"/>
            </w:pPr>
            <w:r>
              <w:rPr>
                <w:rFonts w:ascii="Arial" w:cs="Arial" w:eastAsia="Arial" w:hAnsi="Arial"/>
                <w:b w:val="false"/>
                <w:bCs w:val="false"/>
                <w:color w:val="444444"/>
                <w:sz w:val="20"/>
                <w:szCs w:val="20"/>
              </w:rPr>
              <w:t xml:space="preserve">4. Antagonistic agent testing methodology (agents deliberately deceiving each other to test VERITAS) — novel test framework</w:t>
            </w:r>
          </w:p>
          <w:p>
            <w:pPr>
              <w:spacing w:before="40" w:after="40"/>
            </w:pPr>
            <w:r>
              <w:rPr>
                <w:rFonts w:ascii="Arial" w:cs="Arial" w:eastAsia="Arial" w:hAnsi="Arial"/>
                <w:b w:val="false"/>
                <w:bCs w:val="false"/>
                <w:color w:val="7A4F00"/>
                <w:sz w:val="20"/>
                <w:szCs w:val="20"/>
              </w:rPr>
              <w:t xml:space="preserve">Consider whether these warrant their own provisionals or can be added as continuation claims to existing patents.</w:t>
            </w:r>
          </w:p>
        </w:tc>
      </w:tr>
    </w:tbl>
    <w:p>
      <w:r>
        <w:t xml:space="preserve"/>
      </w:r>
    </w:p>
    <w:p>
      <w:pPr>
        <w:spacing w:before="240" w:after="80"/>
      </w:pPr>
      <w:r>
        <w:rPr>
          <w:rFonts w:ascii="Arial" w:cs="Arial" w:eastAsia="Arial" w:hAnsi="Arial"/>
          <w:b/>
          <w:bCs/>
          <w:color w:val="1B2A4A"/>
          <w:sz w:val="28"/>
          <w:szCs w:val="28"/>
        </w:rPr>
        <w:t xml:space="preserve">5.3 — The Dual Licensing Strategy: Open Source + Commercial</w:t>
      </w:r>
    </w:p>
    <w:p>
      <w:pPr>
        <w:spacing w:before="60" w:after="60"/>
        <w:jc w:val="left"/>
      </w:pPr>
      <w:r>
        <w:rPr>
          <w:rFonts w:ascii="Arial" w:cs="Arial" w:eastAsia="Arial" w:hAnsi="Arial"/>
          <w:b w:val="false"/>
          <w:bCs w:val="false"/>
          <w:i w:val="false"/>
          <w:iCs w:val="false"/>
          <w:color w:val="444444"/>
          <w:sz w:val="20"/>
          <w:szCs w:val="20"/>
        </w:rPr>
        <w:t xml:space="preserve">This is the most strategically important decision in the patent portfolio. The right model — used by MySQL, MongoDB, Qt, and others — is the dual license: open source for individuals and non-commercial use, commercial license required for enterprise deployment.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20"/>
              <w:bottom w:type="dxa" w:w="140"/>
              <w:right w:type="dxa" w:w="220"/>
            </w:tcMar>
          </w:tcPr>
          <w:p>
            <w:pPr>
              <w:spacing w:before="0" w:after="40"/>
            </w:pPr>
            <w:r>
              <w:rPr>
                <w:rFonts w:ascii="Arial" w:cs="Arial" w:eastAsia="Arial" w:hAnsi="Arial"/>
                <w:b/>
                <w:bCs/>
                <w:color w:val="1B2A4A"/>
                <w:sz w:val="21"/>
                <w:szCs w:val="21"/>
              </w:rPr>
              <w:t xml:space="preserve">RECOMMENDED LICENSE STRUCTURE: HyperDAG Open Trust License (HOTL)</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1A6B3C"/>
                <w:sz w:val="20"/>
                <w:szCs w:val="20"/>
              </w:rPr>
              <w:t xml:space="preserve">FREE FOR:</w:t>
            </w:r>
          </w:p>
          <w:p>
            <w:pPr>
              <w:spacing w:before="40" w:after="40"/>
            </w:pPr>
            <w:r>
              <w:rPr>
                <w:rFonts w:ascii="Arial" w:cs="Arial" w:eastAsia="Arial" w:hAnsi="Arial"/>
                <w:b w:val="false"/>
                <w:bCs w:val="false"/>
                <w:color w:val="444444"/>
                <w:sz w:val="20"/>
                <w:szCs w:val="20"/>
              </w:rPr>
              <w:t xml:space="preserve">• Individual developers (personal projects, learning, research)</w:t>
            </w:r>
          </w:p>
          <w:p>
            <w:pPr>
              <w:spacing w:before="40" w:after="40"/>
            </w:pPr>
            <w:r>
              <w:rPr>
                <w:rFonts w:ascii="Arial" w:cs="Arial" w:eastAsia="Arial" w:hAnsi="Arial"/>
                <w:b w:val="false"/>
                <w:bCs w:val="false"/>
                <w:color w:val="444444"/>
                <w:sz w:val="20"/>
                <w:szCs w:val="20"/>
              </w:rPr>
              <w:t xml:space="preserve">• Open source projects (MIT, Apache, GPL licensed)</w:t>
            </w:r>
          </w:p>
          <w:p>
            <w:pPr>
              <w:spacing w:before="40" w:after="40"/>
            </w:pPr>
            <w:r>
              <w:rPr>
                <w:rFonts w:ascii="Arial" w:cs="Arial" w:eastAsia="Arial" w:hAnsi="Arial"/>
                <w:b w:val="false"/>
                <w:bCs w:val="false"/>
                <w:color w:val="444444"/>
                <w:sz w:val="20"/>
                <w:szCs w:val="20"/>
              </w:rPr>
              <w:t xml:space="preserve">• Non-profit organizations (501(c)(3) equivalent)</w:t>
            </w:r>
          </w:p>
          <w:p>
            <w:pPr>
              <w:spacing w:before="40" w:after="40"/>
            </w:pPr>
            <w:r>
              <w:rPr>
                <w:rFonts w:ascii="Arial" w:cs="Arial" w:eastAsia="Arial" w:hAnsi="Arial"/>
                <w:b w:val="false"/>
                <w:bCs w:val="false"/>
                <w:color w:val="444444"/>
                <w:sz w:val="20"/>
                <w:szCs w:val="20"/>
              </w:rPr>
              <w:t xml:space="preserve">• Academic and educational use</w:t>
            </w:r>
          </w:p>
          <w:p>
            <w:pPr>
              <w:spacing w:before="40" w:after="40"/>
            </w:pPr>
            <w:r>
              <w:rPr>
                <w:rFonts w:ascii="Arial" w:cs="Arial" w:eastAsia="Arial" w:hAnsi="Arial"/>
                <w:b w:val="false"/>
                <w:bCs w:val="false"/>
                <w:color w:val="444444"/>
                <w:sz w:val="20"/>
                <w:szCs w:val="20"/>
              </w:rPr>
              <w:t xml:space="preserve">• Hackathon and competition submissions</w:t>
            </w:r>
          </w:p>
          <w:p>
            <w:pPr>
              <w:spacing w:before="40" w:after="40"/>
            </w:pPr>
            <w:r>
              <w:rPr>
                <w:rFonts w:ascii="Arial" w:cs="Arial" w:eastAsia="Arial" w:hAnsi="Arial"/>
                <w:b w:val="false"/>
                <w:bCs w:val="false"/>
                <w:color w:val="444444"/>
                <w:sz w:val="20"/>
                <w:szCs w:val="20"/>
              </w:rPr>
              <w:t xml:space="preserve">• The last, the lost, and the least (Micah 6:8 mission orgs)</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8B1A1A"/>
                <w:sz w:val="20"/>
                <w:szCs w:val="20"/>
              </w:rPr>
              <w:t xml:space="preserve">COMMERCIAL LICENSE REQUIRED:</w:t>
            </w:r>
          </w:p>
          <w:p>
            <w:pPr>
              <w:spacing w:before="40" w:after="40"/>
            </w:pPr>
            <w:r>
              <w:rPr>
                <w:rFonts w:ascii="Arial" w:cs="Arial" w:eastAsia="Arial" w:hAnsi="Arial"/>
                <w:b w:val="false"/>
                <w:bCs w:val="false"/>
                <w:color w:val="444444"/>
                <w:sz w:val="20"/>
                <w:szCs w:val="20"/>
              </w:rPr>
              <w:t xml:space="preserve">• Any company deploying in production with &gt;$1M annual revenue</w:t>
            </w:r>
          </w:p>
          <w:p>
            <w:pPr>
              <w:spacing w:before="40" w:after="40"/>
            </w:pPr>
            <w:r>
              <w:rPr>
                <w:rFonts w:ascii="Arial" w:cs="Arial" w:eastAsia="Arial" w:hAnsi="Arial"/>
                <w:b w:val="false"/>
                <w:bCs w:val="false"/>
                <w:color w:val="444444"/>
                <w:sz w:val="20"/>
                <w:szCs w:val="20"/>
              </w:rPr>
              <w:t xml:space="preserve">• SaaS products built on the methods</w:t>
            </w:r>
          </w:p>
          <w:p>
            <w:pPr>
              <w:spacing w:before="40" w:after="40"/>
            </w:pPr>
            <w:r>
              <w:rPr>
                <w:rFonts w:ascii="Arial" w:cs="Arial" w:eastAsia="Arial" w:hAnsi="Arial"/>
                <w:b w:val="false"/>
                <w:bCs w:val="false"/>
                <w:color w:val="444444"/>
                <w:sz w:val="20"/>
                <w:szCs w:val="20"/>
              </w:rPr>
              <w:t xml:space="preserve">• Enterprise internal deployment</w:t>
            </w:r>
          </w:p>
          <w:p>
            <w:pPr>
              <w:spacing w:before="40" w:after="40"/>
            </w:pPr>
            <w:r>
              <w:rPr>
                <w:rFonts w:ascii="Arial" w:cs="Arial" w:eastAsia="Arial" w:hAnsi="Arial"/>
                <w:b w:val="false"/>
                <w:bCs w:val="false"/>
                <w:color w:val="444444"/>
                <w:sz w:val="20"/>
                <w:szCs w:val="20"/>
              </w:rPr>
              <w:t xml:space="preserve">• Any use in regulated industries (healthcare, finance, legal)</w:t>
            </w:r>
          </w:p>
          <w:p>
            <w:pPr>
              <w:spacing w:before="40" w:after="40"/>
            </w:pPr>
            <w:r>
              <w:rPr>
                <w:rFonts w:ascii="Arial" w:cs="Arial" w:eastAsia="Arial" w:hAnsi="Arial"/>
                <w:b w:val="false"/>
                <w:bCs w:val="false"/>
                <w:color w:val="444444"/>
                <w:sz w:val="20"/>
                <w:szCs w:val="20"/>
              </w:rPr>
              <w:t xml:space="preserve">• White-labeling or OEM of the technology</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1B2A4A"/>
                <w:sz w:val="20"/>
                <w:szCs w:val="20"/>
              </w:rPr>
              <w:t xml:space="preserve">COMMERCIAL PRICING (suggested):</w:t>
            </w:r>
          </w:p>
          <w:p>
            <w:pPr>
              <w:spacing w:before="40" w:after="40"/>
            </w:pPr>
            <w:r>
              <w:rPr>
                <w:rFonts w:ascii="Arial" w:cs="Arial" w:eastAsia="Arial" w:hAnsi="Arial"/>
                <w:b w:val="false"/>
                <w:bCs w:val="false"/>
                <w:color w:val="444444"/>
                <w:sz w:val="20"/>
                <w:szCs w:val="20"/>
              </w:rPr>
              <w:t xml:space="preserve">• Startup (&lt;$10M ARR): $5,000/year per product line</w:t>
            </w:r>
          </w:p>
          <w:p>
            <w:pPr>
              <w:spacing w:before="40" w:after="40"/>
            </w:pPr>
            <w:r>
              <w:rPr>
                <w:rFonts w:ascii="Arial" w:cs="Arial" w:eastAsia="Arial" w:hAnsi="Arial"/>
                <w:b w:val="false"/>
                <w:bCs w:val="false"/>
                <w:color w:val="444444"/>
                <w:sz w:val="20"/>
                <w:szCs w:val="20"/>
              </w:rPr>
              <w:t xml:space="preserve">• Growth ($10M-$100M ARR): $25,000/year per product line</w:t>
            </w:r>
          </w:p>
          <w:p>
            <w:pPr>
              <w:spacing w:before="40" w:after="40"/>
            </w:pPr>
            <w:r>
              <w:rPr>
                <w:rFonts w:ascii="Arial" w:cs="Arial" w:eastAsia="Arial" w:hAnsi="Arial"/>
                <w:b w:val="false"/>
                <w:bCs w:val="false"/>
                <w:color w:val="444444"/>
                <w:sz w:val="20"/>
                <w:szCs w:val="20"/>
              </w:rPr>
              <w:t xml:space="preserve">• Enterprise (&gt;$100M ARR): $100,000+/year, negotiated</w:t>
            </w:r>
          </w:p>
          <w:p>
            <w:pPr>
              <w:spacing w:before="40" w:after="40"/>
            </w:pPr>
            <w:r>
              <w:rPr>
                <w:rFonts w:ascii="Arial" w:cs="Arial" w:eastAsia="Arial" w:hAnsi="Arial"/>
                <w:b w:val="false"/>
                <w:bCs w:val="false"/>
                <w:color w:val="444444"/>
                <w:sz w:val="20"/>
                <w:szCs w:val="20"/>
              </w:rPr>
              <w:t xml:space="preserve">• Per-deployment license available for one-time products</w:t>
            </w:r>
          </w:p>
        </w:tc>
      </w:tr>
    </w:tbl>
    <w:p>
      <w:r>
        <w:t xml:space="preserve"/>
      </w:r>
    </w:p>
    <w:p>
      <w:pPr>
        <w:spacing w:before="180" w:after="60"/>
      </w:pPr>
      <w:r>
        <w:rPr>
          <w:rFonts w:ascii="Arial" w:cs="Arial" w:eastAsia="Arial" w:hAnsi="Arial"/>
          <w:b/>
          <w:bCs/>
          <w:color w:val="C9A84C"/>
          <w:sz w:val="22"/>
          <w:szCs w:val="22"/>
        </w:rPr>
        <w:t xml:space="preserve">Why This Model Works</w:t>
      </w:r>
    </w:p>
    <w:p>
      <w:pPr>
        <w:pStyle w:val="ListParagraph"/>
        <w:numPr>
          <w:ilvl w:val="0"/>
          <w:numId w:val="2"/>
        </w:numPr>
        <w:spacing w:before="40" w:after="40"/>
      </w:pPr>
      <w:r>
        <w:rPr>
          <w:rFonts w:ascii="Arial" w:cs="Arial" w:eastAsia="Arial" w:hAnsi="Arial"/>
          <w:b w:val="false"/>
          <w:bCs w:val="false"/>
          <w:color w:val="444444"/>
          <w:sz w:val="20"/>
          <w:szCs w:val="20"/>
        </w:rPr>
        <w:t xml:space="preserve">MySQL used this exact model — free for open source, commercial license for enterprise. Oracle acquired MySQL for $1 billion.</w:t>
      </w:r>
    </w:p>
    <w:p>
      <w:pPr>
        <w:pStyle w:val="ListParagraph"/>
        <w:numPr>
          <w:ilvl w:val="0"/>
          <w:numId w:val="2"/>
        </w:numPr>
        <w:spacing w:before="40" w:after="40"/>
      </w:pPr>
      <w:r>
        <w:rPr>
          <w:rFonts w:ascii="Arial" w:cs="Arial" w:eastAsia="Arial" w:hAnsi="Arial"/>
          <w:b w:val="false"/>
          <w:bCs w:val="false"/>
          <w:color w:val="444444"/>
          <w:sz w:val="20"/>
          <w:szCs w:val="20"/>
        </w:rPr>
        <w:t xml:space="preserve">Individuals and open source developers spread adoption for free (this is your TrustShell developer community).</w:t>
      </w:r>
    </w:p>
    <w:p>
      <w:pPr>
        <w:pStyle w:val="ListParagraph"/>
        <w:numPr>
          <w:ilvl w:val="0"/>
          <w:numId w:val="2"/>
        </w:numPr>
        <w:spacing w:before="40" w:after="40"/>
      </w:pPr>
      <w:r>
        <w:rPr>
          <w:rFonts w:ascii="Arial" w:cs="Arial" w:eastAsia="Arial" w:hAnsi="Arial"/>
          <w:b w:val="false"/>
          <w:bCs w:val="false"/>
          <w:color w:val="444444"/>
          <w:sz w:val="20"/>
          <w:szCs w:val="20"/>
        </w:rPr>
        <w:t xml:space="preserve">Enterprise adoption comes with legal requirements that make licensing the path of least resistance for compliance teams.</w:t>
      </w:r>
    </w:p>
    <w:p>
      <w:pPr>
        <w:pStyle w:val="ListParagraph"/>
        <w:numPr>
          <w:ilvl w:val="0"/>
          <w:numId w:val="2"/>
        </w:numPr>
        <w:spacing w:before="40" w:after="40"/>
      </w:pPr>
      <w:r>
        <w:rPr>
          <w:rFonts w:ascii="Arial" w:cs="Arial" w:eastAsia="Arial" w:hAnsi="Arial"/>
          <w:b w:val="false"/>
          <w:bCs w:val="false"/>
          <w:color w:val="444444"/>
          <w:sz w:val="20"/>
          <w:szCs w:val="20"/>
        </w:rPr>
        <w:t xml:space="preserve">The mission (last/lost/least) is protected explicitly — non-profits get free use without negotiation.</w:t>
      </w:r>
    </w:p>
    <w:p>
      <w:pPr>
        <w:pStyle w:val="ListParagraph"/>
        <w:numPr>
          <w:ilvl w:val="0"/>
          <w:numId w:val="2"/>
        </w:numPr>
        <w:spacing w:before="40" w:after="40"/>
      </w:pPr>
      <w:r>
        <w:rPr>
          <w:rFonts w:ascii="Arial" w:cs="Arial" w:eastAsia="Arial" w:hAnsi="Arial"/>
          <w:b w:val="false"/>
          <w:bCs w:val="false"/>
          <w:color w:val="444444"/>
          <w:sz w:val="20"/>
          <w:szCs w:val="20"/>
        </w:rPr>
        <w:t xml:space="preserve">The patent portfolio combined with dual licensing creates a genuine moat: you can sue commercial violators but the open source community builds your ecosystem for free.</w:t>
      </w:r>
    </w:p>
    <w:p>
      <w:r>
        <w:t xml:space="preserve"/>
      </w:r>
    </w:p>
    <w:p>
      <w:pPr>
        <w:spacing w:before="180" w:after="60"/>
      </w:pPr>
      <w:r>
        <w:rPr>
          <w:rFonts w:ascii="Arial" w:cs="Arial" w:eastAsia="Arial" w:hAnsi="Arial"/>
          <w:b/>
          <w:bCs/>
          <w:color w:val="C9A84C"/>
          <w:sz w:val="22"/>
          <w:szCs w:val="22"/>
        </w:rPr>
        <w:t xml:space="preserve">Implementation</w:t>
      </w:r>
    </w:p>
    <w:p>
      <w:pPr>
        <w:pStyle w:val="ListParagraph"/>
        <w:numPr>
          <w:ilvl w:val="0"/>
          <w:numId w:val="2"/>
        </w:numPr>
        <w:spacing w:before="40" w:after="40"/>
      </w:pPr>
      <w:r>
        <w:rPr>
          <w:rFonts w:ascii="Arial" w:cs="Arial" w:eastAsia="Arial" w:hAnsi="Arial"/>
          <w:b w:val="false"/>
          <w:bCs w:val="false"/>
          <w:color w:val="444444"/>
          <w:sz w:val="20"/>
          <w:szCs w:val="20"/>
        </w:rPr>
        <w:t xml:space="preserve">File all patents under Sean Patrick Goodwin as inventor.</w:t>
      </w:r>
    </w:p>
    <w:p>
      <w:pPr>
        <w:pStyle w:val="ListParagraph"/>
        <w:numPr>
          <w:ilvl w:val="0"/>
          <w:numId w:val="2"/>
        </w:numPr>
        <w:spacing w:before="40" w:after="40"/>
      </w:pPr>
      <w:r>
        <w:rPr>
          <w:rFonts w:ascii="Arial" w:cs="Arial" w:eastAsia="Arial" w:hAnsi="Arial"/>
          <w:b w:val="false"/>
          <w:bCs w:val="false"/>
          <w:color w:val="444444"/>
          <w:sz w:val="20"/>
          <w:szCs w:val="20"/>
        </w:rPr>
        <w:t xml:space="preserve">Assign patents to a holding entity (LLC or foundation) — not to individual products. This protects the portfolio if any single product pivots.</w:t>
      </w:r>
    </w:p>
    <w:p>
      <w:pPr>
        <w:pStyle w:val="ListParagraph"/>
        <w:numPr>
          <w:ilvl w:val="0"/>
          <w:numId w:val="2"/>
        </w:numPr>
        <w:spacing w:before="40" w:after="40"/>
      </w:pPr>
      <w:r>
        <w:rPr>
          <w:rFonts w:ascii="Arial" w:cs="Arial" w:eastAsia="Arial" w:hAnsi="Arial"/>
          <w:b w:val="false"/>
          <w:bCs w:val="false"/>
          <w:color w:val="444444"/>
          <w:sz w:val="20"/>
          <w:szCs w:val="20"/>
        </w:rPr>
        <w:t xml:space="preserve">Create the HyperDAG Open Trust License (HOTL) — a modified BSL (Business Source License) with the specific carve-outs above. BSL converts to Apache 2.0 after 4 years — this keeps commercial window relevant.</w:t>
      </w:r>
    </w:p>
    <w:p>
      <w:pPr>
        <w:pStyle w:val="ListParagraph"/>
        <w:numPr>
          <w:ilvl w:val="0"/>
          <w:numId w:val="2"/>
        </w:numPr>
        <w:spacing w:before="40" w:after="40"/>
      </w:pPr>
      <w:r>
        <w:rPr>
          <w:rFonts w:ascii="Arial" w:cs="Arial" w:eastAsia="Arial" w:hAnsi="Arial"/>
          <w:b w:val="false"/>
          <w:bCs w:val="false"/>
          <w:color w:val="444444"/>
          <w:sz w:val="20"/>
          <w:szCs w:val="20"/>
        </w:rPr>
        <w:t xml:space="preserve">TrustShell npm package: MIT licensed for the SDK code, HOTL for the underlying patented methods. This is standard practice — the code wrapper is MIT, the algorithm it implements is licensed.</w:t>
      </w:r>
    </w:p>
    <w:p>
      <w:r>
        <w:t xml:space="preserve"/>
      </w:r>
    </w:p>
    <w:p>
      <w:r>
        <w:br w:type="page"/>
      </w:r>
    </w:p>
    <w:p>
      <w:pPr>
        <w:pBdr>
          <w:bottom w:val="single" w:color="C9A84C" w:sz="6" w:space="1"/>
        </w:pBdr>
        <w:spacing w:before="160" w:after="100"/>
      </w:pPr>
      <w:r>
        <w:rPr>
          <w:rFonts w:ascii="Arial" w:cs="Arial" w:eastAsia="Arial" w:hAnsi="Arial"/>
          <w:b/>
          <w:bCs/>
          <w:color w:val="1B2A4A"/>
          <w:sz w:val="36"/>
          <w:szCs w:val="36"/>
        </w:rPr>
        <w:t xml:space="preserve">SECTION 6 — Action Plan for Grok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pPr>
              <w:jc w:val="left"/>
            </w:pPr>
            <w:r>
              <w:rPr>
                <w:rFonts w:ascii="Arial" w:cs="Arial" w:eastAsia="Arial" w:hAnsi="Arial"/>
                <w:b/>
                <w:bCs/>
                <w:i w:val="false"/>
                <w:iCs w:val="false"/>
                <w:color w:val="FFFFFF"/>
                <w:sz w:val="18"/>
                <w:szCs w:val="18"/>
              </w:rPr>
              <w:t xml:space="preserve">Priority</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pPr>
              <w:jc w:val="left"/>
            </w:pPr>
            <w:r>
              <w:rPr>
                <w:rFonts w:ascii="Arial" w:cs="Arial" w:eastAsia="Arial" w:hAnsi="Arial"/>
                <w:b/>
                <w:bCs/>
                <w:i w:val="false"/>
                <w:iCs w:val="false"/>
                <w:color w:val="FFFFFF"/>
                <w:sz w:val="18"/>
                <w:szCs w:val="18"/>
              </w:rPr>
              <w:t xml:space="preserve">Action</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pPr>
              <w:jc w:val="left"/>
            </w:pPr>
            <w:r>
              <w:rPr>
                <w:rFonts w:ascii="Arial" w:cs="Arial" w:eastAsia="Arial" w:hAnsi="Arial"/>
                <w:b/>
                <w:bCs/>
                <w:i w:val="false"/>
                <w:iCs w:val="false"/>
                <w:color w:val="FFFFFF"/>
                <w:sz w:val="18"/>
                <w:szCs w:val="18"/>
              </w:rPr>
              <w:t xml:space="preserve">Deadline</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P0 — CRITICAL</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File P-013 (DBT→SBT) provisional</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Before March 22</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P0 — CRITICAL</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File P-014 (Night Shift Scavenger) provisional</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Before March 22</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P0 — CRITICAL</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File P-015 (Multi-chain RepID) provisional</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Before March 22</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P0 — CRITICAL</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File P-016 (ANFIS Data Fabric) provisional</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Before March 22</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P1 — URGENT</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Confirm exact claim language in P-001 through P-011 as filed</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Before March 22</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P1 — URGENT</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Identify P-003, P-006, P-007, P-008, P-010 — what are these?</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Before March 22</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P1 — URGENT</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Review P-002/P-005 overlap — confirm BFT claims not duplicated</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Before March 22</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P1 — URGENT</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Review P-004/P-016 overlap — confirm ANFIS claims appropriately scoped</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Before March 22</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P2 — IMPORTANT</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File P-017 (TrustSquad) provisional</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April 15, 2026</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P2 — IMPORTANT</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Consider P-018 (Semantic Cache) and P-019 (SBFA)</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April 2026</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P2 — IMPORTANT</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Draft HyperDAG Open Trust License (HOTL)</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April 2026</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P3 — STRATEGIC</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Engage patent attorney for P-002 non-provisional</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By June 1, 2026</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P3 — STRATEGIC</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Create patent holding LLC or foundation</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Q2 2026</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pPr>
              <w:jc w:val="left"/>
            </w:pPr>
            <w:r>
              <w:rPr>
                <w:rFonts w:ascii="Arial" w:cs="Arial" w:eastAsia="Arial" w:hAnsi="Arial"/>
                <w:b w:val="false"/>
                <w:bCs w:val="false"/>
                <w:i w:val="false"/>
                <w:iCs w:val="false"/>
                <w:color w:val="1B2A4A"/>
                <w:sz w:val="18"/>
                <w:szCs w:val="18"/>
              </w:rPr>
              <w:t xml:space="preserve">P3 — STRATEGIC</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Document reduction-to-practice evidence from hackathon</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pPr>
              <w:jc w:val="left"/>
            </w:pPr>
            <w:r>
              <w:rPr>
                <w:rFonts w:ascii="Arial" w:cs="Arial" w:eastAsia="Arial" w:hAnsi="Arial"/>
                <w:b w:val="false"/>
                <w:bCs w:val="false"/>
                <w:i w:val="false"/>
                <w:iCs w:val="false"/>
                <w:color w:val="444444"/>
                <w:sz w:val="18"/>
                <w:szCs w:val="18"/>
              </w:rPr>
              <w:t xml:space="preserve">March 22, 2026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20"/>
              <w:bottom w:type="dxa" w:w="140"/>
              <w:right w:type="dxa" w:w="220"/>
            </w:tcMar>
          </w:tcPr>
          <w:p>
            <w:pPr>
              <w:spacing w:before="0" w:after="40"/>
            </w:pPr>
            <w:r>
              <w:rPr>
                <w:rFonts w:ascii="Arial" w:cs="Arial" w:eastAsia="Arial" w:hAnsi="Arial"/>
                <w:b/>
                <w:bCs/>
                <w:color w:val="1A6B3C"/>
                <w:sz w:val="20"/>
                <w:szCs w:val="20"/>
              </w:rPr>
              <w:t xml:space="preserve">REDUCTION TO PRACTICE DOCUMENTATION — DO THIS MARCH 22</w:t>
            </w:r>
          </w:p>
          <w:p>
            <w:pPr>
              <w:spacing w:before="40" w:after="40"/>
            </w:pPr>
            <w:r>
              <w:rPr>
                <w:rFonts w:ascii="Arial" w:cs="Arial" w:eastAsia="Arial" w:hAnsi="Arial"/>
                <w:b w:val="false"/>
                <w:bCs w:val="false"/>
                <w:color w:val="444444"/>
                <w:sz w:val="20"/>
                <w:szCs w:val="20"/>
              </w:rPr>
              <w:t xml:space="preserve">The hackathon submission is a court-admissible reduction-to-practice event. Preserve:</w:t>
            </w:r>
          </w:p>
          <w:p>
            <w:pPr>
              <w:spacing w:before="40" w:after="40"/>
            </w:pPr>
            <w:r>
              <w:rPr>
                <w:rFonts w:ascii="Arial" w:cs="Arial" w:eastAsia="Arial" w:hAnsi="Arial"/>
                <w:b w:val="false"/>
                <w:bCs w:val="false"/>
                <w:color w:val="444444"/>
                <w:sz w:val="20"/>
                <w:szCs w:val="20"/>
              </w:rPr>
              <w:t xml:space="preserve">• Video URL + timestamp of X post</w:t>
            </w:r>
          </w:p>
          <w:p>
            <w:pPr>
              <w:spacing w:before="40" w:after="40"/>
            </w:pPr>
            <w:r>
              <w:rPr>
                <w:rFonts w:ascii="Arial" w:cs="Arial" w:eastAsia="Arial" w:hAnsi="Arial"/>
                <w:b w:val="false"/>
                <w:bCs w:val="false"/>
                <w:color w:val="444444"/>
                <w:sz w:val="20"/>
                <w:szCs w:val="20"/>
              </w:rPr>
              <w:t xml:space="preserve">• GitHub commit hash at time of submission</w:t>
            </w:r>
          </w:p>
          <w:p>
            <w:pPr>
              <w:spacing w:before="40" w:after="40"/>
            </w:pPr>
            <w:r>
              <w:rPr>
                <w:rFonts w:ascii="Arial" w:cs="Arial" w:eastAsia="Arial" w:hAnsi="Arial"/>
                <w:b w:val="false"/>
                <w:bCs w:val="false"/>
                <w:color w:val="444444"/>
                <w:sz w:val="20"/>
                <w:szCs w:val="20"/>
              </w:rPr>
              <w:t xml:space="preserve">• Verified BaseScan transaction hash: 0x92be19f78a23bdd93cfa2fa8bb5a64de937915cd1f3bf9b9276e6294f8a8b978</w:t>
            </w:r>
          </w:p>
          <w:p>
            <w:pPr>
              <w:spacing w:before="40" w:after="40"/>
            </w:pPr>
            <w:r>
              <w:rPr>
                <w:rFonts w:ascii="Arial" w:cs="Arial" w:eastAsia="Arial" w:hAnsi="Arial"/>
                <w:b w:val="false"/>
                <w:bCs w:val="false"/>
                <w:color w:val="444444"/>
                <w:sz w:val="20"/>
                <w:szCs w:val="20"/>
              </w:rPr>
              <w:t xml:space="preserve">• LabLab.ai submission confirmation email</w:t>
            </w:r>
          </w:p>
          <w:p>
            <w:pPr>
              <w:spacing w:before="40" w:after="40"/>
            </w:pPr>
            <w:r>
              <w:rPr>
                <w:rFonts w:ascii="Arial" w:cs="Arial" w:eastAsia="Arial" w:hAnsi="Arial"/>
                <w:b w:val="false"/>
                <w:bCs w:val="false"/>
                <w:color w:val="444444"/>
                <w:sz w:val="20"/>
                <w:szCs w:val="20"/>
              </w:rPr>
              <w:t xml:space="preserve">• Screenshot of ERC-8004 agent registrations on BaseScan</w:t>
            </w:r>
          </w:p>
          <w:p>
            <w:pPr>
              <w:spacing w:before="40" w:after="40"/>
            </w:pPr>
            <w:r>
              <w:rPr>
                <w:rFonts w:ascii="Arial" w:cs="Arial" w:eastAsia="Arial" w:hAnsi="Arial"/>
                <w:b w:val="false"/>
                <w:bCs w:val="false"/>
                <w:color w:val="444444"/>
                <w:sz w:val="20"/>
                <w:szCs w:val="20"/>
              </w:rPr>
              <w:t xml:space="preserve">Store all in a dated folder: /patent-evidence/2026-03-22-hackathon/</w:t>
            </w:r>
          </w:p>
          <w:p>
            <w:pPr>
              <w:spacing w:before="40" w:after="40"/>
            </w:pPr>
            <w:r>
              <w:rPr>
                <w:rFonts w:ascii="Arial" w:cs="Arial" w:eastAsia="Arial" w:hAnsi="Arial"/>
                <w:b w:val="false"/>
                <w:bCs w:val="false"/>
                <w:color w:val="888888"/>
                <w:sz w:val="20"/>
                <w:szCs w:val="20"/>
              </w:rPr>
              <w:t xml:space="preserve">This folder = evidence that these methods were reduced to practice on March 22, 2026.</w:t>
            </w:r>
          </w:p>
        </w:tc>
      </w:tr>
    </w:tbl>
    <w:p>
      <w:r>
        <w:t xml:space="preserve"/>
      </w:r>
    </w:p>
    <w:p>
      <w:pPr>
        <w:spacing w:before="160"/>
      </w:pPr>
      <w:r>
        <w:rPr>
          <w:rFonts w:ascii="Arial" w:cs="Arial" w:eastAsia="Arial" w:hAnsi="Arial"/>
          <w:i/>
          <w:iCs/>
          <w:color w:val="888888"/>
          <w:sz w:val="16"/>
          <w:szCs w:val="16"/>
        </w:rPr>
        <w:t xml:space="preserve">HyperDAG Protocol · Sean Patrick Goodwin · March 2026 · ATTORNEY-CLIENT PRIVILEGED — NOT FOR DISTRIBUTION · φ = 1.61803398875 · Micah 6:8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2026-03-15T20:54:37.405Z</dcterms:created>
  <dcterms:modified xsi:type="dcterms:W3CDTF">2026-03-15T20:54:37.406Z</dcterms:modified>
</cp:coreProperties>
</file>

<file path=docProps/custom.xml><?xml version="1.0" encoding="utf-8"?>
<Properties xmlns="http://schemas.openxmlformats.org/officeDocument/2006/custom-properties" xmlns:vt="http://schemas.openxmlformats.org/officeDocument/2006/docPropsVTypes"/>
</file>