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b/>
          <w:bCs/>
          <w:color w:val="1B2A4A"/>
          <w:sz w:val="52"/>
          <w:szCs w:val="52"/>
        </w:rPr>
        <w:t xml:space="preserve">HYPERDAG PROTOCOL</w:t>
      </w:r>
    </w:p>
    <w:p>
      <w:pPr>
        <w:spacing w:before="60"/>
      </w:pPr>
      <w:r>
        <w:rPr>
          <w:rFonts w:ascii="Arial" w:cs="Arial" w:eastAsia="Arial" w:hAnsi="Arial"/>
          <w:color w:val="C9A84C"/>
          <w:sz w:val="30"/>
          <w:szCs w:val="30"/>
        </w:rPr>
        <w:t xml:space="preserve">Patent Strategy &amp; Hackathon Pitch Recap</w:t>
      </w:r>
    </w:p>
    <w:p>
      <w:pPr>
        <w:spacing w:before="60"/>
      </w:pPr>
      <w:r>
        <w:rPr>
          <w:rFonts w:ascii="Arial" w:cs="Arial" w:eastAsia="Arial" w:hAnsi="Arial"/>
          <w:color w:val="888888"/>
          <w:sz w:val="18"/>
          <w:szCs w:val="18"/>
        </w:rPr>
        <w:t xml:space="preserve">Context document for Claude + Grok · March 16, 2026 · ATTORNEY-CLIENT PRIVILEGED</w:t>
      </w:r>
    </w:p>
    <w:p>
      <w:pPr>
        <w:pBdr>
          <w:bottom w:val="single" w:color="DDDDDD" w:sz="3" w:space="1"/>
        </w:pBdr>
        <w:spacing w:before="100" w:after="100"/>
      </w:pPr>
      <w:r>
        <w:t xml:space="preserve"/>
      </w:r>
    </w:p>
    <w:p>
      <w:pPr>
        <w:spacing w:before="60" w:after="60"/>
      </w:pPr>
      <w:r>
        <w:rPr>
          <w:rFonts w:ascii="Arial" w:cs="Arial" w:eastAsia="Arial" w:hAnsi="Arial"/>
          <w:b w:val="false"/>
          <w:bCs w:val="false"/>
          <w:i w:val="false"/>
          <w:iCs w:val="false"/>
          <w:color w:val="444444"/>
          <w:sz w:val="20"/>
          <w:szCs w:val="20"/>
        </w:rPr>
        <w:t xml:space="preserve">This document gives Claude and Grok full context on the patent portfolio, filing priorities, hackathon pitch strategy, and the critical distinction between what gets patented (backend methods) versus what gets pitched (frontend products). Read before drafting any patent claims or hackathon copy.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20"/>
                <w:szCs w:val="20"/>
              </w:rPr>
              <w:t xml:space="preserve">⚠  MARCH 22 DEADLINE: Hackathon submission = public reduction-to-practice event.</w:t>
            </w:r>
          </w:p>
          <w:p>
            <w:pPr>
              <w:spacing w:before="40" w:after="40"/>
            </w:pPr>
            <w:r>
              <w:rPr>
                <w:rFonts w:ascii="Arial" w:cs="Arial" w:eastAsia="Arial" w:hAnsi="Arial"/>
                <w:b w:val="false"/>
                <w:bCs w:val="false"/>
                <w:color w:val="444444"/>
                <w:sz w:val="20"/>
                <w:szCs w:val="20"/>
              </w:rPr>
              <w:t xml:space="preserve">P-013, P-014, P-015, P-016 must be FILED before March 22 or those methods lose patent protection.</w:t>
            </w:r>
          </w:p>
          <w:p>
            <w:pPr>
              <w:spacing w:before="40" w:after="40"/>
            </w:pPr>
            <w:r>
              <w:rPr>
                <w:rFonts w:ascii="Arial" w:cs="Arial" w:eastAsia="Arial" w:hAnsi="Arial"/>
                <w:b w:val="false"/>
                <w:bCs w:val="false"/>
                <w:color w:val="444444"/>
                <w:sz w:val="20"/>
                <w:szCs w:val="20"/>
              </w:rPr>
              <w:t xml:space="preserve">P-002 non-provisional deadline: August 17, 2026. Attorney engagement by June 1, 2026.</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1 — The Core Strategic Distinction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40"/>
            </w:pPr>
            <w:r>
              <w:rPr>
                <w:rFonts w:ascii="Arial" w:cs="Arial" w:eastAsia="Arial" w:hAnsi="Arial"/>
                <w:b/>
                <w:bCs/>
                <w:color w:val="1B2A4A"/>
                <w:sz w:val="22"/>
                <w:szCs w:val="22"/>
              </w:rPr>
              <w:t xml:space="preserve">PATENTS protect the BACKEND METHODS.</w:t>
            </w:r>
          </w:p>
          <w:p>
            <w:pPr>
              <w:spacing w:before="40" w:after="40"/>
            </w:pPr>
            <w:r>
              <w:rPr>
                <w:rFonts w:ascii="Arial" w:cs="Arial" w:eastAsia="Arial" w:hAnsi="Arial"/>
                <w:b/>
                <w:bCs/>
                <w:color w:val="1B2A4A"/>
                <w:sz w:val="22"/>
                <w:szCs w:val="22"/>
              </w:rPr>
              <w:t xml:space="preserve">HACKATHON PITCHES promote the FRONTEND PRODUCTS.</w:t>
            </w:r>
          </w:p>
          <w:p>
            <w:pPr>
              <w:spacing w:before="40" w:after="40"/>
            </w:pPr>
            <w:r>
              <w:rPr>
                <w:rFonts w:ascii="Arial" w:cs="Arial" w:eastAsia="Arial" w:hAnsi="Arial"/>
                <w:b w:val="false"/>
                <w:bCs w:val="false"/>
                <w:color w:val="444444"/>
                <w:sz w:val="20"/>
                <w:szCs w:val="20"/>
              </w:rPr>
              <w:t xml:space="preserve">These must never be confused. The method is what gets patented. The product is what gets sold.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BACKEND (Patent This)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FRONTEND (Pitch This)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ANFIS fuzzy inference routing method (P-004)
BFT φ-weighted consensus + Pythagorean Comma veto (P-005)
RepID-gated payment authorization formula (P-011)
HyperDAG hyperedge architecture (P-002)
ZKP reputation proofs (P-002)
DBT→SBT accountability chain (P-013)
Night Shift token scavenger method (P-014)
Multi-chain RepID portability (P-015)
ANFIS polyglot data fabric (P-016)
TrustSquad 4-agent collective learning (P-017)</w:t>
            </w:r>
          </w:p>
        </w:tc>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TrustShell.dev — npm package for developers
'One install. Your agent gets trust.'
TrustRails.dev — enterprise platform
'The accountability infrastructure for enterprise AI.'
TrustSquad.dev — consumer/prosumer product
'Your personal AI squad. Three specialists. Verified consensus.'
AI Trinity Symphony — the 12-agent demo
'Live proof the backend methods work at scale.'</w:t>
            </w:r>
          </w:p>
        </w:tc>
      </w:tr>
    </w:tbl>
    <w:p>
      <w:r>
        <w:t xml:space="preserve"/>
      </w:r>
    </w:p>
    <w:p>
      <w:pPr>
        <w:spacing w:before="60" w:after="60"/>
      </w:pPr>
      <w:r>
        <w:rPr>
          <w:rFonts w:ascii="Arial" w:cs="Arial" w:eastAsia="Arial" w:hAnsi="Arial"/>
          <w:b w:val="false"/>
          <w:bCs w:val="false"/>
          <w:i/>
          <w:iCs/>
          <w:color w:val="2C3E50"/>
          <w:sz w:val="20"/>
          <w:szCs w:val="20"/>
        </w:rPr>
        <w:t xml:space="preserve">The hackathon code is MIT licensed. The METHODS the code implements are patent-protected. Judges see the frontend product. The patent portfolio protects the backend methods that make the product work.</w:t>
      </w:r>
    </w:p>
    <w:p>
      <w:r>
        <w:br w:type="page"/>
      </w:r>
    </w:p>
    <w:p>
      <w:pPr>
        <w:pBdr>
          <w:bottom w:val="single" w:color="C9A84C" w:sz="6" w:space="1"/>
        </w:pBdr>
        <w:spacing w:before="160" w:after="100"/>
      </w:pPr>
      <w:r>
        <w:rPr>
          <w:rFonts w:ascii="Arial" w:cs="Arial" w:eastAsia="Arial" w:hAnsi="Arial"/>
          <w:b/>
          <w:bCs/>
          <w:color w:val="1B2A4A"/>
          <w:sz w:val="36"/>
          <w:szCs w:val="36"/>
        </w:rPr>
        <w:t xml:space="preserve">SECTION 2 — Hackathon Pitch Strategy: Which Product for Which Hackathon</w:t>
      </w:r>
    </w:p>
    <w:p>
      <w:r>
        <w:t xml:space="preserve"/>
      </w:r>
    </w:p>
    <w:p>
      <w:pPr>
        <w:spacing w:before="60" w:after="60"/>
      </w:pPr>
      <w:r>
        <w:rPr>
          <w:rFonts w:ascii="Arial" w:cs="Arial" w:eastAsia="Arial" w:hAnsi="Arial"/>
          <w:b w:val="false"/>
          <w:bCs w:val="false"/>
          <w:i w:val="false"/>
          <w:iCs w:val="false"/>
          <w:color w:val="444444"/>
          <w:sz w:val="20"/>
          <w:szCs w:val="20"/>
        </w:rPr>
        <w:t xml:space="preserve">This is the recommended pitch framing for the three active hackathons. In each case, Trinity Symphony is the proof-of-concept backend. The pitch focuses on the extractable product.</w:t>
      </w:r>
    </w:p>
    <w:p>
      <w:r>
        <w:t xml:space="preserve"/>
      </w:r>
    </w:p>
    <w:p>
      <w:pPr>
        <w:spacing w:before="200" w:after="80"/>
      </w:pPr>
      <w:r>
        <w:rPr>
          <w:rFonts w:ascii="Arial" w:cs="Arial" w:eastAsia="Arial" w:hAnsi="Arial"/>
          <w:b/>
          <w:bCs/>
          <w:color w:val="1B2A4A"/>
          <w:sz w:val="26"/>
          <w:szCs w:val="26"/>
        </w:rPr>
        <w:t xml:space="preserve">2.1 LabLab.ai × Surge — ERC-8004 x402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20"/>
              <w:bottom w:type="dxa" w:w="140"/>
              <w:right w:type="dxa" w:w="220"/>
            </w:tcMar>
          </w:tcPr>
          <w:p>
            <w:pPr>
              <w:spacing w:before="0" w:after="40"/>
            </w:pPr>
            <w:r>
              <w:rPr>
                <w:rFonts w:ascii="Arial" w:cs="Arial" w:eastAsia="Arial" w:hAnsi="Arial"/>
                <w:b/>
                <w:bCs/>
                <w:color w:val="1A6B3C"/>
                <w:sz w:val="24"/>
                <w:szCs w:val="24"/>
              </w:rPr>
              <w:t xml:space="preserve">PITCH: TrustShell</w:t>
            </w:r>
          </w:p>
          <w:p>
            <w:pPr>
              <w:spacing w:before="40" w:after="40"/>
            </w:pPr>
            <w:r>
              <w:rPr>
                <w:rFonts w:ascii="Arial" w:cs="Arial" w:eastAsia="Arial" w:hAnsi="Arial"/>
                <w:b w:val="false"/>
                <w:bCs w:val="false"/>
                <w:color w:val="1B2A4A"/>
                <w:sz w:val="21"/>
                <w:szCs w:val="21"/>
              </w:rPr>
              <w:t xml:space="preserve">'One npm install. Your AI agent gets identity, reputation, and audit trail.'</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444444"/>
                <w:sz w:val="19"/>
                <w:szCs w:val="19"/>
              </w:rPr>
              <w:t xml:space="preserve">WHY TRUSTSHELL FOR THIS HACKATHON:</w:t>
            </w:r>
          </w:p>
          <w:p>
            <w:pPr>
              <w:spacing w:before="40" w:after="40"/>
            </w:pPr>
            <w:r>
              <w:rPr>
                <w:rFonts w:ascii="Arial" w:cs="Arial" w:eastAsia="Arial" w:hAnsi="Arial"/>
                <w:b w:val="false"/>
                <w:bCs w:val="false"/>
                <w:color w:val="444444"/>
                <w:sz w:val="20"/>
                <w:szCs w:val="20"/>
              </w:rPr>
              <w:t xml:space="preserve">• The judging criteria rewards builders who CREATE tools for the ecosystem, not just use ERC-8004</w:t>
            </w:r>
          </w:p>
          <w:p>
            <w:pPr>
              <w:spacing w:before="40" w:after="40"/>
            </w:pPr>
            <w:r>
              <w:rPr>
                <w:rFonts w:ascii="Arial" w:cs="Arial" w:eastAsia="Arial" w:hAnsi="Arial"/>
                <w:b w:val="false"/>
                <w:bCs w:val="false"/>
                <w:color w:val="444444"/>
                <w:sz w:val="20"/>
                <w:szCs w:val="20"/>
              </w:rPr>
              <w:t xml:space="preserve">• Every other team at this hackathon is a potential TrustShell install</w:t>
            </w:r>
          </w:p>
          <w:p>
            <w:pPr>
              <w:spacing w:before="40" w:after="40"/>
            </w:pPr>
            <w:r>
              <w:rPr>
                <w:rFonts w:ascii="Arial" w:cs="Arial" w:eastAsia="Arial" w:hAnsi="Arial"/>
                <w:b w:val="false"/>
                <w:bCs w:val="false"/>
                <w:color w:val="444444"/>
                <w:sz w:val="20"/>
                <w:szCs w:val="20"/>
              </w:rPr>
              <w:t xml:space="preserve">• The npm package IS the reference implementation the EF team wants to cite</w:t>
            </w:r>
          </w:p>
          <w:p>
            <w:pPr>
              <w:spacing w:before="40" w:after="40"/>
            </w:pPr>
            <w:r>
              <w:rPr>
                <w:rFonts w:ascii="Arial" w:cs="Arial" w:eastAsia="Arial" w:hAnsi="Arial"/>
                <w:b w:val="false"/>
                <w:bCs w:val="false"/>
                <w:color w:val="444444"/>
                <w:sz w:val="20"/>
                <w:szCs w:val="20"/>
              </w:rPr>
              <w:t xml:space="preserve">• Marco De Rossi (judge) explicitly said he wants builders who commit to the standard</w:t>
            </w:r>
          </w:p>
          <w:p>
            <w:pPr>
              <w:spacing w:before="40" w:after="40"/>
            </w:pPr>
            <w:r>
              <w:rPr>
                <w:rFonts w:ascii="Arial" w:cs="Arial" w:eastAsia="Arial" w:hAnsi="Arial"/>
                <w:b w:val="false"/>
                <w:bCs w:val="false"/>
                <w:color w:val="444444"/>
                <w:sz w:val="20"/>
                <w:szCs w:val="20"/>
              </w:rPr>
              <w:t xml:space="preserve">• TrustShell wraps ALL THREE registries in one install — the judging differentiator</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444444"/>
                <w:sz w:val="19"/>
                <w:szCs w:val="19"/>
              </w:rPr>
              <w:t xml:space="preserve">DEMO NARRATIVE:</w:t>
            </w:r>
          </w:p>
          <w:p>
            <w:pPr>
              <w:spacing w:before="40" w:after="40"/>
            </w:pPr>
            <w:r>
              <w:rPr>
                <w:rFonts w:ascii="Arial" w:cs="Arial" w:eastAsia="Arial" w:hAnsi="Arial"/>
                <w:b w:val="false"/>
                <w:bCs w:val="false"/>
                <w:color w:val="1B2A4A"/>
                <w:sz w:val="20"/>
                <w:szCs w:val="20"/>
              </w:rPr>
              <w:t xml:space="preserve">Trinity Symphony is how we built it. TrustShell is how you use it. Five minutes to see both in action.</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444444"/>
                <w:sz w:val="19"/>
                <w:szCs w:val="19"/>
              </w:rPr>
              <w:t xml:space="preserve">PATENT ANGLE FOR JUDGES:</w:t>
            </w:r>
          </w:p>
          <w:p>
            <w:pPr>
              <w:spacing w:before="40" w:after="40"/>
            </w:pPr>
            <w:r>
              <w:rPr>
                <w:rFonts w:ascii="Arial" w:cs="Arial" w:eastAsia="Arial" w:hAnsi="Arial"/>
                <w:b w:val="false"/>
                <w:bCs w:val="false"/>
                <w:color w:val="444444"/>
                <w:sz w:val="20"/>
                <w:szCs w:val="20"/>
              </w:rPr>
              <w:t xml:space="preserve">'Architecture protected by 12 provisional patent applications. TrustShell is MIT licensed — the underlying methods are not.' This makes judges take it seriously as infrastructure, not a demo.</w:t>
            </w:r>
          </w:p>
        </w:tc>
      </w:tr>
    </w:tbl>
    <w:p>
      <w:r>
        <w:t xml:space="preserve"/>
      </w:r>
    </w:p>
    <w:p>
      <w:pPr>
        <w:spacing w:before="200" w:after="80"/>
      </w:pPr>
      <w:r>
        <w:rPr>
          <w:rFonts w:ascii="Arial" w:cs="Arial" w:eastAsia="Arial" w:hAnsi="Arial"/>
          <w:b/>
          <w:bCs/>
          <w:color w:val="1B2A4A"/>
          <w:sz w:val="26"/>
          <w:szCs w:val="26"/>
        </w:rPr>
        <w:t xml:space="preserve">2.2 Solana StableHacks (If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40"/>
            </w:pPr>
            <w:r>
              <w:rPr>
                <w:rFonts w:ascii="Arial" w:cs="Arial" w:eastAsia="Arial" w:hAnsi="Arial"/>
                <w:b/>
                <w:bCs/>
                <w:color w:val="7A4F00"/>
                <w:sz w:val="24"/>
                <w:szCs w:val="24"/>
              </w:rPr>
              <w:t xml:space="preserve">PITCH: TrustRails</w:t>
            </w:r>
          </w:p>
          <w:p>
            <w:pPr>
              <w:spacing w:before="40" w:after="40"/>
            </w:pPr>
            <w:r>
              <w:rPr>
                <w:rFonts w:ascii="Arial" w:cs="Arial" w:eastAsia="Arial" w:hAnsi="Arial"/>
                <w:b w:val="false"/>
                <w:bCs w:val="false"/>
                <w:color w:val="1B2A4A"/>
                <w:sz w:val="21"/>
                <w:szCs w:val="21"/>
              </w:rPr>
              <w:t xml:space="preserve">'The accountability infrastructure for enterprise AI. Now multi-chain.'</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444444"/>
                <w:sz w:val="19"/>
                <w:szCs w:val="19"/>
              </w:rPr>
              <w:t xml:space="preserve">WHY TRUSTSRAILS FOR THIS HACKATHON:</w:t>
            </w:r>
          </w:p>
          <w:p>
            <w:pPr>
              <w:spacing w:before="40" w:after="40"/>
            </w:pPr>
            <w:r>
              <w:rPr>
                <w:rFonts w:ascii="Arial" w:cs="Arial" w:eastAsia="Arial" w:hAnsi="Arial"/>
                <w:b w:val="false"/>
                <w:bCs w:val="false"/>
                <w:color w:val="444444"/>
                <w:sz w:val="20"/>
                <w:szCs w:val="20"/>
              </w:rPr>
              <w:t xml:space="preserve">• Solana audience is more enterprise and DeFi-focused than pure developer</w:t>
            </w:r>
          </w:p>
          <w:p>
            <w:pPr>
              <w:spacing w:before="40" w:after="40"/>
            </w:pPr>
            <w:r>
              <w:rPr>
                <w:rFonts w:ascii="Arial" w:cs="Arial" w:eastAsia="Arial" w:hAnsi="Arial"/>
                <w:b w:val="false"/>
                <w:bCs w:val="false"/>
                <w:color w:val="444444"/>
                <w:sz w:val="20"/>
                <w:szCs w:val="20"/>
              </w:rPr>
              <w:t xml:space="preserve">• Multi-chain RepID portability (P-015) is the demo centerpiece</w:t>
            </w:r>
          </w:p>
          <w:p>
            <w:pPr>
              <w:spacing w:before="40" w:after="40"/>
            </w:pPr>
            <w:r>
              <w:rPr>
                <w:rFonts w:ascii="Arial" w:cs="Arial" w:eastAsia="Arial" w:hAnsi="Arial"/>
                <w:b w:val="false"/>
                <w:bCs w:val="false"/>
                <w:color w:val="444444"/>
                <w:sz w:val="20"/>
                <w:szCs w:val="20"/>
              </w:rPr>
              <w:t xml:space="preserve">• 'Same agent identity, Ethereum reputation, Solana execution' — the cross-chain trust story</w:t>
            </w:r>
          </w:p>
          <w:p>
            <w:pPr>
              <w:spacing w:before="40" w:after="40"/>
            </w:pPr>
            <w:r>
              <w:rPr>
                <w:rFonts w:ascii="Arial" w:cs="Arial" w:eastAsia="Arial" w:hAnsi="Arial"/>
                <w:b w:val="false"/>
                <w:bCs w:val="false"/>
                <w:color w:val="444444"/>
                <w:sz w:val="20"/>
                <w:szCs w:val="20"/>
              </w:rPr>
              <w:t xml:space="preserve">• TrustRails enterprise framing matches DeFi institutional buyer mentality</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19"/>
                <w:szCs w:val="19"/>
              </w:rPr>
              <w:t xml:space="preserve">REQUIREMENTS BEFORE SUBMITTING:</w:t>
            </w:r>
          </w:p>
          <w:p>
            <w:pPr>
              <w:spacing w:before="40" w:after="40"/>
            </w:pPr>
            <w:r>
              <w:rPr>
                <w:rFonts w:ascii="Arial" w:cs="Arial" w:eastAsia="Arial" w:hAnsi="Arial"/>
                <w:b w:val="false"/>
                <w:bCs w:val="false"/>
                <w:color w:val="8B1A1A"/>
                <w:sz w:val="20"/>
                <w:szCs w:val="20"/>
              </w:rPr>
              <w:t xml:space="preserve">• One real SPL-USDC transaction on Solana devnet with verifiable tx hash</w:t>
            </w:r>
          </w:p>
          <w:p>
            <w:pPr>
              <w:spacing w:before="40" w:after="40"/>
            </w:pPr>
            <w:r>
              <w:rPr>
                <w:rFonts w:ascii="Arial" w:cs="Arial" w:eastAsia="Arial" w:hAnsi="Arial"/>
                <w:b w:val="false"/>
                <w:bCs w:val="false"/>
                <w:color w:val="444444"/>
                <w:sz w:val="20"/>
                <w:szCs w:val="20"/>
              </w:rPr>
              <w:t xml:space="preserve">• rust-brain /zkp/verify endpoint responding on Railway</w:t>
            </w:r>
          </w:p>
          <w:p>
            <w:pPr>
              <w:spacing w:before="40" w:after="40"/>
            </w:pPr>
            <w:r>
              <w:rPr>
                <w:rFonts w:ascii="Arial" w:cs="Arial" w:eastAsia="Arial" w:hAnsi="Arial"/>
                <w:b w:val="false"/>
                <w:bCs w:val="false"/>
                <w:color w:val="444444"/>
                <w:sz w:val="20"/>
                <w:szCs w:val="20"/>
              </w:rPr>
              <w:t xml:space="preserve">• ERC-8004 Base Sepolia → Solana devnet RepID bridge demonstrated</w:t>
            </w:r>
          </w:p>
          <w:p>
            <w:pPr>
              <w:spacing w:before="40" w:after="40"/>
            </w:pPr>
            <w:r>
              <w:rPr>
                <w:rFonts w:ascii="Arial" w:cs="Arial" w:eastAsia="Arial" w:hAnsi="Arial"/>
                <w:b w:val="false"/>
                <w:bCs w:val="false"/>
                <w:color w:val="7A4F00"/>
                <w:sz w:val="20"/>
                <w:szCs w:val="20"/>
              </w:rPr>
              <w:t xml:space="preserve">Note: Only submit Solana AFTER ERC-8004 submission is fully complete. Not before.</w:t>
            </w:r>
          </w:p>
        </w:tc>
      </w:tr>
    </w:tbl>
    <w:p>
      <w:r>
        <w:t xml:space="preserve"/>
      </w:r>
    </w:p>
    <w:p>
      <w:pPr>
        <w:spacing w:before="200" w:after="80"/>
      </w:pPr>
      <w:r>
        <w:rPr>
          <w:rFonts w:ascii="Arial" w:cs="Arial" w:eastAsia="Arial" w:hAnsi="Arial"/>
          <w:b/>
          <w:bCs/>
          <w:color w:val="1B2A4A"/>
          <w:sz w:val="26"/>
          <w:szCs w:val="26"/>
        </w:rPr>
        <w:t xml:space="preserve">2.3 Future Hackathons (DeFi / AI Agent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0" w:val="clear"/>
            <w:tcMar>
              <w:top w:type="dxa" w:w="140"/>
              <w:left w:type="dxa" w:w="220"/>
              <w:bottom w:type="dxa" w:w="140"/>
              <w:right w:type="dxa" w:w="220"/>
            </w:tcMar>
          </w:tcPr>
          <w:p>
            <w:pPr>
              <w:spacing w:before="0" w:after="40"/>
            </w:pPr>
            <w:r>
              <w:rPr>
                <w:rFonts w:ascii="Arial" w:cs="Arial" w:eastAsia="Arial" w:hAnsi="Arial"/>
                <w:b/>
                <w:bCs/>
                <w:color w:val="2C3E50"/>
                <w:sz w:val="24"/>
                <w:szCs w:val="24"/>
              </w:rPr>
              <w:t xml:space="preserve">PITCH: TrustSquad</w:t>
            </w:r>
          </w:p>
          <w:p>
            <w:pPr>
              <w:spacing w:before="40" w:after="40"/>
            </w:pPr>
            <w:r>
              <w:rPr>
                <w:rFonts w:ascii="Arial" w:cs="Arial" w:eastAsia="Arial" w:hAnsi="Arial"/>
                <w:b w:val="false"/>
                <w:bCs w:val="false"/>
                <w:color w:val="1B2A4A"/>
                <w:sz w:val="21"/>
                <w:szCs w:val="21"/>
              </w:rPr>
              <w:t xml:space="preserve">'Your personal AI squad. Three specialists. Verified consensus. Gets smarter while you sleep.'</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444444"/>
                <w:sz w:val="19"/>
                <w:szCs w:val="19"/>
              </w:rPr>
              <w:t xml:space="preserve">WHY TRUSTSQUAD FOR FUTURE HACKATHONS:</w:t>
            </w:r>
          </w:p>
          <w:p>
            <w:pPr>
              <w:spacing w:before="40" w:after="40"/>
            </w:pPr>
            <w:r>
              <w:rPr>
                <w:rFonts w:ascii="Arial" w:cs="Arial" w:eastAsia="Arial" w:hAnsi="Arial"/>
                <w:b w:val="false"/>
                <w:bCs w:val="false"/>
                <w:color w:val="444444"/>
                <w:sz w:val="20"/>
                <w:szCs w:val="20"/>
              </w:rPr>
              <w:t xml:space="preserve">• Consumer/prosumer angle — broader audience than developer tools</w:t>
            </w:r>
          </w:p>
          <w:p>
            <w:pPr>
              <w:spacing w:before="40" w:after="40"/>
            </w:pPr>
            <w:r>
              <w:rPr>
                <w:rFonts w:ascii="Arial" w:cs="Arial" w:eastAsia="Arial" w:hAnsi="Arial"/>
                <w:b w:val="false"/>
                <w:bCs w:val="false"/>
                <w:color w:val="444444"/>
                <w:sz w:val="20"/>
                <w:szCs w:val="20"/>
              </w:rPr>
              <w:t xml:space="preserve">• The idle collective learning network is the most innovative feature — no competitor has it</w:t>
            </w:r>
          </w:p>
          <w:p>
            <w:pPr>
              <w:spacing w:before="40" w:after="40"/>
            </w:pPr>
            <w:r>
              <w:rPr>
                <w:rFonts w:ascii="Arial" w:cs="Arial" w:eastAsia="Arial" w:hAnsi="Arial"/>
                <w:b w:val="false"/>
                <w:bCs w:val="false"/>
                <w:color w:val="444444"/>
                <w:sz w:val="20"/>
                <w:szCs w:val="20"/>
              </w:rPr>
              <w:t xml:space="preserve">• BYOK + specialist marketplace = ecosystem play judges will fund</w:t>
            </w:r>
          </w:p>
          <w:p>
            <w:pPr>
              <w:spacing w:before="40" w:after="40"/>
            </w:pPr>
            <w:r>
              <w:rPr>
                <w:rFonts w:ascii="Arial" w:cs="Arial" w:eastAsia="Arial" w:hAnsi="Arial"/>
                <w:b w:val="false"/>
                <w:bCs w:val="false"/>
                <w:color w:val="444444"/>
                <w:sz w:val="20"/>
                <w:szCs w:val="20"/>
              </w:rPr>
              <w:t xml:space="preserve">• Best positioned for AI agent consumer product categories</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val="false"/>
                <w:bCs w:val="false"/>
                <w:color w:val="888888"/>
                <w:sz w:val="20"/>
                <w:szCs w:val="20"/>
              </w:rPr>
              <w:t xml:space="preserve">BUILD READINESS: Post-March 22. Domain secured (trustsquad.dev). Patent filed (P-017). Product designed. Not yet built.</w:t>
            </w:r>
          </w:p>
        </w:tc>
      </w:tr>
    </w:tbl>
    <w:p>
      <w:r>
        <w:t xml:space="preserve"/>
      </w:r>
    </w:p>
    <w:p>
      <w:pPr>
        <w:spacing w:before="200" w:after="80"/>
      </w:pPr>
      <w:r>
        <w:rPr>
          <w:rFonts w:ascii="Arial" w:cs="Arial" w:eastAsia="Arial" w:hAnsi="Arial"/>
          <w:b/>
          <w:bCs/>
          <w:color w:val="1B2A4A"/>
          <w:sz w:val="26"/>
          <w:szCs w:val="26"/>
        </w:rPr>
        <w:t xml:space="preserve">2.4 The Universal Pitch Frame (Works for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Act</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What to Say</w:t>
            </w:r>
          </w:p>
        </w:tc>
      </w:tr>
      <w:tr>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ACT 1: The Problem</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Every existing AI system asks you to TRUST its output. Nobody asks: can you VERIFY it? Can you AUDIT it? Can you mathematically prevent the wrong decision before it fires?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ACT 2: The Demo</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Watch what 12 agents do in 4 minutes. Every step: on-chain, auditable, mathematically gated. This is not a simulation. This is production infrastructure.</w:t>
            </w:r>
          </w:p>
        </w:tc>
      </w:tr>
      <w:tr>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ACT 3: The Product</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Six months. 276 Supabase tables. 12 Railway agents. 12 provisional patents. And now [TrustShell/TrustRails/TrustSquad] — the extractable product any developer can use today.</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3 — Complete Patent Portfolio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560"/>
        <w:gridCol w:w="300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ID</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Title</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Status</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Deadline</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Grok Action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P-001</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HyperDAG Core DAG Architecture</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 exact claims as filed. Identify any gap.</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P-002</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Multiplicative GNN + HyperDAG Multi-Agent Coordination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8B1A1A"/>
                <w:sz w:val="17"/>
                <w:szCs w:val="17"/>
              </w:rPr>
              <w:t xml:space="preserve">Non-prov: Aug 17 2026 ⚠️</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URGENT: Engage attorney by June 1. Confirm BFT claims NOT duplicated here — those belong in P-005.</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P-003</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HIAS — Hybrid Intelligent Agent System with BFT/SBFA/SBT-DBT</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FILED (repurposed)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 this is now filed with the HIAS framing. Verify no overlap with P-005 BFT claims.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P-004</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ANFIS Intelligent LLM Routing + LAOP</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LAOP is the most unique claim — protect it. Confirm subroutine claims don't duplicate P-002 DAG structure.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BFT φ-Weighted Consensus + Pythagorean Comma Veto</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 veto threshold mechanism is the primary claim. Separate from P-009 drift detection.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URGENT: What is P-006? List title and core claims.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P-007</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URGENT: What is P-007? List title and core claims.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P-008</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URGENT: What is P-008? List title and core claims.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P-009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Pythagorean Comma Pre-Trade Drift Detection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Keep separate from P-005. Claim the specific KL-divergence drift metric. Identity spoofing detection in Claim 5.</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P-010</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Unknown — confirm with Grok</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URGENT: What is P-010? List title and core claims.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P-011</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RepID-Gated Payment Authorization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PATENT GATE: Do NOT publish the T=floor(2000×log₁₀...) formula in README or video until non-prov filed.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P-012</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NEXUS CRE Five-System Novel Combination</w:t>
            </w:r>
          </w:p>
        </w:tc>
        <w:tc>
          <w:tcPr>
            <w:tcW w:type="dxa" w:w="17"/>
            <w:tcBorders>
              <w:top w:val="single" w:color="CCCCCC" w:sz="1"/>
              <w:left w:val="single" w:color="CCCCCC" w:sz="1"/>
              <w:bottom w:val="single" w:color="CCCCCC" w:sz="1"/>
              <w:right w:val="single" w:color="CCCCCC" w:sz="1"/>
            </w:tcBorders>
            <w:shd w:fill="D6F0E0" w:val="clear"/>
            <w:tcMar>
              <w:top w:type="dxa" w:w="80"/>
              <w:left w:type="dxa" w:w="110"/>
              <w:bottom w:type="dxa" w:w="80"/>
              <w:right w:type="dxa" w:w="110"/>
            </w:tcMar>
          </w:tcPr>
          <w:p>
            <w:r>
              <w:rPr>
                <w:rFonts w:ascii="Arial" w:cs="Arial" w:eastAsia="Arial" w:hAnsi="Arial"/>
                <w:b/>
                <w:bCs/>
                <w:i w:val="false"/>
                <w:iCs w:val="false"/>
                <w:color w:val="1A6B3C"/>
                <w:sz w:val="17"/>
                <w:szCs w:val="17"/>
              </w:rPr>
              <w:t xml:space="preserve">FILED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Non-prov: TBD</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References P-002, P-004, P-005 as prior art. Confirm combination claims are specific to CRE application.</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P-013</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DBT→SBT Human Accountability Chain with 4FA + ZKP</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FILE NOW</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Before Mar 22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File immediately. Sole inventor: Sean Patrick Goodwin ONLY. No AI co-inventors.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P-014</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Night Shift Autonomous Token Budget Scavenger</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FILE NOW</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Before Mar 22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File immediately. Multi-provider time-limited capacity optimization. Novel method.</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Multi-Chain RepID Portability via ZKP Bridge</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FILE NOW</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Before Mar 22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File immediately. EVM→Solana demonstrated in hackathon = reduction to practice.</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ANFIS-Routed Polyglot Decentralized Data Fabric</w:t>
            </w:r>
          </w:p>
        </w:tc>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FILE NOW</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Before Mar 22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File immediately. Novel combination: ANFIS + polyglot + ZKP access + self-adapting schema.</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P-017</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TrustSquad 4-Agent BFT Swarm + Idle Collective Learning</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FILE APRIL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Before Apr 15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Draft after March 22. Idle learning ZKP privacy guarantee is the most novel claim.</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P-018</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Semantic Cache + pgvector Pre-screening</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CONSIDER</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Apr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Evaluate whether sufficiently novel vs existing vector DB caching methods.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P-019</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SBFA Multi-Provider Epistemic Diversity</w:t>
            </w:r>
          </w:p>
        </w:tc>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CONSIDER</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Apr 2026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Evaluate whether enforced LLM family diversity is novel as a standalone claim.</w:t>
            </w:r>
          </w:p>
        </w:tc>
      </w:tr>
    </w:tbl>
    <w:p>
      <w:r>
        <w:br w:type="page"/>
      </w:r>
    </w:p>
    <w:p>
      <w:pPr>
        <w:pBdr>
          <w:bottom w:val="single" w:color="C9A84C" w:sz="6" w:space="1"/>
        </w:pBdr>
        <w:spacing w:before="160" w:after="100"/>
      </w:pPr>
      <w:r>
        <w:rPr>
          <w:rFonts w:ascii="Arial" w:cs="Arial" w:eastAsia="Arial" w:hAnsi="Arial"/>
          <w:b/>
          <w:bCs/>
          <w:color w:val="1B2A4A"/>
          <w:sz w:val="36"/>
          <w:szCs w:val="36"/>
        </w:rPr>
        <w:t xml:space="preserve">SECTION 4 — Critical Rules for Patent Filings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40"/>
              <w:left w:type="dxa" w:w="220"/>
              <w:bottom w:type="dxa" w:w="140"/>
              <w:right w:type="dxa" w:w="220"/>
            </w:tcMar>
          </w:tcPr>
          <w:p>
            <w:pPr>
              <w:spacing w:before="0" w:after="40"/>
            </w:pPr>
            <w:r>
              <w:rPr>
                <w:rFonts w:ascii="Arial" w:cs="Arial" w:eastAsia="Arial" w:hAnsi="Arial"/>
                <w:b/>
                <w:bCs/>
                <w:color w:val="8B1A1A"/>
                <w:sz w:val="20"/>
                <w:szCs w:val="20"/>
              </w:rPr>
              <w:t xml:space="preserve">RULE 1 — INVENTOR DESIGNATION</w:t>
            </w:r>
          </w:p>
          <w:p>
            <w:pPr>
              <w:spacing w:before="40" w:after="40"/>
            </w:pPr>
            <w:r>
              <w:rPr>
                <w:rFonts w:ascii="Arial" w:cs="Arial" w:eastAsia="Arial" w:hAnsi="Arial"/>
                <w:b w:val="false"/>
                <w:bCs w:val="false"/>
                <w:color w:val="444444"/>
                <w:sz w:val="20"/>
                <w:szCs w:val="20"/>
              </w:rPr>
              <w:t xml:space="preserve">Sole inventor on ALL applications: Sean Patrick Goodwin</w:t>
            </w:r>
          </w:p>
          <w:p>
            <w:pPr>
              <w:spacing w:before="40" w:after="40"/>
            </w:pPr>
            <w:r>
              <w:rPr>
                <w:rFonts w:ascii="Arial" w:cs="Arial" w:eastAsia="Arial" w:hAnsi="Arial"/>
                <w:b w:val="false"/>
                <w:bCs w:val="false"/>
                <w:color w:val="444444"/>
                <w:sz w:val="20"/>
                <w:szCs w:val="20"/>
              </w:rPr>
              <w:t xml:space="preserve">Do NOT list Grok, Claude, Gemini, or any AI as co-inventor.</w:t>
            </w:r>
          </w:p>
          <w:p>
            <w:pPr>
              <w:spacing w:before="40" w:after="40"/>
            </w:pPr>
            <w:r>
              <w:rPr>
                <w:rFonts w:ascii="Arial" w:cs="Arial" w:eastAsia="Arial" w:hAnsi="Arial"/>
                <w:b w:val="false"/>
                <w:bCs w:val="false"/>
                <w:color w:val="444444"/>
                <w:sz w:val="20"/>
                <w:szCs w:val="20"/>
              </w:rPr>
              <w:t xml:space="preserve">Under 35 USC § 101 and Thaler v. Vidal (Fed. Cir. 2022), AI cannot be a patent inventor.</w:t>
            </w:r>
          </w:p>
          <w:p>
            <w:pPr>
              <w:spacing w:before="40" w:after="40"/>
            </w:pPr>
            <w:r>
              <w:rPr>
                <w:rFonts w:ascii="Arial" w:cs="Arial" w:eastAsia="Arial" w:hAnsi="Arial"/>
                <w:b/>
                <w:bCs/>
                <w:color w:val="8B1A1A"/>
                <w:sz w:val="20"/>
                <w:szCs w:val="20"/>
              </w:rPr>
              <w:t xml:space="preserve">Listing AI as inventor = automatic rejection. Remove from all prior filings if present.</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20"/>
                <w:szCs w:val="20"/>
              </w:rPr>
              <w:t xml:space="preserve">RULE 2 — KEEP PATENTS SEPARATE</w:t>
            </w:r>
          </w:p>
          <w:p>
            <w:pPr>
              <w:spacing w:before="40" w:after="40"/>
            </w:pPr>
            <w:r>
              <w:rPr>
                <w:rFonts w:ascii="Arial" w:cs="Arial" w:eastAsia="Arial" w:hAnsi="Arial"/>
                <w:b w:val="false"/>
                <w:bCs w:val="false"/>
                <w:color w:val="444444"/>
                <w:sz w:val="20"/>
                <w:szCs w:val="20"/>
              </w:rPr>
              <w:t xml:space="preserve">Do NOT consolidate to fewer patents as suggested in earlier drafts.</w:t>
            </w:r>
          </w:p>
          <w:p>
            <w:pPr>
              <w:spacing w:before="40" w:after="40"/>
            </w:pPr>
            <w:r>
              <w:rPr>
                <w:rFonts w:ascii="Arial" w:cs="Arial" w:eastAsia="Arial" w:hAnsi="Arial"/>
                <w:b w:val="false"/>
                <w:bCs w:val="false"/>
                <w:color w:val="444444"/>
                <w:sz w:val="20"/>
                <w:szCs w:val="20"/>
              </w:rPr>
              <w:t xml:space="preserve">Separate filings = separate protection. If one gets rejected, others stand.</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20"/>
                <w:szCs w:val="20"/>
              </w:rPr>
              <w:t xml:space="preserve">RULE 3 — OVERLAP MANAGEMENT</w:t>
            </w:r>
          </w:p>
          <w:p>
            <w:pPr>
              <w:spacing w:before="40" w:after="40"/>
            </w:pPr>
            <w:r>
              <w:rPr>
                <w:rFonts w:ascii="Arial" w:cs="Arial" w:eastAsia="Arial" w:hAnsi="Arial"/>
                <w:b w:val="false"/>
                <w:bCs w:val="false"/>
                <w:color w:val="444444"/>
                <w:sz w:val="20"/>
                <w:szCs w:val="20"/>
              </w:rPr>
              <w:t xml:space="preserve">P-002 claims: DAG structure ONLY. Not BFT (P-005). Not ANFIS (P-004).</w:t>
            </w:r>
          </w:p>
          <w:p>
            <w:pPr>
              <w:spacing w:before="40" w:after="40"/>
            </w:pPr>
            <w:r>
              <w:rPr>
                <w:rFonts w:ascii="Arial" w:cs="Arial" w:eastAsia="Arial" w:hAnsi="Arial"/>
                <w:b w:val="false"/>
                <w:bCs w:val="false"/>
                <w:color w:val="444444"/>
                <w:sz w:val="20"/>
                <w:szCs w:val="20"/>
              </w:rPr>
              <w:t xml:space="preserve">P-005 claims: BFT consensus method + veto. Not drift formula (P-009).</w:t>
            </w:r>
          </w:p>
          <w:p>
            <w:pPr>
              <w:spacing w:before="40" w:after="40"/>
            </w:pPr>
            <w:r>
              <w:rPr>
                <w:rFonts w:ascii="Arial" w:cs="Arial" w:eastAsia="Arial" w:hAnsi="Arial"/>
                <w:b w:val="false"/>
                <w:bCs w:val="false"/>
                <w:color w:val="444444"/>
                <w:sz w:val="20"/>
                <w:szCs w:val="20"/>
              </w:rPr>
              <w:t xml:space="preserve">P-004 claims: ANFIS routing + LAOP. Not HyperDAG structure (P-002).</w:t>
            </w:r>
          </w:p>
          <w:p>
            <w:pPr>
              <w:spacing w:before="40" w:after="40"/>
            </w:pPr>
            <w:r>
              <w:rPr>
                <w:rFonts w:ascii="Arial" w:cs="Arial" w:eastAsia="Arial" w:hAnsi="Arial"/>
                <w:b w:val="false"/>
                <w:bCs w:val="false"/>
                <w:color w:val="444444"/>
                <w:sz w:val="20"/>
                <w:szCs w:val="20"/>
              </w:rPr>
              <w:t xml:space="preserve">P-011 claims: RepID-gated payment. Do not describe the full RepID system (P-002).</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20"/>
                <w:szCs w:val="20"/>
              </w:rPr>
              <w:t xml:space="preserve">RULE 4 — PATENT GATE (DO NOT PUBLISH)</w:t>
            </w:r>
          </w:p>
          <w:p>
            <w:pPr>
              <w:spacing w:before="40" w:after="40"/>
            </w:pPr>
            <w:r>
              <w:rPr>
                <w:rFonts w:ascii="Arial" w:cs="Arial" w:eastAsia="Arial" w:hAnsi="Arial"/>
                <w:b w:val="false"/>
                <w:bCs w:val="false"/>
                <w:color w:val="444444"/>
                <w:sz w:val="20"/>
                <w:szCs w:val="20"/>
              </w:rPr>
              <w:t xml:space="preserve">The T=floor(2000×log₁₀(amount×1000+1)×(1.5−virtue_score)) formula: NOT in README, video, or public docs.</w:t>
            </w:r>
          </w:p>
          <w:p>
            <w:pPr>
              <w:spacing w:before="40" w:after="40"/>
            </w:pPr>
            <w:r>
              <w:rPr>
                <w:rFonts w:ascii="Arial" w:cs="Arial" w:eastAsia="Arial" w:hAnsi="Arial"/>
                <w:b w:val="false"/>
                <w:bCs w:val="false"/>
                <w:color w:val="444444"/>
                <w:sz w:val="20"/>
                <w:szCs w:val="20"/>
              </w:rPr>
              <w:t xml:space="preserve">ANFIS parameter architecture (c, a, b membership function values): NOT in public docs.</w:t>
            </w:r>
          </w:p>
          <w:p>
            <w:pPr>
              <w:spacing w:before="40" w:after="40"/>
            </w:pPr>
            <w:r>
              <w:rPr>
                <w:rFonts w:ascii="Arial" w:cs="Arial" w:eastAsia="Arial" w:hAnsi="Arial"/>
                <w:b w:val="false"/>
                <w:bCs w:val="false"/>
                <w:color w:val="444444"/>
                <w:sz w:val="20"/>
                <w:szCs w:val="20"/>
              </w:rPr>
              <w:t xml:space="preserve">GNN training methodology: NOT in public docs.</w:t>
            </w:r>
          </w:p>
          <w:p>
            <w:pPr>
              <w:spacing w:before="40" w:after="40"/>
            </w:pPr>
            <w:r>
              <w:rPr>
                <w:rFonts w:ascii="Arial" w:cs="Arial" w:eastAsia="Arial" w:hAnsi="Arial"/>
                <w:b w:val="false"/>
                <w:bCs w:val="false"/>
                <w:color w:val="444444"/>
                <w:sz w:val="20"/>
                <w:szCs w:val="20"/>
              </w:rPr>
              <w:t xml:space="preserve">BFT veto algorithm specifics: NOT in public docs.</w:t>
            </w:r>
          </w:p>
          <w:p>
            <w:pPr>
              <w:spacing w:before="40" w:after="40"/>
            </w:pPr>
            <w:r>
              <w:rPr>
                <w:rFonts w:ascii="Arial" w:cs="Arial" w:eastAsia="Arial" w:hAnsi="Arial"/>
                <w:b w:val="false"/>
                <w:bCs w:val="false"/>
                <w:color w:val="444444"/>
                <w:sz w:val="20"/>
                <w:szCs w:val="20"/>
              </w:rPr>
              <w:t xml:space="preserve">Conceptual descriptions are fine. Specific formulas are not until non-provisionals are filed.</w:t>
            </w:r>
          </w:p>
        </w:tc>
      </w:tr>
    </w:tbl>
    <w:p>
      <w:r>
        <w:t xml:space="preserve"/>
      </w:r>
    </w:p>
    <w:p>
      <w:pPr>
        <w:spacing w:before="200" w:after="80"/>
      </w:pPr>
      <w:r>
        <w:rPr>
          <w:rFonts w:ascii="Arial" w:cs="Arial" w:eastAsia="Arial" w:hAnsi="Arial"/>
          <w:b/>
          <w:bCs/>
          <w:color w:val="1B2A4A"/>
          <w:sz w:val="26"/>
          <w:szCs w:val="26"/>
        </w:rPr>
        <w:t xml:space="preserve">4.1 Reduction-to-Practice Evidence — Collect March 22</w:t>
      </w:r>
    </w:p>
    <w:p>
      <w:pPr>
        <w:spacing w:before="60" w:after="60"/>
      </w:pPr>
      <w:r>
        <w:rPr>
          <w:rFonts w:ascii="Arial" w:cs="Arial" w:eastAsia="Arial" w:hAnsi="Arial"/>
          <w:b w:val="false"/>
          <w:bCs w:val="false"/>
          <w:i w:val="false"/>
          <w:iCs w:val="false"/>
          <w:color w:val="444444"/>
          <w:sz w:val="20"/>
          <w:szCs w:val="20"/>
        </w:rPr>
        <w:t xml:space="preserve">The hackathon submission is a court-admissible reduction-to-practice event. Preserve all of these immediately after submission: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Evidence Item</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What to Save</w:t>
            </w:r>
          </w:p>
        </w:tc>
      </w:tr>
      <w:tr>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Video URL</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X post URL + timestamp of hackathon demo video</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GitHub commit hash</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Exact commit hash at time of LabLab.ai submission</w:t>
            </w:r>
          </w:p>
        </w:tc>
      </w:tr>
      <w:tr>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Verified tx hash</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0x92be19f78a23bdd93cfa2fa8bb5a64de937915cd1f3bf9b9276e6294f8a8b978 + BaseScan screenshot</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LabLab.ai confirmation</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Submission confirmation email — screenshot and save</w:t>
            </w:r>
          </w:p>
        </w:tc>
      </w:tr>
      <w:tr>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ERC-8004 registrations</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BaseScan screenshots of all 12 agent registrations</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Supabase logs</w:t>
            </w:r>
          </w:p>
        </w:tc>
        <w:tc>
          <w:tcPr>
            <w:tcW w:type="dxa" w:w="17"/>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Export sprint_reports and trinity_agent_logs from March 22</w:t>
            </w:r>
          </w:p>
        </w:tc>
      </w:tr>
      <w:tr>
        <w:tc>
          <w:tcPr>
            <w:tcW w:type="dxa" w:w="17"/>
            <w:tcBorders>
              <w:top w:val="single" w:color="CCCCCC" w:sz="1"/>
              <w:left w:val="single" w:color="CCCCCC" w:sz="1"/>
              <w:bottom w:val="single" w:color="CCCCCC" w:sz="1"/>
              <w:right w:val="single" w:color="CCCCCC" w:sz="1"/>
            </w:tcBorders>
            <w:shd w:fill="EEF3F8"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Telegram 6AM report</w:t>
            </w:r>
          </w:p>
        </w:tc>
        <w:tc>
          <w:tcPr>
            <w:tcW w:type="dxa" w:w="17"/>
            <w:tcBorders>
              <w:top w:val="single" w:color="CCCCCC" w:sz="1"/>
              <w:left w:val="single" w:color="CCCCCC" w:sz="1"/>
              <w:bottom w:val="single" w:color="CCCCCC" w:sz="1"/>
              <w:right w:val="single" w:color="CCCCCC" w:sz="1"/>
            </w:tcBorders>
            <w:shd w:fill="F9FA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Screenshot of overnight sprint completion message</w:t>
            </w:r>
          </w:p>
        </w:tc>
      </w:tr>
    </w:tbl>
    <w:p>
      <w:r>
        <w:t xml:space="preserve"/>
      </w:r>
    </w:p>
    <w:p>
      <w:pPr>
        <w:spacing w:before="60" w:after="60"/>
      </w:pPr>
      <w:r>
        <w:rPr>
          <w:rFonts w:ascii="Arial" w:cs="Arial" w:eastAsia="Arial" w:hAnsi="Arial"/>
          <w:b w:val="false"/>
          <w:bCs w:val="false"/>
          <w:i/>
          <w:iCs/>
          <w:color w:val="888888"/>
          <w:sz w:val="20"/>
          <w:szCs w:val="20"/>
        </w:rPr>
        <w:t xml:space="preserve">Store everything in: /patent-evidence/2026-03-22-hackathon/ — timestamped folder.</w:t>
      </w:r>
    </w:p>
    <w:p>
      <w:r>
        <w:t xml:space="preserve"/>
      </w:r>
    </w:p>
    <w:p>
      <w:pPr>
        <w:spacing w:before="200" w:after="80"/>
      </w:pPr>
      <w:r>
        <w:rPr>
          <w:rFonts w:ascii="Arial" w:cs="Arial" w:eastAsia="Arial" w:hAnsi="Arial"/>
          <w:b/>
          <w:bCs/>
          <w:color w:val="1B2A4A"/>
          <w:sz w:val="26"/>
          <w:szCs w:val="26"/>
        </w:rPr>
        <w:t xml:space="preserve">4.2 The Dual License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20"/>
              <w:bottom w:type="dxa" w:w="140"/>
              <w:right w:type="dxa" w:w="220"/>
            </w:tcMar>
          </w:tcPr>
          <w:p>
            <w:pPr>
              <w:spacing w:before="0" w:after="40"/>
            </w:pPr>
            <w:r>
              <w:rPr>
                <w:rFonts w:ascii="Arial" w:cs="Arial" w:eastAsia="Arial" w:hAnsi="Arial"/>
                <w:b/>
                <w:bCs/>
                <w:color w:val="1B2A4A"/>
                <w:sz w:val="20"/>
                <w:szCs w:val="20"/>
              </w:rPr>
              <w:t xml:space="preserve">HyperDAG Open Trust License (HOTL) — Draft before April 30</w:t>
            </w:r>
          </w:p>
          <w:p>
            <w:pPr>
              <w:spacing w:before="40" w:after="40"/>
            </w:pPr>
            <w:r>
              <w:rPr>
                <w:rFonts w:ascii="Arial" w:cs="Arial" w:eastAsia="Arial" w:hAnsi="Arial"/>
                <w:b w:val="false"/>
                <w:bCs w:val="false"/>
                <w:color w:val="444444"/>
                <w:sz w:val="20"/>
                <w:szCs w:val="20"/>
              </w:rPr>
              <w:t xml:space="preserve">Model: Business Source License (BSL) — same model as MySQL, MongoDB, Qt</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1A6B3C"/>
                <w:sz w:val="20"/>
                <w:szCs w:val="20"/>
              </w:rPr>
              <w:t xml:space="preserve">FREE FOR: Individual developers · Open source projects · Non-profits · Academic use · Hackathons · The last, the lost, and the least (Micah 6:8 organizations)</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bCs/>
                <w:color w:val="8B1A1A"/>
                <w:sz w:val="20"/>
                <w:szCs w:val="20"/>
              </w:rPr>
              <w:t xml:space="preserve">COMMERCIAL LICENSE REQUIRED: Companies &gt;$1M ARR · SaaS products · Enterprise deployment · Regulated industries</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val="false"/>
                <w:bCs w:val="false"/>
                <w:color w:val="444444"/>
                <w:sz w:val="20"/>
                <w:szCs w:val="20"/>
              </w:rPr>
              <w:t xml:space="preserve">PRICING: Startup &lt;$10M ARR: $5,000/yr · Growth $10M-$100M: $25,000/yr · Enterprise: $100,000+</w:t>
            </w:r>
          </w:p>
          <w:p>
            <w:pPr>
              <w:spacing w:before="40" w:after="40"/>
            </w:pPr>
            <w:r>
              <w:rPr>
                <w:rFonts w:ascii="Arial" w:cs="Arial" w:eastAsia="Arial" w:hAnsi="Arial"/>
                <w:b w:val="false"/>
                <w:bCs w:val="false"/>
                <w:color w:val="444444"/>
                <w:sz w:val="8"/>
                <w:szCs w:val="8"/>
              </w:rPr>
              <w:t xml:space="preserve"/>
            </w:r>
          </w:p>
          <w:p>
            <w:pPr>
              <w:spacing w:before="40" w:after="40"/>
            </w:pPr>
            <w:r>
              <w:rPr>
                <w:rFonts w:ascii="Arial" w:cs="Arial" w:eastAsia="Arial" w:hAnsi="Arial"/>
                <w:b w:val="false"/>
                <w:bCs w:val="false"/>
                <w:color w:val="888888"/>
                <w:sz w:val="20"/>
                <w:szCs w:val="20"/>
              </w:rPr>
              <w:t xml:space="preserve">BSL converts to Apache 2.0 after 4 years — keeps commercial window relevant for the period that matters.</w:t>
            </w:r>
          </w:p>
        </w:tc>
      </w:tr>
    </w:tbl>
    <w:p>
      <w:r>
        <w:t xml:space="preserve"/>
      </w:r>
    </w:p>
    <w:p>
      <w:pPr>
        <w:spacing w:before="200" w:after="80"/>
      </w:pPr>
      <w:r>
        <w:rPr>
          <w:rFonts w:ascii="Arial" w:cs="Arial" w:eastAsia="Arial" w:hAnsi="Arial"/>
          <w:b/>
          <w:bCs/>
          <w:color w:val="1B2A4A"/>
          <w:sz w:val="26"/>
          <w:szCs w:val="26"/>
        </w:rPr>
        <w:t xml:space="preserve">4.3 Grok's Priority Action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Priority</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Action</w:t>
            </w:r>
          </w:p>
        </w:tc>
        <w:tc>
          <w:tcPr>
            <w:tcW w:type="dxa" w:w="18"/>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Notes</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P0 — TODAY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File P-013</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DBT→SBT Human Accountability Chain. Claims in patent strategy doc Section 3.</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P0 — TODAY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File P-014</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Night Shift Token Scavenger. Claims in patent strategy doc Section 3.</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P0 — TODAY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File P-015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Multi-Chain RepID Portability. Claims in patent strategy doc Section 3.</w:t>
            </w:r>
          </w:p>
        </w:tc>
      </w:tr>
      <w:tr>
        <w:tc>
          <w:tcPr>
            <w:tcW w:type="dxa" w:w="17"/>
            <w:tcBorders>
              <w:top w:val="single" w:color="CCCCCC" w:sz="1"/>
              <w:left w:val="single" w:color="CCCCCC" w:sz="1"/>
              <w:bottom w:val="single" w:color="CCCCCC" w:sz="1"/>
              <w:right w:val="single" w:color="CCCCCC" w:sz="1"/>
            </w:tcBorders>
            <w:shd w:fill="FAE0E0" w:val="clear"/>
            <w:tcMar>
              <w:top w:type="dxa" w:w="80"/>
              <w:left w:type="dxa" w:w="110"/>
              <w:bottom w:type="dxa" w:w="80"/>
              <w:right w:type="dxa" w:w="110"/>
            </w:tcMar>
          </w:tcPr>
          <w:p>
            <w:r>
              <w:rPr>
                <w:rFonts w:ascii="Arial" w:cs="Arial" w:eastAsia="Arial" w:hAnsi="Arial"/>
                <w:b/>
                <w:bCs/>
                <w:i w:val="false"/>
                <w:iCs w:val="false"/>
                <w:color w:val="8B1A1A"/>
                <w:sz w:val="17"/>
                <w:szCs w:val="17"/>
              </w:rPr>
              <w:t xml:space="preserve">P0 — TODAY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File P-016</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ANFIS Polyglot Data Fabric. Claims in patent strategy doc Section 3.</w:t>
            </w:r>
          </w:p>
        </w:tc>
      </w:tr>
      <w:tr>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P1 — THIS WEEK</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Identify P-003/006/007/008/010</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What are these five unknown provisionals? List title and core claims from August 2025 filings.</w:t>
            </w:r>
          </w:p>
        </w:tc>
      </w:tr>
      <w:tr>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P1 — THIS WEEK</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Audit P-002 vs P-005 overlap</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Confirm BFT consensus mechanics appear ONLY in P-005, not duplicated in P-002.</w:t>
            </w:r>
          </w:p>
        </w:tc>
      </w:tr>
      <w:tr>
        <w:tc>
          <w:tcPr>
            <w:tcW w:type="dxa" w:w="17"/>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i w:val="false"/>
                <w:iCs w:val="false"/>
                <w:color w:val="7A4F00"/>
                <w:sz w:val="17"/>
                <w:szCs w:val="17"/>
              </w:rPr>
              <w:t xml:space="preserve">P1 — THIS WEEK</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Remove AI co-inventor language</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Check all filings for 'contributions from xAI Grok' — remove from all. Sean is sole inventor.</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P2 — BY APR 15</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File P-017</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TrustSquad 4-agent swarm + idle collective learning. Draft after March 22.</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P2 — BY APR 30</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Draft HOTL license</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HyperDAG Open Trust License based on BSL with carve-outs from Section 4.2.</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P3 — BY JUN 1</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Engage patent attorney</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P-002 non-provisional due August 17, 2026. 4-6 week prep minimum. Must start by June 1.</w:t>
            </w:r>
          </w:p>
        </w:tc>
      </w:tr>
      <w:tr>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1B2A4A"/>
                <w:sz w:val="17"/>
                <w:szCs w:val="17"/>
              </w:rPr>
              <w:t xml:space="preserve">P3 — BY AUG 17</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bCs/>
                <w:i w:val="false"/>
                <w:iCs w:val="false"/>
                <w:color w:val="444444"/>
                <w:sz w:val="17"/>
                <w:szCs w:val="17"/>
              </w:rPr>
              <w:t xml:space="preserve">File P-002 non-provisional</w:t>
            </w:r>
          </w:p>
        </w:tc>
        <w:tc>
          <w:tcPr>
            <w:tcW w:type="dxa" w:w="17"/>
            <w:tcBorders>
              <w:top w:val="single" w:color="CCCCCC" w:sz="1"/>
              <w:left w:val="single" w:color="CCCCCC" w:sz="1"/>
              <w:bottom w:val="single" w:color="CCCCCC" w:sz="1"/>
              <w:right w:val="single" w:color="CCCCCC" w:sz="1"/>
            </w:tcBorders>
            <w:shd w:fill="F5F8FB" w:val="clear"/>
            <w:tcMar>
              <w:top w:type="dxa" w:w="80"/>
              <w:left w:type="dxa" w:w="110"/>
              <w:bottom w:type="dxa" w:w="80"/>
              <w:right w:type="dxa" w:w="110"/>
            </w:tcMar>
          </w:tcPr>
          <w:p>
            <w:r>
              <w:rPr>
                <w:rFonts w:ascii="Arial" w:cs="Arial" w:eastAsia="Arial" w:hAnsi="Arial"/>
                <w:b w:val="false"/>
                <w:bCs w:val="false"/>
                <w:i w:val="false"/>
                <w:iCs w:val="false"/>
                <w:color w:val="444444"/>
                <w:sz w:val="17"/>
                <w:szCs w:val="17"/>
              </w:rPr>
              <w:t xml:space="preserve">Most critical non-provisional. Attorney must lead this.</w:t>
            </w:r>
          </w:p>
        </w:tc>
      </w:tr>
    </w:tbl>
    <w:p>
      <w:r>
        <w:t xml:space="preserve"/>
      </w:r>
    </w:p>
    <w:p>
      <w:pPr>
        <w:spacing w:before="120"/>
      </w:pPr>
      <w:r>
        <w:rPr>
          <w:rFonts w:ascii="Arial" w:cs="Arial" w:eastAsia="Arial" w:hAnsi="Arial"/>
          <w:i/>
          <w:iCs/>
          <w:color w:val="888888"/>
          <w:sz w:val="16"/>
          <w:szCs w:val="16"/>
        </w:rPr>
        <w:t xml:space="preserve">HyperDAG Protocol · Sean Patrick Goodwin · Patent Strategy Recap · March 16, 2026 · ATTORNEY-CLIENT PRIVILEGED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2026-03-17T03:16:39.157Z</dcterms:created>
  <dcterms:modified xsi:type="dcterms:W3CDTF">2026-03-17T03:16:39.158Z</dcterms:modified>
</cp:coreProperties>
</file>

<file path=docProps/custom.xml><?xml version="1.0" encoding="utf-8"?>
<Properties xmlns="http://schemas.openxmlformats.org/officeDocument/2006/custom-properties" xmlns:vt="http://schemas.openxmlformats.org/officeDocument/2006/docPropsVTypes"/>
</file>