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480"/>
        <w:jc w:val="center"/>
      </w:pPr>
      <w:r>
        <w:rPr>
          <w:rFonts w:ascii="Arial" w:cs="Arial" w:eastAsia="Arial" w:hAnsi="Arial"/>
          <w:b/>
          <w:bCs/>
          <w:i w:val="false"/>
          <w:iCs w:val="false"/>
          <w:color w:val="B8860B"/>
          <w:sz w:val="22"/>
          <w:szCs w:val="22"/>
        </w:rPr>
        <w:t xml:space="preserve">TRINITY SYMPHONY · HYPERDAG PROTOCOL</w:t>
      </w:r>
    </w:p>
    <w:p>
      <w:pPr>
        <w:spacing w:after="60" w:before="60"/>
        <w:jc w:val="center"/>
      </w:pPr>
      <w:r>
        <w:rPr>
          <w:rFonts w:ascii="Arial" w:cs="Arial" w:eastAsia="Arial" w:hAnsi="Arial"/>
          <w:b/>
          <w:bCs/>
          <w:i w:val="false"/>
          <w:iCs w:val="false"/>
          <w:color w:val="1B2A4A"/>
          <w:sz w:val="40"/>
          <w:szCs w:val="40"/>
        </w:rPr>
        <w:t xml:space="preserve">Patent Portfolio Strategy</w:t>
      </w:r>
    </w:p>
    <w:p>
      <w:pPr>
        <w:spacing w:after="60" w:before="60"/>
        <w:jc w:val="center"/>
      </w:pPr>
      <w:r>
        <w:rPr>
          <w:rFonts w:ascii="Arial" w:cs="Arial" w:eastAsia="Arial" w:hAnsi="Arial"/>
          <w:b/>
          <w:bCs/>
          <w:i w:val="false"/>
          <w:iCs w:val="false"/>
          <w:color w:val="555555"/>
          <w:sz w:val="24"/>
          <w:szCs w:val="24"/>
        </w:rPr>
        <w:t xml:space="preserve">Defensive Moat &amp; Filing Roadmap — v2026.03.05b</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center"/>
      </w:pPr>
      <w:r>
        <w:rPr>
          <w:rFonts w:ascii="Arial" w:cs="Arial" w:eastAsia="Arial" w:hAnsi="Arial"/>
          <w:b w:val="false"/>
          <w:bCs w:val="false"/>
          <w:i w:val="false"/>
          <w:iCs w:val="false"/>
          <w:color w:val="006B5B"/>
          <w:sz w:val="18"/>
          <w:szCs w:val="18"/>
        </w:rPr>
        <w:t xml:space="preserve">Updated with: P-011 Agent Payment Authorization · Grok Prior Art Validation · ERC-8004/x402 Integration</w:t>
      </w:r>
    </w:p>
    <w:p>
      <w:pPr>
        <w:spacing w:after="60" w:before="60"/>
        <w:jc w:val="center"/>
      </w:pPr>
      <w:r>
        <w:rPr>
          <w:rFonts w:ascii="Arial" w:cs="Arial" w:eastAsia="Arial" w:hAnsi="Arial"/>
          <w:b w:val="false"/>
          <w:bCs w:val="false"/>
          <w:i w:val="false"/>
          <w:iCs w:val="false"/>
          <w:color w:val="1A6B3C"/>
          <w:sz w:val="18"/>
          <w:szCs w:val="18"/>
        </w:rPr>
        <w:t xml:space="preserve">Prior art triple-checked March 2026 · All core claims confirmed novel · No tail-chasing</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center"/>
      </w:pPr>
      <w:r>
        <w:rPr>
          <w:rFonts w:ascii="Arial" w:cs="Arial" w:eastAsia="Arial" w:hAnsi="Arial"/>
          <w:b w:val="false"/>
          <w:bCs w:val="false"/>
          <w:i w:val="false"/>
          <w:iCs w:val="false"/>
          <w:color w:val="555555"/>
          <w:sz w:val="17"/>
          <w:szCs w:val="17"/>
        </w:rPr>
        <w:t xml:space="preserve">Sean Patrick Goodwin · CONFIDENTIAL · φ = 1.61803398875 · Micah 6:8</w:t>
      </w:r>
    </w:p>
    <w:p>
      <w:r>
        <w:br w:type="page"/>
      </w:r>
    </w:p>
    <w:p>
      <w:pPr>
        <w:pStyle w:val="Heading1"/>
        <w:spacing w:after="160" w:before="320"/>
      </w:pPr>
      <w:r>
        <w:rPr>
          <w:rFonts w:ascii="Arial" w:cs="Arial" w:eastAsia="Arial" w:hAnsi="Arial"/>
          <w:b/>
          <w:bCs/>
          <w:color w:val="1B2A4A"/>
          <w:sz w:val="32"/>
          <w:szCs w:val="32"/>
        </w:rPr>
        <w:t xml:space="preserve">Prior Art Validation — Triple-Checked March 2026</w:t>
      </w:r>
    </w:p>
    <w:p>
      <w:pPr>
        <w:spacing w:after="60" w:before="60"/>
        <w:jc w:val="left"/>
      </w:pPr>
      <w:r>
        <w:rPr>
          <w:rFonts w:ascii="Arial" w:cs="Arial" w:eastAsia="Arial" w:hAnsi="Arial"/>
          <w:b w:val="false"/>
          <w:bCs w:val="false"/>
          <w:i w:val="false"/>
          <w:iCs w:val="false"/>
          <w:color w:val="000000"/>
          <w:sz w:val="19"/>
          <w:szCs w:val="19"/>
        </w:rPr>
        <w:t xml:space="preserve">Grok conducted exhaustive searches across USPTO PAIR, Google Patents, Espacenet, arXiv, IEEE Xplore, ACM DL, and Semantic Scholar (20+ results per query, 2023–2026). Key finding: all core portfolio claims are novel and non-obvious under §103. No exact or diluting priors found. Portfolio is not chasing its tail.</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Core Claim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Novelty</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Closest Prior Art + Distinction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Multiplicative GNN φ-weighted O(log n) + b+d+u=1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6B3C"/>
                <w:sz w:val="15"/>
                <w:szCs w:val="15"/>
              </w:rPr>
              <w:t xml:space="preserve">HIGHEST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US20220124543A1 (additive GNN, no φ/ε, no Lyapunov). Shazeer 2017 MoE (arithmetic, no log-exp φ-weighted). No GNN with this exact formula + golden ratio residuals + multiplicative trinity for AI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ANFIS Virtue-Weighted Regime-Conditional Routing + eBPF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5"/>
                <w:szCs w:val="15"/>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ANFIS common in prediction (groundwater models etc.) but virtue-weighted or regime-conditional in multi-agent AI routing: no priors. No eBPF integration or GNN scoring combination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ZKP-Weighted RepID BFT Governance (adaptive 0-10k, ERC-8004)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6B"/>
                <w:sz w:val="15"/>
                <w:szCs w:val="15"/>
              </w:rPr>
              <w:t xml:space="preserve">VERY 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US12316753B1 (ZK for static multi-agent privacy — not dynamic RepID governance). ERC-8004 mainnet Jan 2026 (identity/reputation registries — no ZKP-weighted thresholds or governance). Your bridge is novel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Pythagorean Comma Veto + Three-Tier Protocol (ratio 1.0136)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5"/>
                <w:szCs w:val="15"/>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No priors on musical comma applied to AI gap detection/veto in multi-agent systems. Closest: general dissonance in audio AI (not prediction gaps, not governance).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HIAS 8-Category Hunch Taxonomy + Probabilistic Promotion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5"/>
                <w:szCs w:val="15"/>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HITL common (binary feedback only). Probabilistic hunch taxonomy and 0.85 promotion threshold to agent autonomy: no priors found. Strong novelty for human-AI symbiosis.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RepID-Gated Agent Payment Auth (ERC-8004 + x402 + ZKP)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6B3C"/>
                <w:sz w:val="15"/>
                <w:szCs w:val="15"/>
              </w:rPr>
              <w:t xml:space="preserve">HIGHEST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x402 (Coinbase 2025): HTTP micropayment rail, no RepID gating or autonomy thresholds. ERC-8004: identity/reputation, no payment authorization. No prior combines ZKP-verified behavioral score with dynamic agent spending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Portfolio Synthesis (Trinity + GNN + ANFIS + ZKP + BFT)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6B"/>
                <w:sz w:val="15"/>
                <w:szCs w:val="15"/>
              </w:rPr>
              <w:t xml:space="preserve">VERY 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Isolated priors exist (multi-agent RL with GNN, ZKP in blockchain) but no single prior combines these. Synthesis is non-obvious. Sprint data (72.5% ANFIS ROI, 78% HOT tier routing, 22% GNN precision) strengthens §101/112 utility/enablement.</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20"/>
              <w:left w:type="dxa" w:w="200"/>
              <w:bottom w:type="dxa" w:w="120"/>
              <w:right w:type="dxa" w:w="200"/>
            </w:tcMar>
          </w:tcPr>
          <w:p>
            <w:r>
              <w:rPr>
                <w:rFonts w:ascii="Arial" w:cs="Arial" w:eastAsia="Arial" w:hAnsi="Arial"/>
                <w:i/>
                <w:iCs/>
                <w:color w:val="B35400"/>
                <w:sz w:val="18"/>
                <w:szCs w:val="18"/>
              </w:rPr>
              <w:t xml:space="preserve">⚠ AAPA Warning: Do not cite your own prior art carelessly in claims — creates prosecution history estoppel. Reference ERC-8004 and x402 in BACKGROUND as "open standards this invention extends" not as admissions of prior art to your specific claims.</w:t>
            </w:r>
          </w:p>
        </w:tc>
      </w:tr>
    </w:tbl>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ERC-8004 and x402 — Clarification of Role</w:t>
      </w:r>
    </w:p>
    <w:p>
      <w:pPr>
        <w:spacing w:after="60" w:before="60"/>
        <w:jc w:val="left"/>
      </w:pPr>
      <w:r>
        <w:rPr>
          <w:rFonts w:ascii="Arial" w:cs="Arial" w:eastAsia="Arial" w:hAnsi="Arial"/>
          <w:b w:val="false"/>
          <w:bCs w:val="false"/>
          <w:i w:val="false"/>
          <w:iCs w:val="false"/>
          <w:color w:val="000000"/>
          <w:sz w:val="19"/>
          <w:szCs w:val="19"/>
        </w:rPr>
        <w:t xml:space="preserve">Sean had no involvement in authoring or building ERC-8004. It is an open-source Ethereum standard (EIP-8004, proposed Aug 13 2025 by Ethereum Foundation / MetaMask / Google / Coinbase contributors, mainnet Jan 29 2026) for trustless AI agent identity, reputation, and validation registries. x402 is Coinbase's open HTTP micropayment protocol (May 2025) reviving the HTTP 402 status for stablecoin agent-to-agent payments.</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0"/>
          <w:szCs w:val="20"/>
        </w:rPr>
        <w:t xml:space="preserve">Trinity Symphony builds ON TOP of these open standards. The novel contribution is the trust and authorization layer between them — the missing infrastructure that makes agents safe to use with real money.</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Standard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What It Provides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What Trinity Adds (Novel)</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ERC-8004
(Open standard,
not Sean's)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Agent identity (ERC-721 SBT), reputation registry, validation layers. No payment authorization. No autonomy thresholds. No ZKP-weighted scoring.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RepID behavioral scoring (0-10k) attached to SBT identity. ZKP-verifiable reputation proof (Plonky3 circuit: "RepID &gt; T" without revealing history). Dynamic autonomy tiers mapped to RepID score. Anti-Sybil via DAG history + ZKP.</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x402
(Coinbase open
protocol)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HTTP 402 payment rail for agent micropayments. Stablecoin (USDC) on Base. No authorization logic. No reputation gating. No HITL escalation.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RepID-gated authorization header in 402 flow. Dynamic spend caps derived from behavioral score. Stake-slash for bad transactions. HITL escalation for below-threshold agents. ZKP proof as PAYMENT-SIGNATURE header. Escrow with rollback.</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OpenClaw
(Open source
agent runtime)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Local AI agent runtime (Mac Mini / cloud). Tools, file access, Telegram. No financial identity. No reputation. No graduated autonomy.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RepID as credit score oracle for agent spending limits. Low RepID = micro-limit + HITL approval. High RepID = expanded autonomy. Divergence from plan triggers HITL regardless of RepID. ZKP capability attestation before OpenClaw executes purchases.</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r>
              <w:rPr>
                <w:rFonts w:ascii="Arial" w:cs="Arial" w:eastAsia="Arial" w:hAnsi="Arial"/>
                <w:i/>
                <w:iCs/>
                <w:color w:val="1A6B3C"/>
                <w:sz w:val="18"/>
                <w:szCs w:val="18"/>
              </w:rPr>
              <w:t xml:space="preserve">Patent framing: Cite ERC-8004 and x402 in BACKGROUND as prior art that the invention extends. Do NOT claim the standards themselves. Claim the novel authorization layer: "A system that uses ERC-8004 agent identity in combination with ZKP-verified behavioral reputation scores to gate micropayment authorization via x402 protocol." This is clean, novel, and non-infringing.</w:t>
            </w:r>
          </w:p>
        </w:tc>
      </w:tr>
    </w:tbl>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The Missing Layer — Why This Matters</w:t>
      </w:r>
    </w:p>
    <w:p>
      <w:pPr>
        <w:spacing w:after="60" w:before="60"/>
        <w:jc w:val="left"/>
      </w:pPr>
      <w:r>
        <w:rPr>
          <w:rFonts w:ascii="Arial" w:cs="Arial" w:eastAsia="Arial" w:hAnsi="Arial"/>
          <w:b w:val="false"/>
          <w:bCs w:val="false"/>
          <w:i w:val="false"/>
          <w:iCs w:val="false"/>
          <w:color w:val="000000"/>
          <w:sz w:val="20"/>
          <w:szCs w:val="20"/>
        </w:rPr>
        <w:t xml:space="preserve">The big players built the agents (Anthropic, OpenAI, Google). Coinbase built the payment rail (x402). The Ethereum community built the identity layer (ERC-8004). Nobody built the trust and authorization layer that makes it safe to give agents real money. That gap is the moat.</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ERC-8004 (WHO is this agent)  +  RepID (HOW MUCH to trust it)  +  x402 (EXECUTE the payment)  +  ANFIS (WAS this the optimal spend)  +  HyperDAG (IMMUTABLE audit trail)</w:t>
            </w:r>
          </w:p>
        </w:tc>
      </w:tr>
    </w:tbl>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555555"/>
          <w:sz w:val="19"/>
          <w:szCs w:val="19"/>
        </w:rPr>
        <w:t xml:space="preserve">Trinity Symphony has all five layers. Nobody else does. The person who benefits most from open-source reputation-gated agent payment infrastructure is not the enterprise with a security team — it's the individual entrepreneur, the nonprofit director, the person in a developing country using an agent to run a micro-business. Micah 6:8.</w:t>
      </w:r>
    </w:p>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The Defensive Moat — Four Rings</w:t>
      </w:r>
    </w:p>
    <w:p>
      <w:pPr>
        <w:spacing w:after="60" w:before="60"/>
        <w:jc w:val="left"/>
      </w:pPr>
      <w:r>
        <w:rPr>
          <w:rFonts w:ascii="Arial" w:cs="Arial" w:eastAsia="Arial" w:hAnsi="Arial"/>
          <w:b w:val="false"/>
          <w:bCs w:val="false"/>
          <w:i w:val="false"/>
          <w:iCs w:val="false"/>
          <w:color w:val="000000"/>
          <w:sz w:val="19"/>
          <w:szCs w:val="19"/>
        </w:rPr>
        <w:t xml:space="preserve">Updated from three rings to four. P-011 adds a fourth outer ring protecting the agentic economy layer. Each ring cites the inner rings, creating a web of mutual reinforcement that is difficult to design around.</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INNER RING — Mathematical Core  (File First)</w:t>
            </w:r>
          </w:p>
        </w:tc>
      </w:tr>
    </w:tbl>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2"/>
          <w:szCs w:val="22"/>
        </w:rPr>
        <w:t xml:space="preserve">P-002 · Multiplicative GNN Architecture (φ=1.618)</w:t>
      </w:r>
    </w:p>
    <w:p>
      <w:pPr>
        <w:spacing w:after="60" w:before="60"/>
        <w:jc w:val="left"/>
      </w:pPr>
      <w:r>
        <w:rPr>
          <w:rFonts w:ascii="Arial" w:cs="Arial" w:eastAsia="Arial" w:hAnsi="Arial"/>
          <w:b w:val="false"/>
          <w:bCs w:val="false"/>
          <w:i w:val="false"/>
          <w:iCs w:val="false"/>
          <w:color w:val="555555"/>
          <w:sz w:val="19"/>
          <w:szCs w:val="19"/>
        </w:rPr>
        <w:t xml:space="preserve">The mathematical engine and foundational patent. φ-scaled multiplicative layers, O(log n) Lyapunov convergence, subjective logic b+d+u=1 hallucination prevention. Specific constants (φ=1.61803398875, ε=1e-8, α=0.618) make this the hardest to design around. Every other filing references this one. File non-provisional FIRST — highest grant probability in portfolio (80-90%).</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2"/>
          <w:szCs w:val="22"/>
        </w:rPr>
        <w:t xml:space="preserve">P-009 · Pythagorean Comma Gap Detection + Three-Tier Veto</w:t>
      </w:r>
    </w:p>
    <w:p>
      <w:pPr>
        <w:spacing w:after="60" w:before="60"/>
        <w:jc w:val="left"/>
      </w:pPr>
      <w:r>
        <w:rPr>
          <w:rFonts w:ascii="Arial" w:cs="Arial" w:eastAsia="Arial" w:hAnsi="Arial"/>
          <w:b w:val="false"/>
          <w:bCs w:val="false"/>
          <w:i w:val="false"/>
          <w:iCs w:val="false"/>
          <w:color w:val="555555"/>
          <w:sz w:val="19"/>
          <w:szCs w:val="19"/>
        </w:rPr>
        <w:t xml:space="preserve">The mathematical safety layer. Comma ratio 1.0136 calibration, LLE-modulated thresholds, pre-BFT veto. Applies musical mathematics to AI governance — no prior art found in exhaustive search. References P-002 for GNN drift measurement.</w:t>
      </w:r>
    </w:p>
    <w:p>
      <w:pPr>
        <w:spacing w:after="60" w:before="60"/>
        <w:jc w:val="left"/>
      </w:pPr>
      <w:r>
        <w:rPr>
          <w:rFonts w:ascii="Arial" w:cs="Arial" w:eastAsia="Arial" w:hAnsi="Arial"/>
          <w:b w:val="false"/>
          <w:bCs w:val="false"/>
          <w:i w:val="false"/>
          <w:iCs w:val="false"/>
          <w:color w:val="000000"/>
          <w:sz w:val="20"/>
          <w:szCs w:val="20"/>
        </w:rPr>
        <w:t xml:space="preserve"/>
      </w:r>
    </w:p>
    <w:p>
      <w:pPr>
        <w:pBdr>
          <w:bottom w:val="single" w:color="B8860B" w:sz="2"/>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MIDDLE RING — System Architecture  (File Second)</w:t>
            </w:r>
          </w:p>
        </w:tc>
      </w:tr>
    </w:tbl>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A3A6B"/>
          <w:sz w:val="22"/>
          <w:szCs w:val="22"/>
        </w:rPr>
        <w:t xml:space="preserve">P-004 · ANFIS Virtue-Weighted Tier Routing + eBPF</w:t>
      </w:r>
    </w:p>
    <w:p>
      <w:pPr>
        <w:spacing w:after="60" w:before="60"/>
        <w:jc w:val="left"/>
      </w:pPr>
      <w:r>
        <w:rPr>
          <w:rFonts w:ascii="Arial" w:cs="Arial" w:eastAsia="Arial" w:hAnsi="Arial"/>
          <w:b w:val="false"/>
          <w:bCs w:val="false"/>
          <w:i w:val="false"/>
          <w:iCs w:val="false"/>
          <w:color w:val="555555"/>
          <w:sz w:val="19"/>
          <w:szCs w:val="19"/>
        </w:rPr>
        <w:t xml:space="preserve">The routing engine. Virtue weights Truth 0.40 / Speed 0.30 / Stewardship 0.30, offline LASSO mask, eBPF telemetry, confidence formula C=max(A)×(1−mean(A)), Bayesian retraining. No prior art on virtue-weighted or regime-conditional routing in multi-agent AI. 78% HOT tier routing proven in Supabase. FILE THIS WEEK.</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A3A6B"/>
          <w:sz w:val="22"/>
          <w:szCs w:val="22"/>
        </w:rPr>
        <w:t xml:space="preserve">P-005 · HotStuff-2 BFT + ZKP-Weighted Governance</w:t>
      </w:r>
    </w:p>
    <w:p>
      <w:pPr>
        <w:spacing w:after="60" w:before="60"/>
        <w:jc w:val="left"/>
      </w:pPr>
      <w:r>
        <w:rPr>
          <w:rFonts w:ascii="Arial" w:cs="Arial" w:eastAsia="Arial" w:hAnsi="Arial"/>
          <w:b w:val="false"/>
          <w:bCs w:val="false"/>
          <w:i w:val="false"/>
          <w:iCs w:val="false"/>
          <w:color w:val="555555"/>
          <w:sz w:val="19"/>
          <w:szCs w:val="19"/>
        </w:rPr>
        <w:t xml:space="preserve">The governance engine and strongest novel claim. 2-phase 2-chain consensus, ZKP-weighted vote weight by RepID quality score, Pythagorean Comma veto trigger. References P-002 (GNN), P-004 (ANFIS confidence), P-009 (veto). ZKP-Weighted BFT Vote: no prior art found. FILE THIS WEEK.</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A3A6B"/>
          <w:sz w:val="22"/>
          <w:szCs w:val="22"/>
        </w:rPr>
        <w:t xml:space="preserve">P-010 · HIAS Human Intuition Accuracy Scoring + Adaptive Authority</w:t>
      </w:r>
    </w:p>
    <w:p>
      <w:pPr>
        <w:spacing w:after="60" w:before="60"/>
        <w:jc w:val="left"/>
      </w:pPr>
      <w:r>
        <w:rPr>
          <w:rFonts w:ascii="Arial" w:cs="Arial" w:eastAsia="Arial" w:hAnsi="Arial"/>
          <w:b w:val="false"/>
          <w:bCs w:val="false"/>
          <w:i w:val="false"/>
          <w:iCs w:val="false"/>
          <w:color w:val="555555"/>
          <w:sz w:val="19"/>
          <w:szCs w:val="19"/>
        </w:rPr>
        <w:t xml:space="preserve">The human-AI trust bridge. 8-category hunch taxonomy, 0.85 probabilistic promotion threshold, continuous authority gradient (no binary cliffs). References P-004 (ANFIS integration), P-005 (governance). No prior art on probabilistic hunch taxonomy for agent autonomy promotion.</w:t>
      </w:r>
    </w:p>
    <w:p>
      <w:pPr>
        <w:spacing w:after="60" w:before="60"/>
        <w:jc w:val="left"/>
      </w:pPr>
      <w:r>
        <w:rPr>
          <w:rFonts w:ascii="Arial" w:cs="Arial" w:eastAsia="Arial" w:hAnsi="Arial"/>
          <w:b w:val="false"/>
          <w:bCs w:val="false"/>
          <w:i w:val="false"/>
          <w:iCs w:val="false"/>
          <w:color w:val="000000"/>
          <w:sz w:val="20"/>
          <w:szCs w:val="20"/>
        </w:rPr>
        <w:t xml:space="preserve"/>
      </w:r>
    </w:p>
    <w:p>
      <w:pPr>
        <w:pBdr>
          <w:bottom w:val="single" w:color="B8860B" w:sz="2"/>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OUTER RING A — Identity &amp; Marketplace  (File Third)</w:t>
            </w:r>
          </w:p>
        </w:tc>
      </w:tr>
    </w:tbl>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A6B3C"/>
          <w:sz w:val="22"/>
          <w:szCs w:val="22"/>
        </w:rPr>
        <w:t xml:space="preserve">P-006 / CIP-P-001 · ERC-8004 Integration + Freemium Differential Access</w:t>
      </w:r>
    </w:p>
    <w:p>
      <w:pPr>
        <w:spacing w:after="60" w:before="60"/>
        <w:jc w:val="left"/>
      </w:pPr>
      <w:r>
        <w:rPr>
          <w:rFonts w:ascii="Arial" w:cs="Arial" w:eastAsia="Arial" w:hAnsi="Arial"/>
          <w:b w:val="false"/>
          <w:bCs w:val="false"/>
          <w:i w:val="false"/>
          <w:iCs w:val="false"/>
          <w:color w:val="555555"/>
          <w:sz w:val="19"/>
          <w:szCs w:val="19"/>
        </w:rPr>
        <w:t xml:space="preserve">File as CIP on P-001 to inherit August 2025 priority. Adds RepID behavioral scoring extension to ERC-8004 SBT identity, on-chain RepID sync, freemium RLS role assignment. ERC-8004 is prior art (open standard) — this claims the novel RepID threshold extension and governance integration. File AFTER TrinityIdentityAdapter.sol deployed on Base Sepolia.</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A6B3C"/>
          <w:sz w:val="22"/>
          <w:szCs w:val="22"/>
        </w:rPr>
        <w:t xml:space="preserve">P-008 · TAG Compute Arbitrage Marketplace</w:t>
      </w:r>
    </w:p>
    <w:p>
      <w:pPr>
        <w:spacing w:after="60" w:before="60"/>
        <w:jc w:val="left"/>
      </w:pPr>
      <w:r>
        <w:rPr>
          <w:rFonts w:ascii="Arial" w:cs="Arial" w:eastAsia="Arial" w:hAnsi="Arial"/>
          <w:b w:val="false"/>
          <w:bCs w:val="false"/>
          <w:i w:val="false"/>
          <w:iCs w:val="false"/>
          <w:color w:val="555555"/>
          <w:sz w:val="19"/>
          <w:szCs w:val="19"/>
        </w:rPr>
        <w:t xml:space="preserve">The compute marketplace moat. Reputation-staked node contributions, BYOK personal-key-only (explicitly EXCLUDES cross-user sharing), virtue-weighted bid selection, NODE/CLOUD/P2P/LOCAL tiers. References P-004, P-005, CIP-P-001. File before first real NODE contributor.</w:t>
      </w:r>
    </w:p>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A6B3C"/>
          <w:sz w:val="22"/>
          <w:szCs w:val="22"/>
        </w:rPr>
        <w:t xml:space="preserve">P-007 · Quantum Migration (Groth16 → Plonky3)</w:t>
      </w:r>
    </w:p>
    <w:p>
      <w:pPr>
        <w:spacing w:after="60" w:before="60"/>
        <w:jc w:val="left"/>
      </w:pPr>
      <w:r>
        <w:rPr>
          <w:rFonts w:ascii="Arial" w:cs="Arial" w:eastAsia="Arial" w:hAnsi="Arial"/>
          <w:b w:val="false"/>
          <w:bCs w:val="false"/>
          <w:i w:val="false"/>
          <w:iCs w:val="false"/>
          <w:color w:val="555555"/>
          <w:sz w:val="19"/>
          <w:szCs w:val="19"/>
        </w:rPr>
        <w:t xml:space="preserve">Zero-downtime quantum migration protocol. BFT quorum attesting transition state, hybrid verifier backward compatibility. References P-005 (BFT governance). File before Phase 8 migration begins.</w:t>
      </w:r>
    </w:p>
    <w:p>
      <w:pPr>
        <w:spacing w:after="60" w:before="60"/>
        <w:jc w:val="left"/>
      </w:pPr>
      <w:r>
        <w:rPr>
          <w:rFonts w:ascii="Arial" w:cs="Arial" w:eastAsia="Arial" w:hAnsi="Arial"/>
          <w:b w:val="false"/>
          <w:bCs w:val="false"/>
          <w:i w:val="false"/>
          <w:iCs w:val="false"/>
          <w:color w:val="000000"/>
          <w:sz w:val="20"/>
          <w:szCs w:val="20"/>
        </w:rPr>
        <w:t xml:space="preserve"/>
      </w:r>
    </w:p>
    <w:p>
      <w:pPr>
        <w:pBdr>
          <w:bottom w:val="single" w:color="B8860B" w:sz="2"/>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B5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OUTER RING B — Agentic Economy  (File URGENTLY — P-011 new)</w:t>
            </w:r>
          </w:p>
        </w:tc>
      </w:tr>
    </w:tbl>
    <w:p>
      <w:pPr>
        <w:spacing w:after="60" w:before="60"/>
        <w:jc w:val="left"/>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6B5B"/>
          <w:sz w:val="22"/>
          <w:szCs w:val="22"/>
        </w:rPr>
        <w:t xml:space="preserve">P-011 · RepID-Gated Agent Payment Authorization System ⭐ NEW</w:t>
      </w:r>
    </w:p>
    <w:p>
      <w:pPr>
        <w:spacing w:after="60" w:before="60"/>
        <w:jc w:val="left"/>
      </w:pPr>
      <w:r>
        <w:rPr>
          <w:rFonts w:ascii="Arial" w:cs="Arial" w:eastAsia="Arial" w:hAnsi="Arial"/>
          <w:b w:val="false"/>
          <w:bCs w:val="false"/>
          <w:i w:val="false"/>
          <w:iCs w:val="false"/>
          <w:color w:val="555555"/>
          <w:sz w:val="19"/>
          <w:szCs w:val="19"/>
        </w:rPr>
        <w:t xml:space="preserve">The agentic economy moat. ZKP-verified RepID proof as authorization credential in x402 micropayment flow, dynamic spend caps from behavioral reputation score, stake-slash mechanism for transaction accountability, cross-agent payment reputation inheritance in multi-agent task delegation. References P-002 (ZKP circuit), P-005 (RepID scoring), P-004 (ANFIS spend optimization). FILE BEFORE OPENCLAW ADOPTION GROWS — no prior art confirmed, first mover window is closing fast.</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2" w:val="clear"/>
            <w:tcMar>
              <w:top w:type="dxa" w:w="120"/>
              <w:left w:type="dxa" w:w="200"/>
              <w:bottom w:type="dxa" w:w="120"/>
              <w:right w:type="dxa" w:w="200"/>
            </w:tcMar>
          </w:tcPr>
          <w:p>
            <w:r>
              <w:rPr>
                <w:rFonts w:ascii="Arial" w:cs="Arial" w:eastAsia="Arial" w:hAnsi="Arial"/>
                <w:i/>
                <w:iCs/>
                <w:color w:val="006B5B"/>
                <w:sz w:val="18"/>
                <w:szCs w:val="18"/>
              </w:rPr>
              <w:t xml:space="preserve">P-011 is potentially the highest commercial value filing in the portfolio. As agentic systems proliferate (OpenClaw, AutoGPT derivatives, enterprise agent deployments), every agent that touches money needs this authorization layer. ERC-8004 + x402 provide the rails. P-011 provides the safety. File on architecture alone — Plonky3 circuit implementation can follow in the non-provisional.</w:t>
            </w:r>
          </w:p>
        </w:tc>
      </w:tr>
    </w:tbl>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CIP Inheritance Map</w:t>
      </w:r>
    </w:p>
    <w:p>
      <w:pPr>
        <w:spacing w:after="60" w:before="60"/>
        <w:jc w:val="left"/>
      </w:pPr>
      <w:r>
        <w:rPr>
          <w:rFonts w:ascii="Arial" w:cs="Arial" w:eastAsia="Arial" w:hAnsi="Arial"/>
          <w:b w:val="false"/>
          <w:bCs w:val="false"/>
          <w:i w:val="false"/>
          <w:iCs w:val="false"/>
          <w:color w:val="000000"/>
          <w:sz w:val="19"/>
          <w:szCs w:val="19"/>
        </w:rPr>
        <w:t xml:space="preserve">Each CIP inherits the original filing date for shared subject matter — a critical strategic advantage against future filers. Linear dependency chains only — no multi-parent CIPs.</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00"/>
        <w:gridCol w:w="35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Base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CIP Filing</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New Matter Added</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Why CIP vs Standalone</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P-001
Aug 2025</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CIP-P-001
= P-006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RepID behavioral scoring extension to ERC-8004 SBT, on-chain RepID sync, freemium RLS role assignment, agentWallet binding. BYOK encrypted vault.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P-001 covers orchestration. ERC-8004 integration is direct extension. Inheriting Aug 2025 date is 18 months stronger than standalone filing today.</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P-002
Aug 2025</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CIP-P-002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ZKP-weighted node scoring (zk_weight in dag_nodes), dag_nodes schema as patentable data structure, GNN-GraphRAG fusion retrieval 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P-002 claims the GNN math. CIP extends into full retrieval pipeline. Both inherit Aug 2025 priority date.</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P-002
Aug 2025</w:t>
            </w:r>
          </w:p>
        </w:tc>
        <w:tc>
          <w:tcPr>
            <w:tcW w:type="dxa" w:w="1700"/>
            <w:tcBorders>
              <w:top w:val="single" w:color="CCCCCC" w:sz="1"/>
              <w:left w:val="single" w:color="CCCCCC" w:sz="1"/>
              <w:bottom w:val="single" w:color="CCCCCC" w:sz="1"/>
              <w:right w:val="single" w:color="CCCCCC" w:sz="1"/>
            </w:tcBorders>
            <w:shd w:fill="E8F5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P-011 as
CIP-P-002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RepID-gated payment authorization circuit, ZKP spend-cap proof, x402 RepID header extension, stake-slash mechanism, cross-agent payment delegation.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P-011 builds directly on P-002's ZKP circuit and subjective logic constraint. Filing as CIP on P-002 anchors to Aug 2025 and strengthens the mathematical foundation claim.</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P-003
Aug 2025</w:t>
            </w:r>
          </w:p>
        </w:tc>
        <w:tc>
          <w:tcPr>
            <w:tcW w:type="dxa" w:w="17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CIP-P-003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HIAS 8-category hunch taxonomy integrated into question-driven reorganization, human intuition as question seed, probabilistic promotion from human to agent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5"/>
                <w:szCs w:val="15"/>
              </w:rPr>
              <w:t xml:space="preserve">P-003 is most abstract filing. Adding HIAS concrete mechanism strengthens enablement, reduces Alice rejection risk, and inherits Aug 2025 date.</w:t>
            </w:r>
          </w:p>
        </w:tc>
      </w:tr>
    </w:tbl>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Master Filing Schedule — All 11 Filings</w:t>
      </w:r>
    </w:p>
    <w:p>
      <w:pPr>
        <w:spacing w:after="60" w:before="60"/>
        <w:jc w:val="left"/>
      </w:pPr>
      <w:r>
        <w:rPr>
          <w:rFonts w:ascii="Arial" w:cs="Arial" w:eastAsia="Arial" w:hAnsi="Arial"/>
          <w:b w:val="false"/>
          <w:bCs w:val="false"/>
          <w:i w:val="false"/>
          <w:iCs w:val="false"/>
          <w:color w:val="000000"/>
          <w:sz w:val="19"/>
          <w:szCs w:val="19"/>
        </w:rPr>
        <w:t xml:space="preserve">Organized by wave with prior art status, cross-references, metrics, and non-provisional deadlines. Prior art column reflects Grok's March 2026 triple-checked searches.</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WAVE 1 — FILE THIS WEEK  (before Glass Wall goes public)</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700"/>
        <w:gridCol w:w="850"/>
        <w:gridCol w:w="1700"/>
        <w:gridCol w:w="2310"/>
        <w:gridCol w:w="550"/>
        <w:gridCol w:w="550"/>
      </w:tblGrid>
      <w:tr>
        <w:tc>
          <w:tcPr>
            <w:tcW w:type="dxa" w:w="7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ID</w:t>
            </w:r>
          </w:p>
        </w:tc>
        <w:tc>
          <w:tcPr>
            <w:tcW w:type="dxa" w:w="1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Type</w:t>
            </w:r>
          </w:p>
        </w:tc>
        <w:tc>
          <w:tcPr>
            <w:tcW w:type="dxa" w:w="17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Title</w:t>
            </w:r>
          </w:p>
        </w:tc>
        <w:tc>
          <w:tcPr>
            <w:tcW w:type="dxa" w:w="85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Grant
Chance</w:t>
            </w:r>
          </w:p>
        </w:tc>
        <w:tc>
          <w:tcPr>
            <w:tcW w:type="dxa" w:w="17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Cross-Refs
(→ cites / ← cited by)</w:t>
            </w:r>
          </w:p>
        </w:tc>
        <w:tc>
          <w:tcPr>
            <w:tcW w:type="dxa" w:w="231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Novelty Basis (Prior Art Confirmed Clear)</w:t>
            </w:r>
          </w:p>
        </w:tc>
        <w:tc>
          <w:tcPr>
            <w:tcW w:type="dxa" w:w="55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File
Date</w:t>
            </w:r>
          </w:p>
        </w:tc>
        <w:tc>
          <w:tcPr>
            <w:tcW w:type="dxa" w:w="55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NP
Deadline</w:t>
            </w:r>
          </w:p>
        </w:tc>
      </w:tr>
      <w:tr>
        <w:tc>
          <w:tcPr>
            <w:tcW w:type="dxa" w:w="7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P-004</w:t>
            </w:r>
          </w:p>
        </w:tc>
        <w:tc>
          <w:tcPr>
            <w:tcW w:type="dxa" w:w="1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ANFIS Virtue-Weighted Tier Routing + eBPF</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P-001, P-002
← P-005, P-008, P-010, P-011</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eBPF+ANFIS routing: no prior art
Virtue weights in multi-agent AI: novel
Cited metric: 78% HOT tier routing (Supabase proven)</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This week</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Aug 2027</w:t>
            </w:r>
          </w:p>
        </w:tc>
      </w:tr>
      <w:tr>
        <w:tc>
          <w:tcPr>
            <w:tcW w:type="dxa" w:w="7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P-005</w:t>
            </w:r>
          </w:p>
        </w:tc>
        <w:tc>
          <w:tcPr>
            <w:tcW w:type="dxa" w:w="1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HotStuff-2 BFT + ZKP-Weighted Governance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6B"/>
                <w:sz w:val="14"/>
                <w:szCs w:val="14"/>
              </w:rPr>
              <w:t xml:space="preserve">VERY 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P-002, P-004, P-009
← P-006/CIP, P-007, P-008, P-011</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ZKP-weighted BFT vote: no prior art
Pythagorean Comma veto: no prior art
HotStuff-2+RepID synthesis: novel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This week</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Aug 2027</w:t>
            </w:r>
          </w:p>
        </w:tc>
      </w:tr>
      <w:tr>
        <w:tc>
          <w:tcPr>
            <w:tcW w:type="dxa" w:w="7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P-011 ⭐</w:t>
            </w:r>
          </w:p>
        </w:tc>
        <w:tc>
          <w:tcPr>
            <w:tcW w:type="dxa" w:w="1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
(NEW)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RepID-Gated Agent Payment Authorization (ERC-8004 + x402)</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6B3C"/>
                <w:sz w:val="14"/>
                <w:szCs w:val="14"/>
              </w:rPr>
              <w:t xml:space="preserve">HIGHEST
(commercial)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P-002, P-004, P-005
← (future DePIN / agentic economy)</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ZKP-verified RepID as payment auth: no prior art
Dynamic agent spend caps from behavior: novel
Stake-slash for agent transactions: novel
Cross-agent payment delegation: novel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This week</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Mar 2027</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35400"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WAVE 2 — THIS MONTH  (within 30 days)</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700"/>
        <w:gridCol w:w="850"/>
        <w:gridCol w:w="1700"/>
        <w:gridCol w:w="2310"/>
        <w:gridCol w:w="550"/>
        <w:gridCol w:w="550"/>
      </w:tblGrid>
      <w:tr>
        <w:tc>
          <w:tcPr>
            <w:tcW w:type="dxa" w:w="70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ID</w:t>
            </w:r>
          </w:p>
        </w:tc>
        <w:tc>
          <w:tcPr>
            <w:tcW w:type="dxa" w:w="100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Type</w:t>
            </w:r>
          </w:p>
        </w:tc>
        <w:tc>
          <w:tcPr>
            <w:tcW w:type="dxa" w:w="170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Title</w:t>
            </w:r>
          </w:p>
        </w:tc>
        <w:tc>
          <w:tcPr>
            <w:tcW w:type="dxa" w:w="85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Grant
Chance</w:t>
            </w:r>
          </w:p>
        </w:tc>
        <w:tc>
          <w:tcPr>
            <w:tcW w:type="dxa" w:w="170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Cross-Refs
(→ cites / ← cited by)</w:t>
            </w:r>
          </w:p>
        </w:tc>
        <w:tc>
          <w:tcPr>
            <w:tcW w:type="dxa" w:w="231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Novelty Basis (Prior Art Confirmed Clear)</w:t>
            </w:r>
          </w:p>
        </w:tc>
        <w:tc>
          <w:tcPr>
            <w:tcW w:type="dxa" w:w="55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File
Date</w:t>
            </w:r>
          </w:p>
        </w:tc>
        <w:tc>
          <w:tcPr>
            <w:tcW w:type="dxa" w:w="550"/>
            <w:tcBorders>
              <w:top w:val="single" w:color="CCCCCC" w:sz="1"/>
              <w:left w:val="single" w:color="CCCCCC" w:sz="1"/>
              <w:bottom w:val="single" w:color="CCCCCC" w:sz="1"/>
              <w:right w:val="single" w:color="CCCCCC" w:sz="1"/>
            </w:tcBorders>
            <w:shd w:fill="B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NP
Deadline</w:t>
            </w:r>
          </w:p>
        </w:tc>
      </w:tr>
      <w:tr>
        <w:tc>
          <w:tcPr>
            <w:tcW w:type="dxa" w:w="7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P-002</w:t>
            </w:r>
          </w:p>
        </w:tc>
        <w:tc>
          <w:tcPr>
            <w:tcW w:type="dxa" w:w="10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NON-PROVISIONAL
(convert — URGENT)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Multiplicative GNN Architecture (φ=1.618)</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6B3C"/>
                <w:sz w:val="14"/>
                <w:szCs w:val="14"/>
              </w:rPr>
              <w:t xml:space="preserve">HIGHEST
(80-90%)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P-001 (foundational)
← ALL other filings</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Deployed code + proven baseline
22% precision vs BM25/Vector
φ constants verified in code
Remove Theory of Mind language
Replace unverified benchmarks</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URGENT
(Aug 2026
deadline)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N/A</w:t>
            </w:r>
          </w:p>
        </w:tc>
      </w:tr>
      <w:tr>
        <w:tc>
          <w:tcPr>
            <w:tcW w:type="dxa" w:w="7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P-009</w:t>
            </w:r>
          </w:p>
        </w:tc>
        <w:tc>
          <w:tcPr>
            <w:tcW w:type="dxa" w:w="10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Pythagorean Comma Gap Detection + 3-Tier Veto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P-002, P-005
← P-005 (dependent claim)</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Musical math for AI veto: unique globally
Comma ratio 1.0136 in AI context: novel
VERITAS drift engine proven in Supabase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This month</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Mar 2027</w:t>
            </w:r>
          </w:p>
        </w:tc>
      </w:tr>
      <w:tr>
        <w:tc>
          <w:tcPr>
            <w:tcW w:type="dxa" w:w="7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P-010</w:t>
            </w:r>
          </w:p>
        </w:tc>
        <w:tc>
          <w:tcPr>
            <w:tcW w:type="dxa" w:w="10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HIAS + Adaptive Authority Governance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MEDIUM-HIGH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P-004, P-005
← CIP-P-003</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8-category hunch taxonomy: novel
Continuous authority gradient: novel
HITL bridge spec = reduction to practice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This month</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Mar 2027</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WAVE 3 — WITHIN 60-90 DAYS</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700"/>
        <w:gridCol w:w="850"/>
        <w:gridCol w:w="1700"/>
        <w:gridCol w:w="2310"/>
        <w:gridCol w:w="550"/>
        <w:gridCol w:w="550"/>
      </w:tblGrid>
      <w:tr>
        <w:tc>
          <w:tcPr>
            <w:tcW w:type="dxa" w:w="7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ID</w:t>
            </w:r>
          </w:p>
        </w:tc>
        <w:tc>
          <w:tcPr>
            <w:tcW w:type="dxa" w:w="10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Type</w:t>
            </w:r>
          </w:p>
        </w:tc>
        <w:tc>
          <w:tcPr>
            <w:tcW w:type="dxa" w:w="17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Title</w:t>
            </w:r>
          </w:p>
        </w:tc>
        <w:tc>
          <w:tcPr>
            <w:tcW w:type="dxa" w:w="85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Grant
Chance</w:t>
            </w:r>
          </w:p>
        </w:tc>
        <w:tc>
          <w:tcPr>
            <w:tcW w:type="dxa" w:w="17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Cross-Refs
(→ cites / ← cited by)</w:t>
            </w:r>
          </w:p>
        </w:tc>
        <w:tc>
          <w:tcPr>
            <w:tcW w:type="dxa" w:w="23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Novelty Basis (Prior Art Confirmed Clear)</w:t>
            </w:r>
          </w:p>
        </w:tc>
        <w:tc>
          <w:tcPr>
            <w:tcW w:type="dxa" w:w="55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File
Date</w:t>
            </w:r>
          </w:p>
        </w:tc>
        <w:tc>
          <w:tcPr>
            <w:tcW w:type="dxa" w:w="55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NP
Deadline</w:t>
            </w:r>
          </w:p>
        </w:tc>
      </w:tr>
      <w:tr>
        <w:tc>
          <w:tcPr>
            <w:tcW w:type="dxa" w:w="7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P-001</w:t>
            </w:r>
          </w:p>
        </w:tc>
        <w:tc>
          <w:tcPr>
            <w:tcW w:type="dxa" w:w="10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NON-PROVISIONAL
(convert)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AI Trinity Symphony Orchestration</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MEDIUM-HIGH
(55-65%)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(foundational)
← P-004, P-005, CIP-P-001</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Broad claims — expect Alice challenges
File after P-002 NP to learn process
12-agent neuromorphic structure novel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Jun 2026
(before Aug)</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N/A</w:t>
            </w:r>
          </w:p>
        </w:tc>
      </w:tr>
      <w:tr>
        <w:tc>
          <w:tcPr>
            <w:tcW w:type="dxa" w:w="7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CIP-P-001
= P-006</w:t>
            </w:r>
          </w:p>
        </w:tc>
        <w:tc>
          <w:tcPr>
            <w:tcW w:type="dxa" w:w="10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CIP on P-001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RepID Extension to ERC-8004 + Freemium Access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MEDIUM-HIGH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P-001 (inherits Aug 2025)
→ P-005 (ZKP layer)
← P-008, P-011</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RepID thresholds on ERC-8004 SBT: novel
Freemium differential via RLS: novel
FILE AFTER Base Sepolia deployment</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After Base
Sepolia live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Aug 2027</w:t>
            </w:r>
          </w:p>
        </w:tc>
      </w:tr>
      <w:tr>
        <w:tc>
          <w:tcPr>
            <w:tcW w:type="dxa" w:w="7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P-011 as
CIP-P-002</w:t>
            </w:r>
          </w:p>
        </w:tc>
        <w:tc>
          <w:tcPr>
            <w:tcW w:type="dxa" w:w="10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CIP on P-002
(optional)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P-011 anchored to P-002 for Aug 2025 priority</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6B3C"/>
                <w:sz w:val="14"/>
                <w:szCs w:val="14"/>
              </w:rPr>
              <w:t xml:space="preserve">HIGHEST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P-002 (inherits Aug 2025)
→ P-005 (RepID scoring)</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Same claims as P-011 provisional
but inherits Aug 2025 priority date
Decide with attorney: is the overlap
in P-002 spec sufficient for CIP?</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Discuss with
attorney</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Aug 2027</w:t>
            </w:r>
          </w:p>
        </w:tc>
      </w:tr>
      <w:tr>
        <w:tc>
          <w:tcPr>
            <w:tcW w:type="dxa" w:w="7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CIP-P-002</w:t>
            </w:r>
          </w:p>
        </w:tc>
        <w:tc>
          <w:tcPr>
            <w:tcW w:type="dxa" w:w="10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CIP on P-002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ZKP-Weighted GNN + dag_nodes Data Structure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P-002 (inherits Aug 2025)
→ P-005 (ZKP)
← P-008</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dag_nodes schema as data structure: novel
ZKP-weighted node scoring: novel
GNN-GraphRAG fusion: novel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Jun 2026</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Aug 2027</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WAVE 4 — BEFORE PUBLIC LAUNCH / PHASE 8</w:t>
            </w:r>
          </w:p>
        </w:tc>
      </w:tr>
    </w:tbl>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700"/>
        <w:gridCol w:w="850"/>
        <w:gridCol w:w="1700"/>
        <w:gridCol w:w="2310"/>
        <w:gridCol w:w="550"/>
        <w:gridCol w:w="550"/>
      </w:tblGrid>
      <w:tr>
        <w:tc>
          <w:tcPr>
            <w:tcW w:type="dxa" w:w="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ID</w:t>
            </w:r>
          </w:p>
        </w:tc>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Type</w:t>
            </w:r>
          </w:p>
        </w:tc>
        <w:tc>
          <w:tcPr>
            <w:tcW w:type="dxa" w:w="1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Title</w:t>
            </w:r>
          </w:p>
        </w:tc>
        <w:tc>
          <w:tcPr>
            <w:tcW w:type="dxa" w:w="8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Grant
Chance</w:t>
            </w:r>
          </w:p>
        </w:tc>
        <w:tc>
          <w:tcPr>
            <w:tcW w:type="dxa" w:w="1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Cross-Refs
(→ cites / ← cited by)</w:t>
            </w:r>
          </w:p>
        </w:tc>
        <w:tc>
          <w:tcPr>
            <w:tcW w:type="dxa" w:w="231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Novelty Basis (Prior Art Confirmed Clear)</w:t>
            </w:r>
          </w:p>
        </w:tc>
        <w:tc>
          <w:tcPr>
            <w:tcW w:type="dxa" w:w="5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File
Date</w:t>
            </w:r>
          </w:p>
        </w:tc>
        <w:tc>
          <w:tcPr>
            <w:tcW w:type="dxa" w:w="5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NP
Deadline</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P-008</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TAG Compute Arbitrage Marketplace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P-004, P-005, CIP-P-001
← (future DePIN)</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RepID-staked compute nodes: novel
BYOK personal-key-only architecture: novel
Explicitly EXCLUDES cross-user sharing
File BEFORE first NODE contributor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Phase 5
pre-launch</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Phase 6</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P-003</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NON-PROVISIONAL
(convert)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Question-Driven Reality Reorganization</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MEDIUM
(50-60%)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P-001, P-002
← CIP-P-003</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Most abstract — file last
CIP-P-003 HIAS addition strengthens
Expect more examiner prosecution</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Jul 2026
(before Aug)</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N/A</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CIP-P-003</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CIP on P-003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HIAS Integrated into Question-Driven Reorg</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MEDIUM-HIGH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P-003 (inherits)
→ P-010 (HIAS method)</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Concrete HIAS mechanism reduces
P-003 Alice rejection risk
Inherits Aug 2025 priority</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After P-010</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Aug 2027</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P-007</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PROVISIONAL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5"/>
                <w:szCs w:val="15"/>
              </w:rPr>
              <w:t xml:space="preserve">Quantum Migration (Groth16 → Plonky3)</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55555"/>
                <w:sz w:val="14"/>
                <w:szCs w:val="14"/>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3"/>
                <w:szCs w:val="13"/>
              </w:rPr>
              <w:t xml:space="preserve">→ P-005, CIP-P-002
← (future quantum)</w:t>
            </w:r>
          </w:p>
        </w:tc>
        <w:tc>
          <w:tcPr>
            <w:tcW w:type="dxa" w:w="2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4"/>
                <w:szCs w:val="14"/>
              </w:rPr>
              <w:t xml:space="preserve">Zero-downtime live migration: novel
BFT quorum attesting transition: novel
FILE BEFORE Phase 8 migration</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Phase 8
pre-start</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3"/>
                <w:szCs w:val="13"/>
              </w:rPr>
              <w:t xml:space="preserve">Phase 9</w:t>
            </w:r>
          </w:p>
        </w:tc>
      </w:tr>
    </w:tbl>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SMED Template — P-002 Example</w:t>
      </w:r>
    </w:p>
    <w:p>
      <w:pPr>
        <w:spacing w:after="60" w:before="60"/>
        <w:jc w:val="left"/>
      </w:pPr>
      <w:r>
        <w:rPr>
          <w:rFonts w:ascii="Arial" w:cs="Arial" w:eastAsia="Arial" w:hAnsi="Arial"/>
          <w:b w:val="false"/>
          <w:bCs w:val="false"/>
          <w:i w:val="false"/>
          <w:iCs w:val="false"/>
          <w:color w:val="000000"/>
          <w:sz w:val="19"/>
          <w:szCs w:val="19"/>
        </w:rPr>
        <w:t xml:space="preserve">Supplemental Evidence and Method Declaration structure for USPTO examination. Complete this with actual Supabase log exports before non-provisional conversion. Gemini task: export retrieval_logs and compute_bids to CSV immediately — this is your SMED exhibit package.</w:t>
      </w:r>
    </w:p>
    <w:p>
      <w:pPr>
        <w:spacing w:after="60" w:before="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Section</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Content</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1. Problem Statement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One paragraph. O(n²) complexity in traditional GNN additive aggregation. High-confidence hallucination in LLM outputs (TruthfulQA baseline 76.3%). Existing approaches solve these individually but not together.</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2. Prior Art Comparison Table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4 rows minimum: (1) US20220124543A1 — additive GNN, no φ/ε, no Lyapunov. (2) Shazeer 2017 MoE — arithmetic aggregation, no log-exp φ-weighted. (3) Belief Propagation Neural Networks arXiv 2020 — O(n²), no golden ratio. (4) US12316753B1 — static ZK privacy, no dynamic RepID governance. Three columns: Reference | Your Feature | Distinction.</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3. Technical Declaration
(Sean signs)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States specific constants: φ=1.61803398875, ε=1e-8, α=0.618. Convergence measurement methodology. Baseline comparison: "unweighted BM25/Vector baseline" = retrieval without GNN scoring, measured on [X] queries from retrieval_logs table. 22% precision improvement = [measured value] vs [baseline value]. ANFIS 72.5% ROI = measured as cost reduction in compute_bids table over [time period].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4. Exhibit A — Code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MultiplicativeConv layer implementation from deployed codebase. Commit hash. Date deployed to Railway. Shows φ=1.618 and ε=1e-8 in production code.</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5. Exhibit B — Supabase Logs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Export of retrieval_logs table (CSV). Export of compute_bids table (CSV, showing 2 proven rows from TAG milestone). Timestamp of export. This is reduction-to-practice evidence.</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6. Exhibit C — Metrics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Before/after precision measurements. ANFIS ROI calculation showing methodology. Bayesian tuner 500-sample guardrail data. All from actual system, not simulation.</w:t>
            </w:r>
          </w:p>
        </w:tc>
      </w:tr>
    </w:tbl>
    <w:p>
      <w:pPr>
        <w:spacing w:after="60" w:before="6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1B2A4A"/>
          <w:sz w:val="32"/>
          <w:szCs w:val="32"/>
        </w:rPr>
        <w:t xml:space="preserve">Critical Rules — Attorney Briefing</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1. P-004, P-005, and P-011 MUST file before Glass Wall goes public</w:t>
      </w:r>
    </w:p>
    <w:p>
      <w:pPr>
        <w:spacing w:after="60" w:before="60"/>
        <w:jc w:val="left"/>
      </w:pPr>
      <w:r>
        <w:rPr>
          <w:rFonts w:ascii="Arial" w:cs="Arial" w:eastAsia="Arial" w:hAnsi="Arial"/>
          <w:b w:val="false"/>
          <w:bCs w:val="false"/>
          <w:i w:val="false"/>
          <w:iCs w:val="false"/>
          <w:color w:val="000000"/>
          <w:sz w:val="19"/>
          <w:szCs w:val="19"/>
        </w:rPr>
        <w:t xml:space="preserve">Public deployment = prior art clock starts. Glass Wall stays in staging until Sean confirms all three filed. Gemini has been instructed to hold deployment. Do not break this gate.</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2. P-002 non-provisional is urgent — August 2026 deadline</w:t>
      </w:r>
    </w:p>
    <w:p>
      <w:pPr>
        <w:spacing w:after="60" w:before="60"/>
        <w:jc w:val="left"/>
      </w:pPr>
      <w:r>
        <w:rPr>
          <w:rFonts w:ascii="Arial" w:cs="Arial" w:eastAsia="Arial" w:hAnsi="Arial"/>
          <w:b w:val="false"/>
          <w:bCs w:val="false"/>
          <w:i w:val="false"/>
          <w:iCs w:val="false"/>
          <w:color w:val="000000"/>
          <w:sz w:val="19"/>
          <w:szCs w:val="19"/>
        </w:rPr>
        <w:t xml:space="preserve">Strongest grant candidate (80-90%). Attorney prep: 4-6 weeks minimum. Start immediately. Remove Theory of Mind / consciousness language entirely. Replace all unverified benchmarks with deployed Supabase metrics only.</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3. P-002 and P-005 overlap on GNN claims — differentiate explicitly</w:t>
      </w:r>
    </w:p>
    <w:p>
      <w:pPr>
        <w:spacing w:after="60" w:before="60"/>
        <w:jc w:val="left"/>
      </w:pPr>
      <w:r>
        <w:rPr>
          <w:rFonts w:ascii="Arial" w:cs="Arial" w:eastAsia="Arial" w:hAnsi="Arial"/>
          <w:b w:val="false"/>
          <w:bCs w:val="false"/>
          <w:i w:val="false"/>
          <w:iCs w:val="false"/>
          <w:color w:val="000000"/>
          <w:sz w:val="19"/>
          <w:szCs w:val="19"/>
        </w:rPr>
        <w:t xml:space="preserve">P-002 owns the mathematical GNN architecture (formula, Lyapunov proof, subjective logic constraint). P-005 owns the system-level governance application. P-005 references P-002 as a component — does not re-claim the math. Tell attorney explicitly to prevent double patenting rejection.</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4. ERC-8004 and x402 are prior art, not Sean's inventions</w:t>
      </w:r>
    </w:p>
    <w:p>
      <w:pPr>
        <w:spacing w:after="60" w:before="60"/>
        <w:jc w:val="left"/>
      </w:pPr>
      <w:r>
        <w:rPr>
          <w:rFonts w:ascii="Arial" w:cs="Arial" w:eastAsia="Arial" w:hAnsi="Arial"/>
          <w:b w:val="false"/>
          <w:bCs w:val="false"/>
          <w:i w:val="false"/>
          <w:iCs w:val="false"/>
          <w:color w:val="000000"/>
          <w:sz w:val="19"/>
          <w:szCs w:val="19"/>
        </w:rPr>
        <w:t xml:space="preserve">Cite both in BACKGROUND as "open standards this invention extends." Do not claim the standards. Claim the novel authorization layer built on top: RepID-gated thresholds, ZKP authorization proofs, dynamic spend caps, stake-slash mechanism.</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5. Use only proven REAL metrics</w:t>
      </w:r>
    </w:p>
    <w:p>
      <w:pPr>
        <w:spacing w:after="60" w:before="60"/>
        <w:jc w:val="left"/>
      </w:pPr>
      <w:r>
        <w:rPr>
          <w:rFonts w:ascii="Arial" w:cs="Arial" w:eastAsia="Arial" w:hAnsi="Arial"/>
          <w:b w:val="false"/>
          <w:bCs w:val="false"/>
          <w:i w:val="false"/>
          <w:iCs w:val="false"/>
          <w:color w:val="000000"/>
          <w:sz w:val="19"/>
          <w:szCs w:val="19"/>
        </w:rPr>
        <w:t xml:space="preserve">DO use: 78% HOT tier routing (compute_bids Supabase rows), $0.34 session saving (2 proven rows), 22% GNN precision vs unweighted BM25/Vector baseline, P=0.92 Bayesian forecast (500-sample). DO NOT use: 72.5% cost reduction (unverified), 2.5M TPS (aspirational), 90% hallucination reduction (not measured from deployed system).</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6. Remove all aspirational TPS and Theory of Mind claims</w:t>
      </w:r>
    </w:p>
    <w:p>
      <w:pPr>
        <w:spacing w:after="60" w:before="60"/>
        <w:jc w:val="left"/>
      </w:pPr>
      <w:r>
        <w:rPr>
          <w:rFonts w:ascii="Arial" w:cs="Arial" w:eastAsia="Arial" w:hAnsi="Arial"/>
          <w:b w:val="false"/>
          <w:bCs w:val="false"/>
          <w:i w:val="false"/>
          <w:iCs w:val="false"/>
          <w:color w:val="000000"/>
          <w:sz w:val="19"/>
          <w:szCs w:val="19"/>
        </w:rPr>
        <w:t xml:space="preserve">Creates prosecution history estoppel and Alice rejection risk respectively. Replace with "designed for high-throughput operation" and "recursive belief modeling enabling multi-agent coordination."</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7. BYOK negative limitation in P-004, P-005, P-008, P-011</w:t>
      </w:r>
    </w:p>
    <w:p>
      <w:pPr>
        <w:spacing w:after="60" w:before="60"/>
        <w:jc w:val="left"/>
      </w:pPr>
      <w:r>
        <w:rPr>
          <w:rFonts w:ascii="Arial" w:cs="Arial" w:eastAsia="Arial" w:hAnsi="Arial"/>
          <w:b w:val="false"/>
          <w:bCs w:val="false"/>
          <w:i w:val="false"/>
          <w:iCs w:val="false"/>
          <w:color w:val="000000"/>
          <w:sz w:val="19"/>
          <w:szCs w:val="19"/>
        </w:rPr>
        <w:t xml:space="preserve">Include: "The system specifically EXCLUDES using one user's API credentials to process another user's requests." Clean defensive drafting that preempts ToS violation arguments and strengthens the BYOK claims.</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8. P-011 filing decision — standalone vs CIP on P-002</w:t>
      </w:r>
    </w:p>
    <w:p>
      <w:pPr>
        <w:spacing w:after="60" w:before="60"/>
        <w:jc w:val="left"/>
      </w:pPr>
      <w:r>
        <w:rPr>
          <w:rFonts w:ascii="Arial" w:cs="Arial" w:eastAsia="Arial" w:hAnsi="Arial"/>
          <w:b w:val="false"/>
          <w:bCs w:val="false"/>
          <w:i w:val="false"/>
          <w:iCs w:val="false"/>
          <w:color w:val="000000"/>
          <w:sz w:val="19"/>
          <w:szCs w:val="19"/>
        </w:rPr>
        <w:t xml:space="preserve">File P-011 as standalone provisional this week to lock the date immediately. Separately discuss with attorney whether to also file as CIP on P-002 to inherit August 2025 priority — this requires confirming that P-002's specification contains sufficient description of the ZKP circuit to support the payment authorization claims.</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9. Trade secrets — withhold from all filings</w:t>
      </w:r>
    </w:p>
    <w:p>
      <w:pPr>
        <w:spacing w:after="60" w:before="60"/>
        <w:jc w:val="left"/>
      </w:pPr>
      <w:r>
        <w:rPr>
          <w:rFonts w:ascii="Arial" w:cs="Arial" w:eastAsia="Arial" w:hAnsi="Arial"/>
          <w:b w:val="false"/>
          <w:bCs w:val="false"/>
          <w:i w:val="false"/>
          <w:iCs w:val="false"/>
          <w:color w:val="000000"/>
          <w:sz w:val="19"/>
          <w:szCs w:val="19"/>
        </w:rPr>
        <w:t xml:space="preserve">Claim methods and architectures. Withhold: exact ANFIS membership function parameters, tuned virtue weight values, specific Plonky3 circuit constraint configurations. Patent claims the approach; tuned values remain trade secret.</w:t>
      </w:r>
    </w:p>
    <w:p>
      <w:pPr>
        <w:spacing w:after="60" w:before="60"/>
        <w:jc w:val="left"/>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B8860B"/>
          <w:sz w:val="22"/>
          <w:szCs w:val="22"/>
        </w:rPr>
        <w:t xml:space="preserve">10. Attorney recommendation</w:t>
      </w:r>
    </w:p>
    <w:p>
      <w:pPr>
        <w:spacing w:after="60" w:before="60"/>
        <w:jc w:val="left"/>
      </w:pPr>
      <w:r>
        <w:rPr>
          <w:rFonts w:ascii="Arial" w:cs="Arial" w:eastAsia="Arial" w:hAnsi="Arial"/>
          <w:b w:val="false"/>
          <w:bCs w:val="false"/>
          <w:i w:val="false"/>
          <w:iCs w:val="false"/>
          <w:color w:val="000000"/>
          <w:sz w:val="19"/>
          <w:szCs w:val="19"/>
        </w:rPr>
        <w:t xml:space="preserve">Foley &amp; Lardner (AI post-Desjardins), Perkins Coie (blockchain + AI practice), or Fish &amp; Richardson (software patent prosecution). Require recent Alice wins in AI/software patent prosecution specifically. The Alice §101 question is your primary prosecution risk.</w:t>
      </w:r>
    </w:p>
    <w:p>
      <w:pPr>
        <w:spacing w:after="60" w:before="60"/>
        <w:jc w:val="left"/>
      </w:pPr>
      <w:r>
        <w:rPr>
          <w:rFonts w:ascii="Arial" w:cs="Arial" w:eastAsia="Arial" w:hAnsi="Arial"/>
          <w:b w:val="false"/>
          <w:bCs w:val="false"/>
          <w:i w:val="false"/>
          <w:iCs w:val="false"/>
          <w:color w:val="000000"/>
          <w:sz w:val="20"/>
          <w:szCs w:val="20"/>
        </w:rPr>
        <w:t xml:space="preserve"/>
      </w:r>
    </w:p>
    <w:p>
      <w:pPr>
        <w:pBdr>
          <w:bottom w:val="single" w:color="B8860B" w:sz="2"/>
        </w:pBdr>
        <w:spacing w:after="120" w:before="120"/>
      </w:pPr>
      <w:r>
        <w:t xml:space="preserve"/>
      </w:r>
    </w:p>
    <w:p>
      <w:pPr>
        <w:spacing w:after="60" w:before="60"/>
        <w:jc w:val="center"/>
      </w:pPr>
      <w:r>
        <w:rPr>
          <w:rFonts w:ascii="Arial" w:cs="Arial" w:eastAsia="Arial" w:hAnsi="Arial"/>
          <w:b w:val="false"/>
          <w:bCs w:val="false"/>
          <w:i w:val="false"/>
          <w:iCs w:val="false"/>
          <w:color w:val="555555"/>
          <w:sz w:val="16"/>
          <w:szCs w:val="16"/>
        </w:rPr>
        <w:t xml:space="preserve">Trinity Symphony · Patent Portfolio v2026.03.05b · Sean Patrick Goodwin · CONFIDENTIAL</w:t>
      </w:r>
    </w:p>
    <w:p>
      <w:pPr>
        <w:spacing w:after="60" w:before="60"/>
        <w:jc w:val="center"/>
      </w:pPr>
      <w:r>
        <w:rPr>
          <w:rFonts w:ascii="Arial" w:cs="Arial" w:eastAsia="Arial" w:hAnsi="Arial"/>
          <w:b w:val="false"/>
          <w:bCs w:val="false"/>
          <w:i w:val="false"/>
          <w:iCs w:val="false"/>
          <w:color w:val="B8860B"/>
          <w:sz w:val="16"/>
          <w:szCs w:val="16"/>
        </w:rPr>
        <w:t xml:space="preserve">φ = 1.61803398875 · ε = 1e-8 · 11 filings · 4 rings · Micah 6:8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2026-03-06T00:55:59.418Z</dcterms:created>
  <dcterms:modified xsi:type="dcterms:W3CDTF">2026-03-06T00:55:59.419Z</dcterms:modified>
</cp:coreProperties>
</file>

<file path=docProps/custom.xml><?xml version="1.0" encoding="utf-8"?>
<Properties xmlns="http://schemas.openxmlformats.org/officeDocument/2006/custom-properties" xmlns:vt="http://schemas.openxmlformats.org/officeDocument/2006/docPropsVTypes"/>
</file>