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jc w:val="center"/>
      </w:pPr>
      <w:r>
        <w:rPr>
          <w:rFonts w:ascii="Arial" w:cs="Arial" w:eastAsia="Arial" w:hAnsi="Arial"/>
          <w:b/>
          <w:bCs/>
          <w:color w:val="1F4E79"/>
          <w:sz w:val="52"/>
          <w:szCs w:val="52"/>
        </w:rPr>
        <w:t xml:space="preserve">NEXUS CRE INTELLIGENCE</w:t>
      </w:r>
    </w:p>
    <w:p>
      <w:pPr>
        <w:spacing w:after="200"/>
        <w:jc w:val="center"/>
      </w:pPr>
      <w:r>
        <w:rPr>
          <w:rFonts w:ascii="Arial" w:cs="Arial" w:eastAsia="Arial" w:hAnsi="Arial"/>
          <w:color w:val="2E75B6"/>
          <w:sz w:val="32"/>
          <w:szCs w:val="32"/>
        </w:rPr>
        <w:t xml:space="preserve">AI-Native Argus Disruption Platform</w:t>
      </w:r>
    </w:p>
    <w:p>
      <w:pPr>
        <w:spacing w:after="600"/>
        <w:jc w:val="center"/>
      </w:pPr>
      <w:r>
        <w:rPr>
          <w:rFonts w:ascii="Arial" w:cs="Arial" w:eastAsia="Arial" w:hAnsi="Arial"/>
          <w:i/>
          <w:iCs/>
          <w:color w:val="606060"/>
          <w:sz w:val="22"/>
          <w:szCs w:val="22"/>
        </w:rPr>
        <w:t xml:space="preserve">Powered by Trinity Symphony ANFIS · BFT · GNN · DAG Architecture</w:t>
      </w:r>
    </w:p>
    <w:p>
      <w:pPr>
        <w:pBdr>
          <w:bottom w:val="single" w:color="2E75B6" w:sz="16"/>
        </w:pBdr>
        <w:spacing w:after="400"/>
      </w:pPr>
      <w:r>
        <w:t xml:space="preserve"/>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D6E4F0" w:val="clear"/>
            <w:tcMar>
              <w:top w:type="dxa" w:w="160"/>
              <w:left w:type="dxa" w:w="180"/>
              <w:bottom w:type="dxa" w:w="160"/>
              <w:right w:type="dxa" w:w="180"/>
            </w:tcMar>
          </w:tcPr>
          <w:p>
            <w:pPr>
              <w:jc w:val="center"/>
            </w:pPr>
            <w:r>
              <w:rPr>
                <w:rFonts w:ascii="Arial" w:cs="Arial" w:eastAsia="Arial" w:hAnsi="Arial"/>
                <w:b/>
                <w:bCs/>
                <w:color w:val="1F4E79"/>
                <w:sz w:val="22"/>
                <w:szCs w:val="22"/>
              </w:rPr>
              <w:t xml:space="preserve">Financial Engine</w:t>
            </w:r>
          </w:p>
          <w:p>
            <w:pPr>
              <w:spacing w:after="0"/>
              <w:jc w:val="center"/>
            </w:pPr>
            <w:r>
              <w:rPr>
                <w:rFonts w:ascii="Arial" w:cs="Arial" w:eastAsia="Arial" w:hAnsi="Arial"/>
                <w:color w:val="404040"/>
                <w:sz w:val="18"/>
                <w:szCs w:val="18"/>
              </w:rPr>
              <w:t xml:space="preserve">Deep DCF · Lease Abstraction · Waterfall Math</w:t>
            </w:r>
          </w:p>
        </w:tc>
        <w:tc>
          <w:tcPr>
            <w:tcW w:type="dxa" w:w="3120"/>
            <w:tcBorders>
              <w:top w:val="none" w:color="FFFFFF" w:sz="0"/>
              <w:left w:val="none" w:color="FFFFFF" w:sz="0"/>
              <w:bottom w:val="none" w:color="FFFFFF" w:sz="0"/>
              <w:right w:val="none" w:color="FFFFFF" w:sz="0"/>
            </w:tcBorders>
            <w:shd w:fill="D6E4F0" w:val="clear"/>
            <w:tcMar>
              <w:top w:type="dxa" w:w="160"/>
              <w:left w:type="dxa" w:w="180"/>
              <w:bottom w:type="dxa" w:w="160"/>
              <w:right w:type="dxa" w:w="180"/>
            </w:tcMar>
          </w:tcPr>
          <w:p>
            <w:pPr>
              <w:jc w:val="center"/>
            </w:pPr>
            <w:r>
              <w:rPr>
                <w:rFonts w:ascii="Arial" w:cs="Arial" w:eastAsia="Arial" w:hAnsi="Arial"/>
                <w:b/>
                <w:bCs/>
                <w:color w:val="1F4E79"/>
                <w:sz w:val="22"/>
                <w:szCs w:val="22"/>
              </w:rPr>
              <w:t xml:space="preserve">Agent Architecture</w:t>
            </w:r>
          </w:p>
          <w:p>
            <w:pPr>
              <w:spacing w:after="0"/>
              <w:jc w:val="center"/>
            </w:pPr>
            <w:r>
              <w:rPr>
                <w:rFonts w:ascii="Arial" w:cs="Arial" w:eastAsia="Arial" w:hAnsi="Arial"/>
                <w:color w:val="404040"/>
                <w:sz w:val="18"/>
                <w:szCs w:val="18"/>
              </w:rPr>
              <w:t xml:space="preserve">12-Agent BFT · ANFIS Routing · Zero-Hallucination</w:t>
            </w:r>
          </w:p>
        </w:tc>
        <w:tc>
          <w:tcPr>
            <w:tcW w:type="dxa" w:w="3120"/>
            <w:tcBorders>
              <w:top w:val="none" w:color="FFFFFF" w:sz="0"/>
              <w:left w:val="none" w:color="FFFFFF" w:sz="0"/>
              <w:bottom w:val="none" w:color="FFFFFF" w:sz="0"/>
              <w:right w:val="none" w:color="FFFFFF" w:sz="0"/>
            </w:tcBorders>
            <w:shd w:fill="D6E4F0" w:val="clear"/>
            <w:tcMar>
              <w:top w:type="dxa" w:w="160"/>
              <w:left w:type="dxa" w:w="180"/>
              <w:bottom w:type="dxa" w:w="160"/>
              <w:right w:type="dxa" w:w="180"/>
            </w:tcMar>
          </w:tcPr>
          <w:p>
            <w:pPr>
              <w:jc w:val="center"/>
            </w:pPr>
            <w:r>
              <w:rPr>
                <w:rFonts w:ascii="Arial" w:cs="Arial" w:eastAsia="Arial" w:hAnsi="Arial"/>
                <w:b/>
                <w:bCs/>
                <w:color w:val="1F4E79"/>
                <w:sz w:val="22"/>
                <w:szCs w:val="22"/>
              </w:rPr>
              <w:t xml:space="preserve">Go-to-Market</w:t>
            </w:r>
          </w:p>
          <w:p>
            <w:pPr>
              <w:spacing w:after="0"/>
              <w:jc w:val="center"/>
            </w:pPr>
            <w:r>
              <w:rPr>
                <w:rFonts w:ascii="Arial" w:cs="Arial" w:eastAsia="Arial" w:hAnsi="Arial"/>
                <w:color w:val="404040"/>
                <w:sz w:val="18"/>
                <w:szCs w:val="18"/>
              </w:rPr>
              <w:t xml:space="preserve">Land &amp; Expand · Patent Moat · $500M TAM</w:t>
            </w:r>
          </w:p>
        </w:tc>
      </w:tr>
    </w:tbl>
    <w:p>
      <w:pPr>
        <w:spacing w:after="160"/>
      </w:pPr>
      <w:r>
        <w:t xml:space="preserve"/>
      </w:r>
    </w:p>
    <w:p>
      <w:pPr>
        <w:spacing w:after="160"/>
      </w:pPr>
      <w:r>
        <w:t xml:space="preserve"/>
      </w:r>
    </w:p>
    <w:p>
      <w:pPr>
        <w:jc w:val="center"/>
      </w:pPr>
      <w:r>
        <w:rPr>
          <w:rFonts w:ascii="Arial" w:cs="Arial" w:eastAsia="Arial" w:hAnsi="Arial"/>
          <w:b/>
          <w:bCs/>
          <w:color w:val="843C0C"/>
          <w:sz w:val="18"/>
          <w:szCs w:val="18"/>
        </w:rPr>
        <w:t xml:space="preserve">CONFIDENTIAL STRATEGY DOCUMENT</w:t>
      </w:r>
    </w:p>
    <w:p>
      <w:pPr>
        <w:jc w:val="center"/>
      </w:pPr>
      <w:r>
        <w:rPr>
          <w:rFonts w:ascii="Arial" w:cs="Arial" w:eastAsia="Arial" w:hAnsi="Arial"/>
          <w:color w:val="808080"/>
          <w:sz w:val="18"/>
          <w:szCs w:val="18"/>
        </w:rPr>
        <w:t xml:space="preserve">HyperDAG Protocol  ·  AI Trinity Symphony  ·  March 2026</w:t>
      </w:r>
    </w:p>
    <w:p>
      <w:r>
        <w:br w:type="page"/>
      </w:r>
    </w:p>
    <w:p>
      <w:pPr>
        <w:pStyle w:val="Heading1"/>
        <w:pBdr>
          <w:bottom w:val="single" w:color="2E75B6" w:sz="8" w:space="4"/>
        </w:pBdr>
        <w:spacing w:after="200" w:before="400"/>
      </w:pPr>
      <w:r>
        <w:rPr>
          <w:rFonts w:ascii="Arial" w:cs="Arial" w:eastAsia="Arial" w:hAnsi="Arial"/>
          <w:b/>
          <w:bCs/>
          <w:color w:val="1F4E79"/>
          <w:sz w:val="32"/>
          <w:szCs w:val="32"/>
        </w:rPr>
        <w:t xml:space="preserve">PART 1: THE FINANCIAL MATH ENGINE</w:t>
      </w:r>
    </w:p>
    <w:p>
      <w:pPr>
        <w:spacing w:after="160"/>
      </w:pPr>
      <w:r>
        <w:rPr>
          <w:rFonts w:ascii="Arial" w:cs="Arial" w:eastAsia="Arial" w:hAnsi="Arial"/>
          <w:sz w:val="22"/>
          <w:szCs w:val="22"/>
        </w:rPr>
        <w:t xml:space="preserve">This is the hardest part — and the part that determines institutional trust. A single miscalculated IRR on a $300M acquisition model destroys credibility permanently. The goal: match or exceed Argus Enterprise precision while adding AI verification layers that Argus will never have.</w:t>
      </w:r>
    </w:p>
    <w:p>
      <w:pPr>
        <w:spacing w:after="160"/>
      </w:pPr>
      <w:r>
        <w:t xml:space="preserve"/>
      </w:r>
    </w:p>
    <w:p>
      <w:pPr>
        <w:pStyle w:val="Heading2"/>
        <w:spacing w:after="160" w:before="300"/>
      </w:pPr>
      <w:r>
        <w:rPr>
          <w:rFonts w:ascii="Arial" w:cs="Arial" w:eastAsia="Arial" w:hAnsi="Arial"/>
          <w:b/>
          <w:bCs/>
          <w:color w:val="2E75B6"/>
          <w:sz w:val="26"/>
          <w:szCs w:val="26"/>
        </w:rPr>
        <w:t xml:space="preserve">1.1  Core DCF Architecture</w:t>
      </w:r>
    </w:p>
    <w:p>
      <w:pPr>
        <w:spacing w:after="160"/>
      </w:pPr>
      <w:r>
        <w:rPr>
          <w:rFonts w:ascii="Arial" w:cs="Arial" w:eastAsia="Arial" w:hAnsi="Arial"/>
          <w:sz w:val="22"/>
          <w:szCs w:val="22"/>
        </w:rPr>
        <w:t xml:space="preserve">The engine must be built in Python with NumPy/SciPy for numerical precision, with all outputs cross-validated by a dedicated Verifier Agent using alternative calculation paths. This is not optional — it is the BFT principle applied to financial math.</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r>
              <w:rPr>
                <w:rFonts w:ascii="Arial" w:cs="Arial" w:eastAsia="Arial" w:hAnsi="Arial"/>
                <w:b/>
                <w:bCs/>
                <w:color w:val="1F4E79"/>
                <w:sz w:val="21"/>
                <w:szCs w:val="21"/>
              </w:rPr>
              <w:t xml:space="preserve">🔑 Golden Rule</w:t>
            </w:r>
          </w:p>
          <w:p>
            <w:pPr>
              <w:spacing w:after="0"/>
            </w:pPr>
            <w:r>
              <w:rPr>
                <w:rFonts w:ascii="Arial" w:cs="Arial" w:eastAsia="Arial" w:hAnsi="Arial"/>
                <w:sz w:val="21"/>
                <w:szCs w:val="21"/>
              </w:rPr>
              <w:t xml:space="preserve">Every financial output must be computed by two independent code paths and reconciled before display. If paths diverge by more than ε = 1e-8, the BFT consensus layer flags it for human review. Zero hallucinations in financial output is non-negotiable.</w:t>
            </w:r>
          </w:p>
        </w:tc>
      </w:tr>
    </w:tbl>
    <w:p>
      <w:pPr>
        <w:spacing w:after="160"/>
      </w:pPr>
      <w:r>
        <w:t xml:space="preserve"/>
      </w:r>
    </w:p>
    <w:p>
      <w:pPr>
        <w:pStyle w:val="Heading3"/>
        <w:spacing w:after="120" w:before="200"/>
      </w:pPr>
      <w:r>
        <w:rPr>
          <w:rFonts w:ascii="Arial" w:cs="Arial" w:eastAsia="Arial" w:hAnsi="Arial"/>
          <w:b/>
          <w:bCs/>
          <w:color w:val="404040"/>
          <w:sz w:val="22"/>
          <w:szCs w:val="22"/>
        </w:rPr>
        <w:t xml:space="preserve">1.1.1  Lease-by-Lease Cash Flow Engine</w:t>
      </w:r>
    </w:p>
    <w:p>
      <w:pPr>
        <w:pStyle w:val="ListParagraph"/>
        <w:numPr>
          <w:ilvl w:val="0"/>
          <w:numId w:val="2"/>
        </w:numPr>
        <w:spacing w:after="100"/>
      </w:pPr>
      <w:r>
        <w:rPr>
          <w:rFonts w:ascii="Arial" w:cs="Arial" w:eastAsia="Arial" w:hAnsi="Arial"/>
          <w:b/>
          <w:bCs/>
          <w:sz w:val="21"/>
          <w:szCs w:val="21"/>
        </w:rPr>
        <w:t xml:space="preserve">Rent step modeling: fixed steps, CPI-linked (lagged/current), percentage-of-sales</w:t>
      </w:r>
    </w:p>
    <w:p>
      <w:pPr>
        <w:pStyle w:val="ListParagraph"/>
        <w:numPr>
          <w:ilvl w:val="0"/>
          <w:numId w:val="3"/>
        </w:numPr>
        <w:spacing w:after="80"/>
      </w:pPr>
      <w:r>
        <w:rPr>
          <w:rFonts w:ascii="Arial" w:cs="Arial" w:eastAsia="Arial" w:hAnsi="Arial"/>
          <w:sz w:val="20"/>
          <w:szCs w:val="20"/>
        </w:rPr>
        <w:t xml:space="preserve">CPI index sources: BLS API (live feed), custom lag periods per lease</w:t>
      </w:r>
    </w:p>
    <w:p>
      <w:pPr>
        <w:pStyle w:val="ListParagraph"/>
        <w:numPr>
          <w:ilvl w:val="0"/>
          <w:numId w:val="3"/>
        </w:numPr>
        <w:spacing w:after="80"/>
      </w:pPr>
      <w:r>
        <w:rPr>
          <w:rFonts w:ascii="Arial" w:cs="Arial" w:eastAsia="Arial" w:hAnsi="Arial"/>
          <w:sz w:val="20"/>
          <w:szCs w:val="20"/>
        </w:rPr>
        <w:t xml:space="preserve">Percentage rent threshold logic: natural breakpoint vs. artificial breakpoint</w:t>
      </w:r>
    </w:p>
    <w:p>
      <w:pPr>
        <w:pStyle w:val="ListParagraph"/>
        <w:numPr>
          <w:ilvl w:val="0"/>
          <w:numId w:val="2"/>
        </w:numPr>
        <w:spacing w:after="100"/>
      </w:pPr>
      <w:r>
        <w:rPr>
          <w:rFonts w:ascii="Arial" w:cs="Arial" w:eastAsia="Arial" w:hAnsi="Arial"/>
          <w:b w:val="false"/>
          <w:bCs w:val="false"/>
          <w:sz w:val="21"/>
          <w:szCs w:val="21"/>
        </w:rPr>
        <w:t xml:space="preserve">Vacancy modeling: probabilistic Markov chain (not flat %) — tenant by tenant credit scoring</w:t>
      </w:r>
    </w:p>
    <w:p>
      <w:pPr>
        <w:pStyle w:val="ListParagraph"/>
        <w:numPr>
          <w:ilvl w:val="0"/>
          <w:numId w:val="2"/>
        </w:numPr>
        <w:spacing w:after="100"/>
      </w:pPr>
      <w:r>
        <w:rPr>
          <w:rFonts w:ascii="Arial" w:cs="Arial" w:eastAsia="Arial" w:hAnsi="Arial"/>
          <w:b w:val="false"/>
          <w:bCs w:val="false"/>
          <w:sz w:val="21"/>
          <w:szCs w:val="21"/>
        </w:rPr>
        <w:t xml:space="preserve">Recovery structures: NNN, Modified Gross, Full Service Gross, Base Year Stop, Expense Cap</w:t>
      </w:r>
    </w:p>
    <w:p>
      <w:pPr>
        <w:pStyle w:val="ListParagraph"/>
        <w:numPr>
          <w:ilvl w:val="0"/>
          <w:numId w:val="3"/>
        </w:numPr>
        <w:spacing w:after="80"/>
      </w:pPr>
      <w:r>
        <w:rPr>
          <w:rFonts w:ascii="Arial" w:cs="Arial" w:eastAsia="Arial" w:hAnsi="Arial"/>
          <w:sz w:val="20"/>
          <w:szCs w:val="20"/>
        </w:rPr>
        <w:t xml:space="preserve">CAM reconciliation engine: gross-up provisions, controllable/uncontrollable splits</w:t>
      </w:r>
    </w:p>
    <w:p>
      <w:pPr>
        <w:pStyle w:val="ListParagraph"/>
        <w:numPr>
          <w:ilvl w:val="0"/>
          <w:numId w:val="2"/>
        </w:numPr>
        <w:spacing w:after="100"/>
      </w:pPr>
      <w:r>
        <w:rPr>
          <w:rFonts w:ascii="Arial" w:cs="Arial" w:eastAsia="Arial" w:hAnsi="Arial"/>
          <w:b w:val="false"/>
          <w:bCs w:val="false"/>
          <w:sz w:val="21"/>
          <w:szCs w:val="21"/>
        </w:rPr>
        <w:t xml:space="preserve">TI/LC capital modeling: weighted average lease term × $/SF inputs, renewal probability decay</w:t>
      </w:r>
    </w:p>
    <w:p>
      <w:pPr>
        <w:pStyle w:val="ListParagraph"/>
        <w:numPr>
          <w:ilvl w:val="0"/>
          <w:numId w:val="2"/>
        </w:numPr>
        <w:spacing w:after="100"/>
      </w:pPr>
      <w:r>
        <w:rPr>
          <w:rFonts w:ascii="Arial" w:cs="Arial" w:eastAsia="Arial" w:hAnsi="Arial"/>
          <w:b w:val="false"/>
          <w:bCs w:val="false"/>
          <w:sz w:val="21"/>
          <w:szCs w:val="21"/>
        </w:rPr>
        <w:t xml:space="preserve">Lease option handling: renewal options (at/above/below market), purchase options, termination rights</w:t>
      </w:r>
    </w:p>
    <w:p>
      <w:pPr>
        <w:spacing w:after="160"/>
      </w:pPr>
      <w:r>
        <w:t xml:space="preserve"/>
      </w:r>
    </w:p>
    <w:p>
      <w:pPr>
        <w:pStyle w:val="Heading3"/>
        <w:spacing w:after="120" w:before="200"/>
      </w:pPr>
      <w:r>
        <w:rPr>
          <w:rFonts w:ascii="Arial" w:cs="Arial" w:eastAsia="Arial" w:hAnsi="Arial"/>
          <w:b/>
          <w:bCs/>
          <w:color w:val="404040"/>
          <w:sz w:val="22"/>
          <w:szCs w:val="22"/>
        </w:rPr>
        <w:t xml:space="preserve">1.1.2  Property-Level Pro Forma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Module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Argus Capability</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NEXUS Upgrade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EGI Build-up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Manual inputs only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AI-populated from rent roll PDF in &lt;90 seconds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OpEx Modeling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Static categories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ML forecast using T-12/T-24 actuals + CPI projection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CapEx Reserves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User assumption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ANFIS-scored from property age, class, market data</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Debt Service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Basic amort</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Multi-tranche: senior/mezz/pref equity with DSCR covenants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Tax Shield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Not modeled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Depreciation schedule + cost seg study integration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NOI Normalization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Manual override</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AI anomaly detection flags one-time items automatically</w:t>
            </w:r>
          </w:p>
        </w:tc>
      </w:tr>
    </w:tbl>
    <w:p>
      <w:pPr>
        <w:spacing w:after="160"/>
      </w:pPr>
      <w:r>
        <w:t xml:space="preserve"/>
      </w:r>
    </w:p>
    <w:p>
      <w:pPr>
        <w:pStyle w:val="Heading3"/>
        <w:spacing w:after="120" w:before="200"/>
      </w:pPr>
      <w:r>
        <w:rPr>
          <w:rFonts w:ascii="Arial" w:cs="Arial" w:eastAsia="Arial" w:hAnsi="Arial"/>
          <w:b/>
          <w:bCs/>
          <w:color w:val="404040"/>
          <w:sz w:val="22"/>
          <w:szCs w:val="22"/>
        </w:rPr>
        <w:t xml:space="preserve">1.1.3  DCF &amp; Return Metrics</w:t>
      </w:r>
    </w:p>
    <w:p>
      <w:pPr>
        <w:pStyle w:val="ListParagraph"/>
        <w:numPr>
          <w:ilvl w:val="0"/>
          <w:numId w:val="2"/>
        </w:numPr>
        <w:spacing w:after="100"/>
      </w:pPr>
      <w:r>
        <w:rPr>
          <w:rFonts w:ascii="Arial" w:cs="Arial" w:eastAsia="Arial" w:hAnsi="Arial"/>
          <w:b w:val="false"/>
          <w:bCs w:val="false"/>
          <w:sz w:val="21"/>
          <w:szCs w:val="21"/>
        </w:rPr>
        <w:t xml:space="preserve">IRR calculation: Newton-Raphson with XIRR handling for irregular cash flows</w:t>
      </w:r>
    </w:p>
    <w:p>
      <w:pPr>
        <w:pStyle w:val="ListParagraph"/>
        <w:numPr>
          <w:ilvl w:val="0"/>
          <w:numId w:val="2"/>
        </w:numPr>
        <w:spacing w:after="100"/>
      </w:pPr>
      <w:r>
        <w:rPr>
          <w:rFonts w:ascii="Arial" w:cs="Arial" w:eastAsia="Arial" w:hAnsi="Arial"/>
          <w:b w:val="false"/>
          <w:bCs w:val="false"/>
          <w:sz w:val="21"/>
          <w:szCs w:val="21"/>
        </w:rPr>
        <w:t xml:space="preserve">NPV at multiple discount rates: project-level, levered, LP/GP split, fund-level blended</w:t>
      </w:r>
    </w:p>
    <w:p>
      <w:pPr>
        <w:pStyle w:val="ListParagraph"/>
        <w:numPr>
          <w:ilvl w:val="0"/>
          <w:numId w:val="2"/>
        </w:numPr>
        <w:spacing w:after="100"/>
      </w:pPr>
      <w:r>
        <w:rPr>
          <w:rFonts w:ascii="Arial" w:cs="Arial" w:eastAsia="Arial" w:hAnsi="Arial"/>
          <w:b w:val="false"/>
          <w:bCs w:val="false"/>
          <w:sz w:val="21"/>
          <w:szCs w:val="21"/>
        </w:rPr>
        <w:t xml:space="preserve">Equity Multiple, CoC, DPI, TVPI, RVPI — all computed simultaneously in one pass</w:t>
      </w:r>
    </w:p>
    <w:p>
      <w:pPr>
        <w:pStyle w:val="ListParagraph"/>
        <w:numPr>
          <w:ilvl w:val="0"/>
          <w:numId w:val="2"/>
        </w:numPr>
        <w:spacing w:after="100"/>
      </w:pPr>
      <w:r>
        <w:rPr>
          <w:rFonts w:ascii="Arial" w:cs="Arial" w:eastAsia="Arial" w:hAnsi="Arial"/>
          <w:b w:val="false"/>
          <w:bCs w:val="false"/>
          <w:sz w:val="21"/>
          <w:szCs w:val="21"/>
        </w:rPr>
        <w:t xml:space="preserve">Hold period analysis: optimal exit year modeled via cap rate trajectory + loan maturity</w:t>
      </w:r>
    </w:p>
    <w:p>
      <w:pPr>
        <w:pStyle w:val="ListParagraph"/>
        <w:numPr>
          <w:ilvl w:val="0"/>
          <w:numId w:val="2"/>
        </w:numPr>
        <w:spacing w:after="100"/>
      </w:pPr>
      <w:r>
        <w:rPr>
          <w:rFonts w:ascii="Arial" w:cs="Arial" w:eastAsia="Arial" w:hAnsi="Arial"/>
          <w:b w:val="false"/>
          <w:bCs w:val="false"/>
          <w:sz w:val="21"/>
          <w:szCs w:val="21"/>
        </w:rPr>
        <w:t xml:space="preserve">Sensitivity tables: 2D heat maps (rent growth × cap rate, LTV × interest rate) — auto-generated</w:t>
      </w:r>
    </w:p>
    <w:p>
      <w:pPr>
        <w:spacing w:after="160"/>
      </w:pPr>
      <w:r>
        <w:t xml:space="preserve"/>
      </w:r>
    </w:p>
    <w:p>
      <w:pPr>
        <w:pStyle w:val="Heading2"/>
        <w:spacing w:after="160" w:before="300"/>
      </w:pPr>
      <w:r>
        <w:rPr>
          <w:rFonts w:ascii="Arial" w:cs="Arial" w:eastAsia="Arial" w:hAnsi="Arial"/>
          <w:b/>
          <w:bCs/>
          <w:color w:val="2E75B6"/>
          <w:sz w:val="26"/>
          <w:szCs w:val="26"/>
        </w:rPr>
        <w:t xml:space="preserve">1.2  Reversion &amp; Exit Modeling</w:t>
      </w:r>
    </w:p>
    <w:p>
      <w:pPr>
        <w:pStyle w:val="Heading3"/>
        <w:spacing w:after="120" w:before="200"/>
      </w:pPr>
      <w:r>
        <w:rPr>
          <w:rFonts w:ascii="Arial" w:cs="Arial" w:eastAsia="Arial" w:hAnsi="Arial"/>
          <w:b/>
          <w:bCs/>
          <w:color w:val="404040"/>
          <w:sz w:val="22"/>
          <w:szCs w:val="22"/>
        </w:rPr>
        <w:t xml:space="preserve">1.2.1  Cap Rate Intelligence</w:t>
      </w:r>
    </w:p>
    <w:p>
      <w:pPr>
        <w:spacing w:after="160"/>
      </w:pPr>
      <w:r>
        <w:rPr>
          <w:rFonts w:ascii="Arial" w:cs="Arial" w:eastAsia="Arial" w:hAnsi="Arial"/>
          <w:sz w:val="22"/>
          <w:szCs w:val="22"/>
        </w:rPr>
        <w:t xml:space="preserve">This is where AI creates the biggest edge. Instead of a user typing '5.25%' from memory, the system:</w:t>
      </w:r>
    </w:p>
    <w:p>
      <w:pPr>
        <w:pStyle w:val="ListParagraph"/>
        <w:numPr>
          <w:ilvl w:val="0"/>
          <w:numId w:val="2"/>
        </w:numPr>
        <w:spacing w:after="100"/>
      </w:pPr>
      <w:r>
        <w:rPr>
          <w:rFonts w:ascii="Arial" w:cs="Arial" w:eastAsia="Arial" w:hAnsi="Arial"/>
          <w:b w:val="false"/>
          <w:bCs w:val="false"/>
          <w:sz w:val="21"/>
          <w:szCs w:val="21"/>
        </w:rPr>
        <w:t xml:space="preserve">Pulls live comp transactions from CoStar/MSCI/RCA API feeds for the exact submarket, property type, and quality tier</w:t>
      </w:r>
    </w:p>
    <w:p>
      <w:pPr>
        <w:pStyle w:val="ListParagraph"/>
        <w:numPr>
          <w:ilvl w:val="0"/>
          <w:numId w:val="2"/>
        </w:numPr>
        <w:spacing w:after="100"/>
      </w:pPr>
      <w:r>
        <w:rPr>
          <w:rFonts w:ascii="Arial" w:cs="Arial" w:eastAsia="Arial" w:hAnsi="Arial"/>
          <w:b w:val="false"/>
          <w:bCs w:val="false"/>
          <w:sz w:val="21"/>
          <w:szCs w:val="21"/>
        </w:rPr>
        <w:t xml:space="preserve">Applies GNN Semantic Graph to find analogous properties — same vintage, same tenant profile, similar WALE</w:t>
      </w:r>
    </w:p>
    <w:p>
      <w:pPr>
        <w:pStyle w:val="ListParagraph"/>
        <w:numPr>
          <w:ilvl w:val="0"/>
          <w:numId w:val="2"/>
        </w:numPr>
        <w:spacing w:after="100"/>
      </w:pPr>
      <w:r>
        <w:rPr>
          <w:rFonts w:ascii="Arial" w:cs="Arial" w:eastAsia="Arial" w:hAnsi="Arial"/>
          <w:b w:val="false"/>
          <w:bCs w:val="false"/>
          <w:sz w:val="21"/>
          <w:szCs w:val="21"/>
        </w:rPr>
        <w:t xml:space="preserve">Outputs a cap rate confidence interval: base, bear, bull scenarios with probability weights</w:t>
      </w:r>
    </w:p>
    <w:p>
      <w:pPr>
        <w:pStyle w:val="ListParagraph"/>
        <w:numPr>
          <w:ilvl w:val="0"/>
          <w:numId w:val="2"/>
        </w:numPr>
        <w:spacing w:after="100"/>
      </w:pPr>
      <w:r>
        <w:rPr>
          <w:rFonts w:ascii="Arial" w:cs="Arial" w:eastAsia="Arial" w:hAnsi="Arial"/>
          <w:b w:val="false"/>
          <w:bCs w:val="false"/>
          <w:sz w:val="21"/>
          <w:szCs w:val="21"/>
        </w:rPr>
        <w:t xml:space="preserve">Warns when user's exit assumption deviates more than 50bps from model-suggested range</w:t>
      </w:r>
    </w:p>
    <w:p>
      <w:pPr>
        <w:spacing w:after="160"/>
      </w:pPr>
      <w:r>
        <w:t xml:space="preserve"/>
      </w:r>
    </w:p>
    <w:p>
      <w:pPr>
        <w:pStyle w:val="Heading3"/>
        <w:spacing w:after="120" w:before="200"/>
      </w:pPr>
      <w:r>
        <w:rPr>
          <w:rFonts w:ascii="Arial" w:cs="Arial" w:eastAsia="Arial" w:hAnsi="Arial"/>
          <w:b/>
          <w:bCs/>
          <w:color w:val="404040"/>
          <w:sz w:val="22"/>
          <w:szCs w:val="22"/>
        </w:rPr>
        <w:t xml:space="preserve">1.2.2  Terminal Value Methods</w:t>
      </w:r>
    </w:p>
    <w:p>
      <w:pPr>
        <w:pStyle w:val="ListParagraph"/>
        <w:numPr>
          <w:ilvl w:val="0"/>
          <w:numId w:val="2"/>
        </w:numPr>
        <w:spacing w:after="100"/>
      </w:pPr>
      <w:r>
        <w:rPr>
          <w:rFonts w:ascii="Arial" w:cs="Arial" w:eastAsia="Arial" w:hAnsi="Arial"/>
          <w:b w:val="false"/>
          <w:bCs w:val="false"/>
          <w:sz w:val="21"/>
          <w:szCs w:val="21"/>
        </w:rPr>
        <w:t xml:space="preserve">Direct Cap Rate: NOI(yr+1) ÷ exit cap — standard and most common</w:t>
      </w:r>
    </w:p>
    <w:p>
      <w:pPr>
        <w:pStyle w:val="ListParagraph"/>
        <w:numPr>
          <w:ilvl w:val="0"/>
          <w:numId w:val="2"/>
        </w:numPr>
        <w:spacing w:after="100"/>
      </w:pPr>
      <w:r>
        <w:rPr>
          <w:rFonts w:ascii="Arial" w:cs="Arial" w:eastAsia="Arial" w:hAnsi="Arial"/>
          <w:b w:val="false"/>
          <w:bCs w:val="false"/>
          <w:sz w:val="21"/>
          <w:szCs w:val="21"/>
        </w:rPr>
        <w:t xml:space="preserve">Gordon Growth: NOI ÷ (cap - g) — useful for core stabilized assets</w:t>
      </w:r>
    </w:p>
    <w:p>
      <w:pPr>
        <w:pStyle w:val="ListParagraph"/>
        <w:numPr>
          <w:ilvl w:val="0"/>
          <w:numId w:val="2"/>
        </w:numPr>
        <w:spacing w:after="100"/>
      </w:pPr>
      <w:r>
        <w:rPr>
          <w:rFonts w:ascii="Arial" w:cs="Arial" w:eastAsia="Arial" w:hAnsi="Arial"/>
          <w:b w:val="false"/>
          <w:bCs w:val="false"/>
          <w:sz w:val="21"/>
          <w:szCs w:val="21"/>
        </w:rPr>
        <w:t xml:space="preserve">Replacement Cost: cost approach as sanity check for development underwriting</w:t>
      </w:r>
    </w:p>
    <w:p>
      <w:pPr>
        <w:pStyle w:val="ListParagraph"/>
        <w:numPr>
          <w:ilvl w:val="0"/>
          <w:numId w:val="2"/>
        </w:numPr>
        <w:spacing w:after="100"/>
      </w:pPr>
      <w:r>
        <w:rPr>
          <w:rFonts w:ascii="Arial" w:cs="Arial" w:eastAsia="Arial" w:hAnsi="Arial"/>
          <w:b w:val="false"/>
          <w:bCs w:val="false"/>
          <w:sz w:val="21"/>
          <w:szCs w:val="21"/>
        </w:rPr>
        <w:t xml:space="preserve">Comparable Sales: AI-weighted blend of comp transactions using GNN similarity scoring</w:t>
      </w:r>
    </w:p>
    <w:p>
      <w:pPr>
        <w:spacing w:after="160"/>
      </w:pPr>
      <w:r>
        <w:t xml:space="preserve"/>
      </w:r>
    </w:p>
    <w:p>
      <w:pPr>
        <w:pStyle w:val="Heading2"/>
        <w:spacing w:after="160" w:before="300"/>
      </w:pPr>
      <w:r>
        <w:rPr>
          <w:rFonts w:ascii="Arial" w:cs="Arial" w:eastAsia="Arial" w:hAnsi="Arial"/>
          <w:b/>
          <w:bCs/>
          <w:color w:val="2E75B6"/>
          <w:sz w:val="26"/>
          <w:szCs w:val="26"/>
        </w:rPr>
        <w:t xml:space="preserve">1.3  Advanced Financial Modules</w:t>
      </w:r>
    </w:p>
    <w:p>
      <w:pPr>
        <w:pStyle w:val="Heading3"/>
        <w:spacing w:after="120" w:before="200"/>
      </w:pPr>
      <w:r>
        <w:rPr>
          <w:rFonts w:ascii="Arial" w:cs="Arial" w:eastAsia="Arial" w:hAnsi="Arial"/>
          <w:b/>
          <w:bCs/>
          <w:color w:val="404040"/>
          <w:sz w:val="22"/>
          <w:szCs w:val="22"/>
        </w:rPr>
        <w:t xml:space="preserve">1.3.1  Waterfall Distribution Engine</w:t>
      </w:r>
    </w:p>
    <w:p>
      <w:pPr>
        <w:spacing w:after="160"/>
      </w:pPr>
      <w:r>
        <w:rPr>
          <w:rFonts w:ascii="Arial" w:cs="Arial" w:eastAsia="Arial" w:hAnsi="Arial"/>
          <w:sz w:val="22"/>
          <w:szCs w:val="22"/>
        </w:rPr>
        <w:t xml:space="preserve">This is the most complex math in CRE finance and where most software fails. NEXUS must handle:</w:t>
      </w:r>
    </w:p>
    <w:p>
      <w:pPr>
        <w:pStyle w:val="ListParagraph"/>
        <w:numPr>
          <w:ilvl w:val="0"/>
          <w:numId w:val="2"/>
        </w:numPr>
        <w:spacing w:after="100"/>
      </w:pPr>
      <w:r>
        <w:rPr>
          <w:rFonts w:ascii="Arial" w:cs="Arial" w:eastAsia="Arial" w:hAnsi="Arial"/>
          <w:b w:val="false"/>
          <w:bCs w:val="false"/>
          <w:sz w:val="21"/>
          <w:szCs w:val="21"/>
        </w:rPr>
        <w:t xml:space="preserve">Preferred return: simple vs. compound, cumulative vs. non-cumulative, pari passu vs. sequential</w:t>
      </w:r>
    </w:p>
    <w:p>
      <w:pPr>
        <w:pStyle w:val="ListParagraph"/>
        <w:numPr>
          <w:ilvl w:val="0"/>
          <w:numId w:val="2"/>
        </w:numPr>
        <w:spacing w:after="100"/>
      </w:pPr>
      <w:r>
        <w:rPr>
          <w:rFonts w:ascii="Arial" w:cs="Arial" w:eastAsia="Arial" w:hAnsi="Arial"/>
          <w:b w:val="false"/>
          <w:bCs w:val="false"/>
          <w:sz w:val="21"/>
          <w:szCs w:val="21"/>
        </w:rPr>
        <w:t xml:space="preserve">Return of capital vs. return on capital — sequencing matters enormously for LP economics</w:t>
      </w:r>
    </w:p>
    <w:p>
      <w:pPr>
        <w:pStyle w:val="ListParagraph"/>
        <w:numPr>
          <w:ilvl w:val="0"/>
          <w:numId w:val="2"/>
        </w:numPr>
        <w:spacing w:after="100"/>
      </w:pPr>
      <w:r>
        <w:rPr>
          <w:rFonts w:ascii="Arial" w:cs="Arial" w:eastAsia="Arial" w:hAnsi="Arial"/>
          <w:b w:val="false"/>
          <w:bCs w:val="false"/>
          <w:sz w:val="21"/>
          <w:szCs w:val="21"/>
        </w:rPr>
        <w:t xml:space="preserve">Promote/carry tiers: 2-tier, 3-tier, 4-tier promotes with lookback provisions</w:t>
      </w:r>
    </w:p>
    <w:p>
      <w:pPr>
        <w:pStyle w:val="ListParagraph"/>
        <w:numPr>
          <w:ilvl w:val="0"/>
          <w:numId w:val="2"/>
        </w:numPr>
        <w:spacing w:after="100"/>
      </w:pPr>
      <w:r>
        <w:rPr>
          <w:rFonts w:ascii="Arial" w:cs="Arial" w:eastAsia="Arial" w:hAnsi="Arial"/>
          <w:b w:val="false"/>
          <w:bCs w:val="false"/>
          <w:sz w:val="21"/>
          <w:szCs w:val="21"/>
        </w:rPr>
        <w:t xml:space="preserve">Catch-up clauses: full catch-up vs. partial catch-up, GP share during catch-up</w:t>
      </w:r>
    </w:p>
    <w:p>
      <w:pPr>
        <w:pStyle w:val="ListParagraph"/>
        <w:numPr>
          <w:ilvl w:val="0"/>
          <w:numId w:val="2"/>
        </w:numPr>
        <w:spacing w:after="100"/>
      </w:pPr>
      <w:r>
        <w:rPr>
          <w:rFonts w:ascii="Arial" w:cs="Arial" w:eastAsia="Arial" w:hAnsi="Arial"/>
          <w:b w:val="false"/>
          <w:bCs w:val="false"/>
          <w:sz w:val="21"/>
          <w:szCs w:val="21"/>
        </w:rPr>
        <w:t xml:space="preserve">Clawback provisions: deal-level vs. fund-level, escrow requirements</w:t>
      </w:r>
    </w:p>
    <w:p>
      <w:pPr>
        <w:pStyle w:val="ListParagraph"/>
        <w:numPr>
          <w:ilvl w:val="0"/>
          <w:numId w:val="2"/>
        </w:numPr>
        <w:spacing w:after="100"/>
      </w:pPr>
      <w:r>
        <w:rPr>
          <w:rFonts w:ascii="Arial" w:cs="Arial" w:eastAsia="Arial" w:hAnsi="Arial"/>
          <w:b w:val="false"/>
          <w:bCs w:val="false"/>
          <w:sz w:val="21"/>
          <w:szCs w:val="21"/>
        </w:rPr>
        <w:t xml:space="preserve">Preferred equity vs. mezz debt distinction: equity-like economics with debt-like priority</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r>
              <w:rPr>
                <w:rFonts w:ascii="Arial" w:cs="Arial" w:eastAsia="Arial" w:hAnsi="Arial"/>
                <w:b/>
                <w:bCs/>
                <w:color w:val="375623"/>
                <w:sz w:val="21"/>
                <w:szCs w:val="21"/>
              </w:rPr>
              <w:t xml:space="preserve">📐 Implementation Note</w:t>
            </w:r>
          </w:p>
          <w:p>
            <w:pPr>
              <w:spacing w:after="0"/>
            </w:pPr>
            <w:r>
              <w:rPr>
                <w:rFonts w:ascii="Arial" w:cs="Arial" w:eastAsia="Arial" w:hAnsi="Arial"/>
                <w:sz w:val="21"/>
                <w:szCs w:val="21"/>
              </w:rPr>
              <w:t xml:space="preserve">Build the waterfall as a directed acyclic graph (DAG) — each distribution event is a node, each priority rule is an edge. This maps directly to your existing HyperDAG architecture. The same DAG pattern that routes AI agent tasks can model LP/GP cash flows. Re-use the engine.</w:t>
            </w:r>
          </w:p>
        </w:tc>
      </w:tr>
    </w:tbl>
    <w:p>
      <w:pPr>
        <w:spacing w:after="160"/>
      </w:pPr>
      <w:r>
        <w:t xml:space="preserve"/>
      </w:r>
    </w:p>
    <w:p>
      <w:pPr>
        <w:pStyle w:val="Heading3"/>
        <w:spacing w:after="120" w:before="200"/>
      </w:pPr>
      <w:r>
        <w:rPr>
          <w:rFonts w:ascii="Arial" w:cs="Arial" w:eastAsia="Arial" w:hAnsi="Arial"/>
          <w:b/>
          <w:bCs/>
          <w:color w:val="404040"/>
          <w:sz w:val="22"/>
          <w:szCs w:val="22"/>
        </w:rPr>
        <w:t xml:space="preserve">1.3.2  Debt Structuring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Loan Type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Key Parameters</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NEXUS Feature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Senior Mortgage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LTV, DSCR, IO period, amort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Auto-structures 5 options simultaneously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Construction Loan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Draw schedule, holdback, completion</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Links to development timeline agent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Mezz / B-Note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Yield, OID, PIK toggle, exit fee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IRR optimization across stack</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Pref Equity</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Pref return, participation, lookback</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Waterfall integration auto-built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Bridge Loan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Floating rate (SOFR+), extension options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Rate cap modeling with vol surface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CMBS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Defeasance, yield maintenance, lockout</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Exit cost modeling by prepay date</w:t>
            </w:r>
          </w:p>
        </w:tc>
      </w:tr>
    </w:tbl>
    <w:p>
      <w:pPr>
        <w:spacing w:after="160"/>
      </w:pPr>
      <w:r>
        <w:t xml:space="preserve"/>
      </w:r>
    </w:p>
    <w:p>
      <w:pPr>
        <w:pStyle w:val="Heading3"/>
        <w:spacing w:after="120" w:before="200"/>
      </w:pPr>
      <w:r>
        <w:rPr>
          <w:rFonts w:ascii="Arial" w:cs="Arial" w:eastAsia="Arial" w:hAnsi="Arial"/>
          <w:b/>
          <w:bCs/>
          <w:color w:val="404040"/>
          <w:sz w:val="22"/>
          <w:szCs w:val="22"/>
        </w:rPr>
        <w:t xml:space="preserve">1.3.3  Development / Pro Forma Module (Argus Developer Equivalent)</w:t>
      </w:r>
    </w:p>
    <w:p>
      <w:pPr>
        <w:pStyle w:val="ListParagraph"/>
        <w:numPr>
          <w:ilvl w:val="0"/>
          <w:numId w:val="2"/>
        </w:numPr>
        <w:spacing w:after="100"/>
      </w:pPr>
      <w:r>
        <w:rPr>
          <w:rFonts w:ascii="Arial" w:cs="Arial" w:eastAsia="Arial" w:hAnsi="Arial"/>
          <w:b w:val="false"/>
          <w:bCs w:val="false"/>
          <w:sz w:val="21"/>
          <w:szCs w:val="21"/>
        </w:rPr>
        <w:t xml:space="preserve">Hard cost S-curve modeling: front-loaded vs. linear vs. back-loaded draw schedules</w:t>
      </w:r>
    </w:p>
    <w:p>
      <w:pPr>
        <w:pStyle w:val="ListParagraph"/>
        <w:numPr>
          <w:ilvl w:val="0"/>
          <w:numId w:val="2"/>
        </w:numPr>
        <w:spacing w:after="100"/>
      </w:pPr>
      <w:r>
        <w:rPr>
          <w:rFonts w:ascii="Arial" w:cs="Arial" w:eastAsia="Arial" w:hAnsi="Arial"/>
          <w:b w:val="false"/>
          <w:bCs w:val="false"/>
          <w:sz w:val="21"/>
          <w:szCs w:val="21"/>
        </w:rPr>
        <w:t xml:space="preserve">Soft cost waterfall: design, permitting, financing fees, legal — sequenced by milestone</w:t>
      </w:r>
    </w:p>
    <w:p>
      <w:pPr>
        <w:pStyle w:val="ListParagraph"/>
        <w:numPr>
          <w:ilvl w:val="0"/>
          <w:numId w:val="2"/>
        </w:numPr>
        <w:spacing w:after="100"/>
      </w:pPr>
      <w:r>
        <w:rPr>
          <w:rFonts w:ascii="Arial" w:cs="Arial" w:eastAsia="Arial" w:hAnsi="Arial"/>
          <w:b w:val="false"/>
          <w:bCs w:val="false"/>
          <w:sz w:val="21"/>
          <w:szCs w:val="21"/>
        </w:rPr>
        <w:t xml:space="preserve">Construction interest: compound daily on drawn balance, capitalized to basis</w:t>
      </w:r>
    </w:p>
    <w:p>
      <w:pPr>
        <w:pStyle w:val="ListParagraph"/>
        <w:numPr>
          <w:ilvl w:val="0"/>
          <w:numId w:val="2"/>
        </w:numPr>
        <w:spacing w:after="100"/>
      </w:pPr>
      <w:r>
        <w:rPr>
          <w:rFonts w:ascii="Arial" w:cs="Arial" w:eastAsia="Arial" w:hAnsi="Arial"/>
          <w:b w:val="false"/>
          <w:bCs w:val="false"/>
          <w:sz w:val="21"/>
          <w:szCs w:val="21"/>
        </w:rPr>
        <w:t xml:space="preserve">Lease-up absorption: Monte Carlo simulation of lease-up pace vs. proforma assumptions</w:t>
      </w:r>
    </w:p>
    <w:p>
      <w:pPr>
        <w:pStyle w:val="ListParagraph"/>
        <w:numPr>
          <w:ilvl w:val="0"/>
          <w:numId w:val="2"/>
        </w:numPr>
        <w:spacing w:after="100"/>
      </w:pPr>
      <w:r>
        <w:rPr>
          <w:rFonts w:ascii="Arial" w:cs="Arial" w:eastAsia="Arial" w:hAnsi="Arial"/>
          <w:b w:val="false"/>
          <w:bCs w:val="false"/>
          <w:sz w:val="21"/>
          <w:szCs w:val="21"/>
        </w:rPr>
        <w:t xml:space="preserve">Stabilization triggers: when occupancy thresholds hit — refinance, JV promote, LP return of capital</w:t>
      </w:r>
    </w:p>
    <w:p>
      <w:pPr>
        <w:spacing w:after="160"/>
      </w:pPr>
      <w:r>
        <w:t xml:space="preserve"/>
      </w:r>
    </w:p>
    <w:p>
      <w:pPr>
        <w:pStyle w:val="Heading2"/>
        <w:spacing w:after="160" w:before="300"/>
      </w:pPr>
      <w:r>
        <w:rPr>
          <w:rFonts w:ascii="Arial" w:cs="Arial" w:eastAsia="Arial" w:hAnsi="Arial"/>
          <w:b/>
          <w:bCs/>
          <w:color w:val="2E75B6"/>
          <w:sz w:val="26"/>
          <w:szCs w:val="26"/>
        </w:rPr>
        <w:t xml:space="preserve">1.4  AI Verification Layer (The Zero-Hallucination Stack)</w:t>
      </w:r>
    </w:p>
    <w:p>
      <w:pPr>
        <w:spacing w:after="160"/>
      </w:pPr>
      <w:r>
        <w:rPr>
          <w:rFonts w:ascii="Arial" w:cs="Arial" w:eastAsia="Arial" w:hAnsi="Arial"/>
          <w:sz w:val="22"/>
          <w:szCs w:val="22"/>
        </w:rPr>
        <w:t xml:space="preserve">This is the proprietary layer that makes NEXUS institutionally trustworthy. No other CRE software has this.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Verification Layer</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Error Caught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Dual-Path IRR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Newton-Raphson + XIRR cross-check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Floating point drift, sign errors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ANFIS Anomaly Score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Fuzzy inference on assumption outliers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Wild cap rate / rent inputs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GNN Comp Validation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Graph distance to comparable deals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Market-disconnected assumptions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BFT Consensus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3-of-5 agent sign-off on output</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Systemic model errors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LASSO Sensitivity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Sparse regression on key drivers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Over-reliance on single variable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Audit Trail DAG</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Full computation lineage graph</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Traceability for LP/lender review</w:t>
            </w:r>
          </w:p>
        </w:tc>
      </w:tr>
    </w:tbl>
    <w:p>
      <w:pPr>
        <w:spacing w:after="160"/>
      </w:pPr>
      <w:r>
        <w:t xml:space="preserve"/>
      </w:r>
    </w:p>
    <w:p>
      <w:r>
        <w:br w:type="page"/>
      </w:r>
    </w:p>
    <w:p>
      <w:pPr>
        <w:pStyle w:val="Heading1"/>
        <w:pBdr>
          <w:bottom w:val="single" w:color="2E75B6" w:sz="8" w:space="4"/>
        </w:pBdr>
        <w:spacing w:after="200" w:before="400"/>
      </w:pPr>
      <w:r>
        <w:rPr>
          <w:rFonts w:ascii="Arial" w:cs="Arial" w:eastAsia="Arial" w:hAnsi="Arial"/>
          <w:b/>
          <w:bCs/>
          <w:color w:val="1F4E79"/>
          <w:sz w:val="32"/>
          <w:szCs w:val="32"/>
        </w:rPr>
        <w:t xml:space="preserve">PART 2: AGENT ARCHITECTURE DESIGN</w:t>
      </w:r>
    </w:p>
    <w:p>
      <w:pPr>
        <w:spacing w:after="160"/>
      </w:pPr>
      <w:r>
        <w:rPr>
          <w:rFonts w:ascii="Arial" w:cs="Arial" w:eastAsia="Arial" w:hAnsi="Arial"/>
          <w:sz w:val="22"/>
          <w:szCs w:val="22"/>
        </w:rPr>
        <w:t xml:space="preserve">This is your structural advantage. No CRE software company — not CoStar, not MSCI, not RealPage — has a BFT multi-agent architecture with ANFIS intelligent routing. This section translates Trinity Symphony's 3×3+3 neuromorphic model directly into the CRE underwriting domain.</w:t>
      </w:r>
    </w:p>
    <w:p>
      <w:pPr>
        <w:spacing w:after="160"/>
      </w:pPr>
      <w:r>
        <w:t xml:space="preserve"/>
      </w:r>
    </w:p>
    <w:p>
      <w:pPr>
        <w:pStyle w:val="Heading2"/>
        <w:spacing w:after="160" w:before="300"/>
      </w:pPr>
      <w:r>
        <w:rPr>
          <w:rFonts w:ascii="Arial" w:cs="Arial" w:eastAsia="Arial" w:hAnsi="Arial"/>
          <w:b/>
          <w:bCs/>
          <w:color w:val="2E75B6"/>
          <w:sz w:val="26"/>
          <w:szCs w:val="26"/>
        </w:rPr>
        <w:t xml:space="preserve">2.1  The NEXUS Agent Squad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r>
              <w:rPr>
                <w:rFonts w:ascii="Arial" w:cs="Arial" w:eastAsia="Arial" w:hAnsi="Arial"/>
                <w:b/>
                <w:bCs/>
                <w:color w:val="1F4E79"/>
                <w:sz w:val="21"/>
                <w:szCs w:val="21"/>
              </w:rPr>
              <w:t xml:space="preserve">Architecture Principle</w:t>
            </w:r>
          </w:p>
          <w:p>
            <w:pPr>
              <w:spacing w:after="0"/>
            </w:pPr>
            <w:r>
              <w:rPr>
                <w:rFonts w:ascii="Arial" w:cs="Arial" w:eastAsia="Arial" w:hAnsi="Arial"/>
                <w:sz w:val="21"/>
                <w:szCs w:val="21"/>
              </w:rPr>
              <w:t xml:space="preserve">Same 3×3+3 neuromorphic structure as Trinity Symphony. ALPHA = Sensory (data ingestion). BETA = Interneuron (reasoning/validation). GAMMA = Motor (output/action). Three orchestrators manage inter-squad coordination. BFT consensus requires 3-of-5 agreement on any financial output exceeding $1M impact.</w:t>
            </w:r>
          </w:p>
        </w:tc>
      </w:tr>
    </w:tbl>
    <w:p>
      <w:pPr>
        <w:spacing w:after="160"/>
      </w:pPr>
      <w:r>
        <w:t xml:space="preserve"/>
      </w:r>
    </w:p>
    <w:p>
      <w:pPr>
        <w:pStyle w:val="Heading3"/>
        <w:spacing w:after="120" w:before="200"/>
      </w:pPr>
      <w:r>
        <w:rPr>
          <w:rFonts w:ascii="Arial" w:cs="Arial" w:eastAsia="Arial" w:hAnsi="Arial"/>
          <w:b/>
          <w:bCs/>
          <w:color w:val="404040"/>
          <w:sz w:val="22"/>
          <w:szCs w:val="22"/>
        </w:rPr>
        <w:t xml:space="preserve">ALPHA Squad — Data Ingestion (Sensory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Agent</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Role</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Key Capability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ALPHA-1: INTAKE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Document ingestion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OCR + LLM extraction from rent rolls, OMs, leases, T-12s in &lt;90s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ALPHA-2: MARKET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Live market feeds</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CoStar/MSCI/FRED/RCA API polling, cap rate + rent comp normalization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ALPHA-3: SENSOR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Portfolio monitoring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Actual vs. underwritten variance detection, re-forecast triggers</w:t>
            </w:r>
          </w:p>
        </w:tc>
      </w:tr>
    </w:tbl>
    <w:p>
      <w:pPr>
        <w:spacing w:after="160"/>
      </w:pPr>
      <w:r>
        <w:t xml:space="preserve"/>
      </w:r>
    </w:p>
    <w:p>
      <w:pPr>
        <w:pStyle w:val="Heading3"/>
        <w:spacing w:after="120" w:before="200"/>
      </w:pPr>
      <w:r>
        <w:rPr>
          <w:rFonts w:ascii="Arial" w:cs="Arial" w:eastAsia="Arial" w:hAnsi="Arial"/>
          <w:b/>
          <w:bCs/>
          <w:color w:val="404040"/>
          <w:sz w:val="22"/>
          <w:szCs w:val="22"/>
        </w:rPr>
        <w:t xml:space="preserve">BETA Squad — Reasoning &amp; Validation (Interneuron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Agent</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Role</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Key Capability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BETA-1: SOPHIA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Truth validation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Cross-validates all financial assumptions against market comps + historical deals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BETA-2: VERITAS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Math verification</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Dual-path DCF computation, IRR reconciliation, waterfall audit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BETA-3: NEXUS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Semantic reasoning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GNN graph search for analogous deals, comp selection justification</w:t>
            </w:r>
          </w:p>
        </w:tc>
      </w:tr>
    </w:tbl>
    <w:p>
      <w:pPr>
        <w:spacing w:after="160"/>
      </w:pPr>
      <w:r>
        <w:t xml:space="preserve"/>
      </w:r>
    </w:p>
    <w:p>
      <w:pPr>
        <w:pStyle w:val="Heading3"/>
        <w:spacing w:after="120" w:before="200"/>
      </w:pPr>
      <w:r>
        <w:rPr>
          <w:rFonts w:ascii="Arial" w:cs="Arial" w:eastAsia="Arial" w:hAnsi="Arial"/>
          <w:b/>
          <w:bCs/>
          <w:color w:val="404040"/>
          <w:sz w:val="22"/>
          <w:szCs w:val="22"/>
        </w:rPr>
        <w:t xml:space="preserve">GAMMA Squad — Output &amp; Action (Motor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Agent</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Role</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Key Capability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GAMMA-1: TORCH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Report generation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IC memos, LP updates, lender packages — narrative + numbers in one pass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GAMMA-2: STRUCTUR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Deal structuring</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Simultaneous modeling of 5-10 debt/equity structures, IRR optimization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GAMMA-3: HERALD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Alerts &amp; monitoring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DSCR breach detection, covenant monitoring, market shift re-underwriting</w:t>
            </w:r>
          </w:p>
        </w:tc>
      </w:tr>
    </w:tbl>
    <w:p>
      <w:pPr>
        <w:spacing w:after="160"/>
      </w:pPr>
      <w:r>
        <w:t xml:space="preserve"/>
      </w:r>
    </w:p>
    <w:p>
      <w:pPr>
        <w:pStyle w:val="Heading3"/>
        <w:spacing w:after="120" w:before="200"/>
      </w:pPr>
      <w:r>
        <w:rPr>
          <w:rFonts w:ascii="Arial" w:cs="Arial" w:eastAsia="Arial" w:hAnsi="Arial"/>
          <w:b/>
          <w:bCs/>
          <w:color w:val="404040"/>
          <w:sz w:val="22"/>
          <w:szCs w:val="22"/>
        </w:rPr>
        <w:t xml:space="preserve">Orchestration Layer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Agent</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Role</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Key Capability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ORCH-CRE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Master coordinator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Manages sprint queue, assigns tasks, monitors agent health, BFT orchestration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SHOFET-CRE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Judge / arbiter</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Pythagorean Comma Veto — escalates when agents disagree beyond threshold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W3C-CRE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Compliance guardian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SEC/FINRA/Reg D compliance checks, audit trail completeness, data governance</w:t>
            </w:r>
          </w:p>
        </w:tc>
      </w:tr>
    </w:tbl>
    <w:p>
      <w:pPr>
        <w:spacing w:after="160"/>
      </w:pPr>
      <w:r>
        <w:t xml:space="preserve"/>
      </w:r>
    </w:p>
    <w:p>
      <w:pPr>
        <w:pStyle w:val="Heading2"/>
        <w:spacing w:after="160" w:before="300"/>
      </w:pPr>
      <w:r>
        <w:rPr>
          <w:rFonts w:ascii="Arial" w:cs="Arial" w:eastAsia="Arial" w:hAnsi="Arial"/>
          <w:b/>
          <w:bCs/>
          <w:color w:val="2E75B6"/>
          <w:sz w:val="26"/>
          <w:szCs w:val="26"/>
        </w:rPr>
        <w:t xml:space="preserve">2.2  ANFIS Intelligent Routing for CRE Tasks</w:t>
      </w:r>
    </w:p>
    <w:p>
      <w:pPr>
        <w:spacing w:after="160"/>
      </w:pPr>
      <w:r>
        <w:rPr>
          <w:rFonts w:ascii="Arial" w:cs="Arial" w:eastAsia="Arial" w:hAnsi="Arial"/>
          <w:sz w:val="22"/>
          <w:szCs w:val="22"/>
        </w:rPr>
        <w:t xml:space="preserve">The same ANFIS engine that routes AI token costs in Trinity Symphony applies here to route underwriting complexity. Simple queries (cap rate lookup, basic pro forma) go to lightweight models at $0.27/M tokens. Complex multi-tenant DCF with waterfall modeling goes to frontier models. Estimated 65-75% cost reduction vs. naive routing.</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400"/>
        <w:gridCol w:w="21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Task Type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Complexity Score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Model Routed</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Cost/Query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Cap rate lookup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Low (0.1-0.3)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Phi-3 / Mistral-7B</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~$0.003</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Single-tenant DCF</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Medium (0.3-0.6)</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Sonnet / Haiku</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~$0.02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Multi-tenant + waterfall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High (0.6-0.85)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GPT-4o / Claude Opus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~$0.15</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Portfolio aggregation + IC memo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Very High (0.85-1.0)</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Frontier model ensemble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~$0.45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ANFIS routing decision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Overhead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Local fuzzy inference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&lt;$0.001</w:t>
            </w:r>
          </w:p>
        </w:tc>
      </w:tr>
    </w:tbl>
    <w:p>
      <w:pPr>
        <w:spacing w:after="160"/>
      </w:pPr>
      <w:r>
        <w:t xml:space="preserve"/>
      </w:r>
    </w:p>
    <w:p>
      <w:pPr>
        <w:pStyle w:val="Heading2"/>
        <w:spacing w:after="160" w:before="300"/>
      </w:pPr>
      <w:r>
        <w:rPr>
          <w:rFonts w:ascii="Arial" w:cs="Arial" w:eastAsia="Arial" w:hAnsi="Arial"/>
          <w:b/>
          <w:bCs/>
          <w:color w:val="2E75B6"/>
          <w:sz w:val="26"/>
          <w:szCs w:val="26"/>
        </w:rPr>
        <w:t xml:space="preserve">2.3  BFT Consensus Protocol for Financial Outputs</w:t>
      </w:r>
    </w:p>
    <w:p>
      <w:pPr>
        <w:spacing w:after="160"/>
      </w:pPr>
      <w:r>
        <w:rPr>
          <w:rFonts w:ascii="Arial" w:cs="Arial" w:eastAsia="Arial" w:hAnsi="Arial"/>
          <w:sz w:val="22"/>
          <w:szCs w:val="22"/>
        </w:rPr>
        <w:t xml:space="preserve">Byzantine Fault Tolerant consensus is the core trust mechanism. In a financial context, a 'byzantine fault' is a hallucinated number — an agent producing a confident wrong answer. The protocol:</w:t>
      </w:r>
    </w:p>
    <w:p>
      <w:pPr>
        <w:spacing w:after="160"/>
      </w:pPr>
      <w:r>
        <w:t xml:space="preserve"/>
      </w:r>
    </w:p>
    <w:p>
      <w:pPr>
        <w:pStyle w:val="ListParagraph"/>
        <w:numPr>
          <w:ilvl w:val="0"/>
          <w:numId w:val="2"/>
        </w:numPr>
        <w:spacing w:after="100"/>
      </w:pPr>
      <w:r>
        <w:rPr>
          <w:rFonts w:ascii="Arial" w:cs="Arial" w:eastAsia="Arial" w:hAnsi="Arial"/>
          <w:b w:val="false"/>
          <w:bCs w:val="false"/>
          <w:sz w:val="21"/>
          <w:szCs w:val="21"/>
        </w:rPr>
        <w:t xml:space="preserve">Any financial figure that could move an investment decision requires 3-of-5 agent sign-off</w:t>
      </w:r>
    </w:p>
    <w:p>
      <w:pPr>
        <w:pStyle w:val="ListParagraph"/>
        <w:numPr>
          <w:ilvl w:val="0"/>
          <w:numId w:val="2"/>
        </w:numPr>
        <w:spacing w:after="100"/>
      </w:pPr>
      <w:r>
        <w:rPr>
          <w:rFonts w:ascii="Arial" w:cs="Arial" w:eastAsia="Arial" w:hAnsi="Arial"/>
          <w:b w:val="false"/>
          <w:bCs w:val="false"/>
          <w:sz w:val="21"/>
          <w:szCs w:val="21"/>
        </w:rPr>
        <w:t xml:space="preserve">SOPHIA validates the assumption (is this cap rate plausible for this submarket?)</w:t>
      </w:r>
    </w:p>
    <w:p>
      <w:pPr>
        <w:pStyle w:val="ListParagraph"/>
        <w:numPr>
          <w:ilvl w:val="0"/>
          <w:numId w:val="2"/>
        </w:numPr>
        <w:spacing w:after="100"/>
      </w:pPr>
      <w:r>
        <w:rPr>
          <w:rFonts w:ascii="Arial" w:cs="Arial" w:eastAsia="Arial" w:hAnsi="Arial"/>
          <w:b w:val="false"/>
          <w:bCs w:val="false"/>
          <w:sz w:val="21"/>
          <w:szCs w:val="21"/>
        </w:rPr>
        <w:t xml:space="preserve">VERITAS validates the math (does this IRR arithmetic check out via two methods?)</w:t>
      </w:r>
    </w:p>
    <w:p>
      <w:pPr>
        <w:pStyle w:val="ListParagraph"/>
        <w:numPr>
          <w:ilvl w:val="0"/>
          <w:numId w:val="2"/>
        </w:numPr>
        <w:spacing w:after="100"/>
      </w:pPr>
      <w:r>
        <w:rPr>
          <w:rFonts w:ascii="Arial" w:cs="Arial" w:eastAsia="Arial" w:hAnsi="Arial"/>
          <w:b w:val="false"/>
          <w:bCs w:val="false"/>
          <w:sz w:val="21"/>
          <w:szCs w:val="21"/>
        </w:rPr>
        <w:t xml:space="preserve">NEXUS validates the comparables (is this deal analogous to the comps selected?)</w:t>
      </w:r>
    </w:p>
    <w:p>
      <w:pPr>
        <w:pStyle w:val="ListParagraph"/>
        <w:numPr>
          <w:ilvl w:val="0"/>
          <w:numId w:val="2"/>
        </w:numPr>
        <w:spacing w:after="100"/>
      </w:pPr>
      <w:r>
        <w:rPr>
          <w:rFonts w:ascii="Arial" w:cs="Arial" w:eastAsia="Arial" w:hAnsi="Arial"/>
          <w:b w:val="false"/>
          <w:bCs w:val="false"/>
          <w:sz w:val="21"/>
          <w:szCs w:val="21"/>
        </w:rPr>
        <w:t xml:space="preserve">ORCH-CRE validates the workflow (were all required inputs present and fresh?)</w:t>
      </w:r>
    </w:p>
    <w:p>
      <w:pPr>
        <w:pStyle w:val="ListParagraph"/>
        <w:numPr>
          <w:ilvl w:val="0"/>
          <w:numId w:val="2"/>
        </w:numPr>
        <w:spacing w:after="100"/>
      </w:pPr>
      <w:r>
        <w:rPr>
          <w:rFonts w:ascii="Arial" w:cs="Arial" w:eastAsia="Arial" w:hAnsi="Arial"/>
          <w:b w:val="false"/>
          <w:bCs w:val="false"/>
          <w:sz w:val="21"/>
          <w:szCs w:val="21"/>
        </w:rPr>
        <w:t xml:space="preserve">SHOFET-CRE casts the deciding vote if the first four split 2-2</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r>
              <w:rPr>
                <w:rFonts w:ascii="Arial" w:cs="Arial" w:eastAsia="Arial" w:hAnsi="Arial"/>
                <w:b/>
                <w:bCs/>
                <w:color w:val="BF8F00"/>
                <w:sz w:val="21"/>
                <w:szCs w:val="21"/>
              </w:rPr>
              <w:t xml:space="preserve">⚖️ SHOFET Veto Trigger</w:t>
            </w:r>
          </w:p>
          <w:p>
            <w:pPr>
              <w:spacing w:after="0"/>
            </w:pPr>
            <w:r>
              <w:rPr>
                <w:rFonts w:ascii="Arial" w:cs="Arial" w:eastAsia="Arial" w:hAnsi="Arial"/>
                <w:sz w:val="21"/>
                <w:szCs w:val="21"/>
              </w:rPr>
              <w:t xml:space="preserve">If any agent dissents with a confidence score &gt; 0.85, SHOFET escalates to human review regardless of majority vote. This is the Pythagorean Comma Veto applied to financial modeling — the 'rounding error' in a waterfall can be millions of dollars.</w:t>
            </w:r>
          </w:p>
        </w:tc>
      </w:tr>
    </w:tbl>
    <w:p>
      <w:pPr>
        <w:spacing w:after="160"/>
      </w:pPr>
      <w:r>
        <w:t xml:space="preserve"/>
      </w:r>
    </w:p>
    <w:p>
      <w:pPr>
        <w:pStyle w:val="Heading2"/>
        <w:spacing w:after="160" w:before="300"/>
      </w:pPr>
      <w:r>
        <w:rPr>
          <w:rFonts w:ascii="Arial" w:cs="Arial" w:eastAsia="Arial" w:hAnsi="Arial"/>
          <w:b/>
          <w:bCs/>
          <w:color w:val="2E75B6"/>
          <w:sz w:val="26"/>
          <w:szCs w:val="26"/>
        </w:rPr>
        <w:t xml:space="preserve">2.4  GNN Semantic Graph RAG for Comparable Selection</w:t>
      </w:r>
    </w:p>
    <w:p>
      <w:pPr>
        <w:spacing w:after="160"/>
      </w:pPr>
      <w:r>
        <w:rPr>
          <w:rFonts w:ascii="Arial" w:cs="Arial" w:eastAsia="Arial" w:hAnsi="Arial"/>
          <w:sz w:val="22"/>
          <w:szCs w:val="22"/>
        </w:rPr>
        <w:t xml:space="preserve">This is the anti-hallucination weapon for market assumptions. Instead of an LLM 'knowing' that cap rates in Austin industrial are 5.25%, the GNN:</w:t>
      </w:r>
    </w:p>
    <w:p>
      <w:pPr>
        <w:spacing w:after="160"/>
      </w:pPr>
      <w:r>
        <w:t xml:space="preserve"/>
      </w:r>
    </w:p>
    <w:p>
      <w:pPr>
        <w:pStyle w:val="ListParagraph"/>
        <w:numPr>
          <w:ilvl w:val="0"/>
          <w:numId w:val="2"/>
        </w:numPr>
        <w:spacing w:after="100"/>
      </w:pPr>
      <w:r>
        <w:rPr>
          <w:rFonts w:ascii="Arial" w:cs="Arial" w:eastAsia="Arial" w:hAnsi="Arial"/>
          <w:b w:val="false"/>
          <w:bCs w:val="false"/>
          <w:sz w:val="21"/>
          <w:szCs w:val="21"/>
        </w:rPr>
        <w:t xml:space="preserve">Builds a knowledge graph of all ingested transactions: nodes = properties, edges = similarity metrics</w:t>
      </w:r>
    </w:p>
    <w:p>
      <w:pPr>
        <w:pStyle w:val="ListParagraph"/>
        <w:numPr>
          <w:ilvl w:val="0"/>
          <w:numId w:val="2"/>
        </w:numPr>
        <w:spacing w:after="100"/>
      </w:pPr>
      <w:r>
        <w:rPr>
          <w:rFonts w:ascii="Arial" w:cs="Arial" w:eastAsia="Arial" w:hAnsi="Arial"/>
          <w:b w:val="false"/>
          <w:bCs w:val="false"/>
          <w:sz w:val="21"/>
          <w:szCs w:val="21"/>
        </w:rPr>
        <w:t xml:space="preserve">Similarity metrics: submarket, property type, vintage, quality class, tenant credit, WALE, NOI/SF</w:t>
      </w:r>
    </w:p>
    <w:p>
      <w:pPr>
        <w:pStyle w:val="ListParagraph"/>
        <w:numPr>
          <w:ilvl w:val="0"/>
          <w:numId w:val="2"/>
        </w:numPr>
        <w:spacing w:after="100"/>
      </w:pPr>
      <w:r>
        <w:rPr>
          <w:rFonts w:ascii="Arial" w:cs="Arial" w:eastAsia="Arial" w:hAnsi="Arial"/>
          <w:b w:val="false"/>
          <w:bCs w:val="false"/>
          <w:sz w:val="21"/>
          <w:szCs w:val="21"/>
        </w:rPr>
        <w:t xml:space="preserve">For any new deal, finds the K-nearest neighbors in graph space — actual comps, not hallucinated ones</w:t>
      </w:r>
    </w:p>
    <w:p>
      <w:pPr>
        <w:pStyle w:val="ListParagraph"/>
        <w:numPr>
          <w:ilvl w:val="0"/>
          <w:numId w:val="2"/>
        </w:numPr>
        <w:spacing w:after="100"/>
      </w:pPr>
      <w:r>
        <w:rPr>
          <w:rFonts w:ascii="Arial" w:cs="Arial" w:eastAsia="Arial" w:hAnsi="Arial"/>
          <w:b w:val="false"/>
          <w:bCs w:val="false"/>
          <w:sz w:val="21"/>
          <w:szCs w:val="21"/>
        </w:rPr>
        <w:t xml:space="preserve">Weights the comp set by recency (last 6 months &gt; last 12 months &gt; last 24 months)</w:t>
      </w:r>
    </w:p>
    <w:p>
      <w:pPr>
        <w:pStyle w:val="ListParagraph"/>
        <w:numPr>
          <w:ilvl w:val="0"/>
          <w:numId w:val="2"/>
        </w:numPr>
        <w:spacing w:after="100"/>
      </w:pPr>
      <w:r>
        <w:rPr>
          <w:rFonts w:ascii="Arial" w:cs="Arial" w:eastAsia="Arial" w:hAnsi="Arial"/>
          <w:b w:val="false"/>
          <w:bCs w:val="false"/>
          <w:sz w:val="21"/>
          <w:szCs w:val="21"/>
        </w:rPr>
        <w:t xml:space="preserve">Outputs an assumption range with the underlying transaction evidence — full audit trail</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r>
              <w:rPr>
                <w:rFonts w:ascii="Arial" w:cs="Arial" w:eastAsia="Arial" w:hAnsi="Arial"/>
                <w:b/>
                <w:bCs/>
                <w:color w:val="375623"/>
                <w:sz w:val="21"/>
                <w:szCs w:val="21"/>
              </w:rPr>
              <w:t xml:space="preserve">🧠 RAG vs. Training Data</w:t>
            </w:r>
          </w:p>
          <w:p>
            <w:pPr>
              <w:spacing w:after="0"/>
            </w:pPr>
            <w:r>
              <w:rPr>
                <w:rFonts w:ascii="Arial" w:cs="Arial" w:eastAsia="Arial" w:hAnsi="Arial"/>
                <w:sz w:val="21"/>
                <w:szCs w:val="21"/>
              </w:rPr>
              <w:t xml:space="preserve">This is Retrieval-Augmented Generation, not memorized training data. The model cannot hallucinate a cap rate because it must cite the actual transaction that justifies it. Every market assumption is grounded in a real comparable — traceable, auditable, legally defensible.</w:t>
            </w:r>
          </w:p>
        </w:tc>
      </w:tr>
    </w:tbl>
    <w:p>
      <w:pPr>
        <w:spacing w:after="160"/>
      </w:pPr>
      <w:r>
        <w:t xml:space="preserve"/>
      </w:r>
    </w:p>
    <w:p>
      <w:pPr>
        <w:pStyle w:val="Heading2"/>
        <w:spacing w:after="160" w:before="300"/>
      </w:pPr>
      <w:r>
        <w:rPr>
          <w:rFonts w:ascii="Arial" w:cs="Arial" w:eastAsia="Arial" w:hAnsi="Arial"/>
          <w:b/>
          <w:bCs/>
          <w:color w:val="2E75B6"/>
          <w:sz w:val="26"/>
          <w:szCs w:val="26"/>
        </w:rPr>
        <w:t xml:space="preserve">2.5  DAG Workflow Orchestration</w:t>
      </w:r>
    </w:p>
    <w:p>
      <w:pPr>
        <w:spacing w:after="160"/>
      </w:pPr>
      <w:r>
        <w:rPr>
          <w:rFonts w:ascii="Arial" w:cs="Arial" w:eastAsia="Arial" w:hAnsi="Arial"/>
          <w:sz w:val="22"/>
          <w:szCs w:val="22"/>
        </w:rPr>
        <w:t xml:space="preserve">The underwriting workflow is a directed acyclic graph — exactly matching your HyperDAG protocol. No step can begin until its upstream dependencies are complete. This prevents the most common underwriting error: modeling the waterfall before the debt is structured.</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DAG Node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Depends On</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Feeds Into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Document Ingestion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User upload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Rent roll parse, OM parse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Market Data Pull</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Property location</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Cap rate range, rent comp range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Lease-by-Lease Build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Rent roll parse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Property cash flow</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OpEx Modeling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T-12 actuals, market data</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Property cash flow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Property Cash Flow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Lease build + OpEx</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Debt sizing, Reversion calc</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Debt Structuring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Property cash flow</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Levered returns, DSCR check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Reversion/Exit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Property cash flow + market data</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Project-level IRR</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Waterfall Distribution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Levered cash flows + equity structure</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LP/GP returns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BFT Consensus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All prior nodes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Output release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Report Generation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BFT consensus pass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IC memo, LP update, model export</w:t>
            </w:r>
          </w:p>
        </w:tc>
      </w:tr>
    </w:tbl>
    <w:p>
      <w:pPr>
        <w:spacing w:after="160"/>
      </w:pPr>
      <w:r>
        <w:t xml:space="preserve"/>
      </w:r>
    </w:p>
    <w:p>
      <w:pPr>
        <w:pStyle w:val="Heading2"/>
        <w:spacing w:after="160" w:before="300"/>
      </w:pPr>
      <w:r>
        <w:rPr>
          <w:rFonts w:ascii="Arial" w:cs="Arial" w:eastAsia="Arial" w:hAnsi="Arial"/>
          <w:b/>
          <w:bCs/>
          <w:color w:val="2E75B6"/>
          <w:sz w:val="26"/>
          <w:szCs w:val="26"/>
        </w:rPr>
        <w:t xml:space="preserve">2.6  Agent Build Sprint Plan (24/7 Parallel Execution)</w:t>
      </w:r>
    </w:p>
    <w:p>
      <w:pPr>
        <w:spacing w:after="160"/>
      </w:pPr>
      <w:r>
        <w:rPr>
          <w:rFonts w:ascii="Arial" w:cs="Arial" w:eastAsia="Arial" w:hAnsi="Arial"/>
          <w:sz w:val="22"/>
          <w:szCs w:val="22"/>
        </w:rPr>
        <w:t xml:space="preserve">With Trinity Symphony's agents doing the building, the timeline compresses dramatically. Grok's document correctly identified CrewAI as the swarm framework — we layer BFT consensus on top for financial-grade reliability.</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600"/>
        <w:gridCol w:w="3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Sprint</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Duration</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Agent Team</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Deliverable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Sprint 0: Foundation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Week 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GAMMA-BUILD + ORCH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FastAPI backend, PostgreSQL schema, auth layer, Railway deploy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Sprint 1: DCF Core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Week 2</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ALPHA-INTAKE + BETA-VERITAS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Lease engine, OpEx model, single-asset DCF, IRR/NPV output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Sprint 2: AI Layer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Week 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BETA-SOPHIA + BETA-NEXUS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Document extraction (OCR+LLM), GNN comp engine, ANFIS routing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Sprint 3: Waterfall</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Week 4</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BETA-VERITAS + GAMMA-STRUCTUR</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Multi-tranche debt, waterfall math, BFT consensus on outputs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Sprint 4: Reporting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Week 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GAMMA-TORCH + ALPHA-MARKET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IC memo generator, live data feeds, sensitivity heat maps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Sprint 5: Integration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Week 6</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ORCH-CRE + W3C-CRE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.AE file import, Argus reconciliation testing, compliance audit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MVP Launch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Week 6 End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All squads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Single-asset CRE underwriting platform, AI-verified, BFT-secured</w:t>
            </w:r>
          </w:p>
        </w:tc>
      </w:tr>
    </w:tbl>
    <w:p>
      <w:pPr>
        <w:spacing w:after="160"/>
      </w:pPr>
      <w:r>
        <w:t xml:space="preserve"/>
      </w:r>
    </w:p>
    <w:p>
      <w:r>
        <w:br w:type="page"/>
      </w:r>
    </w:p>
    <w:p>
      <w:pPr>
        <w:pStyle w:val="Heading1"/>
        <w:pBdr>
          <w:bottom w:val="single" w:color="2E75B6" w:sz="8" w:space="4"/>
        </w:pBdr>
        <w:spacing w:after="200" w:before="400"/>
      </w:pPr>
      <w:r>
        <w:rPr>
          <w:rFonts w:ascii="Arial" w:cs="Arial" w:eastAsia="Arial" w:hAnsi="Arial"/>
          <w:b/>
          <w:bCs/>
          <w:color w:val="1F4E79"/>
          <w:sz w:val="32"/>
          <w:szCs w:val="32"/>
        </w:rPr>
        <w:t xml:space="preserve">PART 3: GO-TO-MARKET STRATEGY</w:t>
      </w:r>
    </w:p>
    <w:p>
      <w:pPr>
        <w:spacing w:after="160"/>
      </w:pPr>
      <w:r>
        <w:rPr>
          <w:rFonts w:ascii="Arial" w:cs="Arial" w:eastAsia="Arial" w:hAnsi="Arial"/>
          <w:sz w:val="22"/>
          <w:szCs w:val="22"/>
        </w:rPr>
        <w:t xml:space="preserve">The financial engine is the product. The agent architecture is the moat. The GTM strategy is how we win before any incumbent can react. Argus has the brand but they cannot rebuild their architecture. We win on speed, AI, and collaboration — then lock in with data network effects.</w:t>
      </w:r>
    </w:p>
    <w:p>
      <w:pPr>
        <w:spacing w:after="160"/>
      </w:pPr>
      <w:r>
        <w:t xml:space="preserve"/>
      </w:r>
    </w:p>
    <w:p>
      <w:pPr>
        <w:pStyle w:val="Heading2"/>
        <w:spacing w:after="160" w:before="300"/>
      </w:pPr>
      <w:r>
        <w:rPr>
          <w:rFonts w:ascii="Arial" w:cs="Arial" w:eastAsia="Arial" w:hAnsi="Arial"/>
          <w:b/>
          <w:bCs/>
          <w:color w:val="2E75B6"/>
          <w:sz w:val="26"/>
          <w:szCs w:val="26"/>
        </w:rPr>
        <w:t xml:space="preserve">3.1  Market Sizing &amp; Segmentation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1800"/>
        <w:gridCol w:w="1760"/>
      </w:tblGrid>
      <w:tr>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Segment</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Size (Users)</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ARPU Target</w:t>
            </w:r>
          </w:p>
        </w:tc>
        <w:tc>
          <w:tcPr>
            <w:tcW w:type="dxa" w:w="1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TAM</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Boutique CRE Equity/Debt ($50M-$500M AUM)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~8,000 firms, 3-5 seats avg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$3,600/seat/yr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$115M</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Mid-Market REPE ($500M-$5B AUM)</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~2,200 firms, 8-15 seats avg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$6,000/seat/yr</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$176M</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Institutional / REIT ($5B+ AUM)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~400 firms, 20-50 seats avg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$12,000/seat/yr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$192M</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Lenders / CMBS / Debt Funds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~1,500 firms, 5-10 seats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$4,800/seat/yr</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$54M</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CRE Brokers (Advisory/Leasing)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~25,000 agents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$1,200/seat/yr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$30M</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TOTAL ADDRESSABLE MARKET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$567M+</w:t>
            </w:r>
          </w:p>
        </w:tc>
      </w:tr>
    </w:tbl>
    <w:p>
      <w:pPr>
        <w:spacing w:after="160"/>
      </w:pPr>
      <w:r>
        <w:t xml:space="preserve"/>
      </w:r>
    </w:p>
    <w:p>
      <w:pPr>
        <w:pStyle w:val="Heading2"/>
        <w:spacing w:after="160" w:before="300"/>
      </w:pPr>
      <w:r>
        <w:rPr>
          <w:rFonts w:ascii="Arial" w:cs="Arial" w:eastAsia="Arial" w:hAnsi="Arial"/>
          <w:b/>
          <w:bCs/>
          <w:color w:val="2E75B6"/>
          <w:sz w:val="26"/>
          <w:szCs w:val="26"/>
        </w:rPr>
        <w:t xml:space="preserve">3.2  ICP — Ideal Customer Profile (Launch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r>
              <w:rPr>
                <w:rFonts w:ascii="Arial" w:cs="Arial" w:eastAsia="Arial" w:hAnsi="Arial"/>
                <w:b/>
                <w:bCs/>
                <w:color w:val="1F4E79"/>
                <w:sz w:val="21"/>
                <w:szCs w:val="21"/>
              </w:rPr>
              <w:t xml:space="preserve">🎯 Primary ICP</w:t>
            </w:r>
          </w:p>
          <w:p>
            <w:pPr>
              <w:spacing w:after="0"/>
            </w:pPr>
            <w:r>
              <w:rPr>
                <w:rFonts w:ascii="Arial" w:cs="Arial" w:eastAsia="Arial" w:hAnsi="Arial"/>
                <w:sz w:val="21"/>
                <w:szCs w:val="21"/>
              </w:rPr>
              <w:t xml:space="preserve">Boutique value-add equity shop: 3-15 person team, $100M-$750M AUM, currently using Argus Enterprise + Excel + emails. Pain: Argus is too slow, too expensive, too siloed. No AI. No collaboration. They hate it but feel trapped. This is your beachhead.</w:t>
            </w:r>
          </w:p>
        </w:tc>
      </w:tr>
    </w:tbl>
    <w:p>
      <w:pPr>
        <w:spacing w:after="160"/>
      </w:pPr>
      <w:r>
        <w:t xml:space="preserve"/>
      </w:r>
    </w:p>
    <w:p>
      <w:pPr>
        <w:pStyle w:val="ListParagraph"/>
        <w:numPr>
          <w:ilvl w:val="0"/>
          <w:numId w:val="2"/>
        </w:numPr>
        <w:spacing w:after="100"/>
      </w:pPr>
      <w:r>
        <w:rPr>
          <w:rFonts w:ascii="Arial" w:cs="Arial" w:eastAsia="Arial" w:hAnsi="Arial"/>
          <w:b w:val="false"/>
          <w:bCs w:val="false"/>
          <w:sz w:val="21"/>
          <w:szCs w:val="21"/>
        </w:rPr>
        <w:t xml:space="preserve">Revenue: $50K-$300K Argus license spend (pain-to-price ratio is enormous)</w:t>
      </w:r>
    </w:p>
    <w:p>
      <w:pPr>
        <w:pStyle w:val="ListParagraph"/>
        <w:numPr>
          <w:ilvl w:val="0"/>
          <w:numId w:val="2"/>
        </w:numPr>
        <w:spacing w:after="100"/>
      </w:pPr>
      <w:r>
        <w:rPr>
          <w:rFonts w:ascii="Arial" w:cs="Arial" w:eastAsia="Arial" w:hAnsi="Arial"/>
          <w:b w:val="false"/>
          <w:bCs w:val="false"/>
          <w:sz w:val="21"/>
          <w:szCs w:val="21"/>
        </w:rPr>
        <w:t xml:space="preserve">Deal cadence: 5-20 active underwriting processes simultaneously</w:t>
      </w:r>
    </w:p>
    <w:p>
      <w:pPr>
        <w:pStyle w:val="ListParagraph"/>
        <w:numPr>
          <w:ilvl w:val="0"/>
          <w:numId w:val="2"/>
        </w:numPr>
        <w:spacing w:after="100"/>
      </w:pPr>
      <w:r>
        <w:rPr>
          <w:rFonts w:ascii="Arial" w:cs="Arial" w:eastAsia="Arial" w:hAnsi="Arial"/>
          <w:b w:val="false"/>
          <w:bCs w:val="false"/>
          <w:sz w:val="21"/>
          <w:szCs w:val="21"/>
        </w:rPr>
        <w:t xml:space="preserve">Team structure: 2-4 analysts doing all modeling (highest burnout = highest urgency)</w:t>
      </w:r>
    </w:p>
    <w:p>
      <w:pPr>
        <w:pStyle w:val="ListParagraph"/>
        <w:numPr>
          <w:ilvl w:val="0"/>
          <w:numId w:val="2"/>
        </w:numPr>
        <w:spacing w:after="100"/>
      </w:pPr>
      <w:r>
        <w:rPr>
          <w:rFonts w:ascii="Arial" w:cs="Arial" w:eastAsia="Arial" w:hAnsi="Arial"/>
          <w:b w:val="false"/>
          <w:bCs w:val="false"/>
          <w:sz w:val="21"/>
          <w:szCs w:val="21"/>
        </w:rPr>
        <w:t xml:space="preserve">Decision maker: Managing Director / Partner (cares about: time to IC, LP confidence, fewer errors)</w:t>
      </w:r>
    </w:p>
    <w:p>
      <w:pPr>
        <w:pStyle w:val="ListParagraph"/>
        <w:numPr>
          <w:ilvl w:val="0"/>
          <w:numId w:val="2"/>
        </w:numPr>
        <w:spacing w:after="100"/>
      </w:pPr>
      <w:r>
        <w:rPr>
          <w:rFonts w:ascii="Arial" w:cs="Arial" w:eastAsia="Arial" w:hAnsi="Arial"/>
          <w:b w:val="false"/>
          <w:bCs w:val="false"/>
          <w:sz w:val="21"/>
          <w:szCs w:val="21"/>
        </w:rPr>
        <w:t xml:space="preserve">Geography: NYC, LA, Dallas, Miami, Chicago — largest value-add deal flow markets</w:t>
      </w:r>
    </w:p>
    <w:p>
      <w:pPr>
        <w:spacing w:after="160"/>
      </w:pPr>
      <w:r>
        <w:t xml:space="preserve"/>
      </w:r>
    </w:p>
    <w:p>
      <w:pPr>
        <w:pStyle w:val="Heading2"/>
        <w:spacing w:after="160" w:before="300"/>
      </w:pPr>
      <w:r>
        <w:rPr>
          <w:rFonts w:ascii="Arial" w:cs="Arial" w:eastAsia="Arial" w:hAnsi="Arial"/>
          <w:b/>
          <w:bCs/>
          <w:color w:val="2E75B6"/>
          <w:sz w:val="26"/>
          <w:szCs w:val="26"/>
        </w:rPr>
        <w:t xml:space="preserve">3.3  Competitive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Competitor</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Weakness</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NEXUS Advantage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ARGUS Enterprise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Desktop, no AI, $5K-15K/seat, no collaboration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AI-native, SaaS, 10x faster underwriting, 60% cost reduction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PropertyMetrics Proforma</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Too simple, no lease-by-lease, no waterfall</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Institutional-grade depth + AI + simplicity combined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Cactus (AI Underwriting)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Single-purpose, no portfolio, no reporting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Full platform: underwriting → reporting → monitoring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MSCI Real Assets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Data only, no modeling</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Data + modeling + AI inference in one workflow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Excel + Consultant Models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Manual, error-prone, non-collaborative, no AI</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Replaces entire stack: model + verify + report + monitor</w:t>
            </w:r>
          </w:p>
        </w:tc>
      </w:tr>
    </w:tbl>
    <w:p>
      <w:pPr>
        <w:spacing w:after="160"/>
      </w:pPr>
      <w:r>
        <w:t xml:space="preserve"/>
      </w:r>
    </w:p>
    <w:p>
      <w:pPr>
        <w:pStyle w:val="Heading2"/>
        <w:spacing w:after="160" w:before="300"/>
      </w:pPr>
      <w:r>
        <w:rPr>
          <w:rFonts w:ascii="Arial" w:cs="Arial" w:eastAsia="Arial" w:hAnsi="Arial"/>
          <w:b/>
          <w:bCs/>
          <w:color w:val="2E75B6"/>
          <w:sz w:val="26"/>
          <w:szCs w:val="26"/>
        </w:rPr>
        <w:t xml:space="preserve">3.4  Pricing Strategy</w:t>
      </w:r>
    </w:p>
    <w:p>
      <w:pPr>
        <w:pStyle w:val="Heading3"/>
        <w:spacing w:after="120" w:before="200"/>
      </w:pPr>
      <w:r>
        <w:rPr>
          <w:rFonts w:ascii="Arial" w:cs="Arial" w:eastAsia="Arial" w:hAnsi="Arial"/>
          <w:b/>
          <w:bCs/>
          <w:color w:val="404040"/>
          <w:sz w:val="22"/>
          <w:szCs w:val="22"/>
        </w:rPr>
        <w:t xml:space="preserve">Tier 1 — Analyst ($199/seat/month)</w:t>
      </w:r>
    </w:p>
    <w:p>
      <w:pPr>
        <w:pStyle w:val="ListParagraph"/>
        <w:numPr>
          <w:ilvl w:val="0"/>
          <w:numId w:val="2"/>
        </w:numPr>
        <w:spacing w:after="100"/>
      </w:pPr>
      <w:r>
        <w:rPr>
          <w:rFonts w:ascii="Arial" w:cs="Arial" w:eastAsia="Arial" w:hAnsi="Arial"/>
          <w:b w:val="false"/>
          <w:bCs w:val="false"/>
          <w:sz w:val="21"/>
          <w:szCs w:val="21"/>
        </w:rPr>
        <w:t xml:space="preserve">Single-asset DCF, rent roll import, basic reporting</w:t>
      </w:r>
    </w:p>
    <w:p>
      <w:pPr>
        <w:pStyle w:val="ListParagraph"/>
        <w:numPr>
          <w:ilvl w:val="0"/>
          <w:numId w:val="2"/>
        </w:numPr>
        <w:spacing w:after="100"/>
      </w:pPr>
      <w:r>
        <w:rPr>
          <w:rFonts w:ascii="Arial" w:cs="Arial" w:eastAsia="Arial" w:hAnsi="Arial"/>
          <w:b w:val="false"/>
          <w:bCs w:val="false"/>
          <w:sz w:val="21"/>
          <w:szCs w:val="21"/>
        </w:rPr>
        <w:t xml:space="preserve">No waterfall, no portfolio aggregation</w:t>
      </w:r>
    </w:p>
    <w:p>
      <w:pPr>
        <w:pStyle w:val="ListParagraph"/>
        <w:numPr>
          <w:ilvl w:val="0"/>
          <w:numId w:val="2"/>
        </w:numPr>
        <w:spacing w:after="100"/>
      </w:pPr>
      <w:r>
        <w:rPr>
          <w:rFonts w:ascii="Arial" w:cs="Arial" w:eastAsia="Arial" w:hAnsi="Arial"/>
          <w:b w:val="false"/>
          <w:bCs w:val="false"/>
          <w:sz w:val="21"/>
          <w:szCs w:val="21"/>
        </w:rPr>
        <w:t xml:space="preserve">Target: individual analysts at boutique shops, brokers</w:t>
      </w:r>
    </w:p>
    <w:p>
      <w:pPr>
        <w:spacing w:after="160"/>
      </w:pPr>
      <w:r>
        <w:t xml:space="preserve"/>
      </w:r>
    </w:p>
    <w:p>
      <w:pPr>
        <w:pStyle w:val="Heading3"/>
        <w:spacing w:after="120" w:before="200"/>
      </w:pPr>
      <w:r>
        <w:rPr>
          <w:rFonts w:ascii="Arial" w:cs="Arial" w:eastAsia="Arial" w:hAnsi="Arial"/>
          <w:b/>
          <w:bCs/>
          <w:color w:val="404040"/>
          <w:sz w:val="22"/>
          <w:szCs w:val="22"/>
        </w:rPr>
        <w:t xml:space="preserve">Tier 2 — Deal Team ($499/seat/month)</w:t>
      </w:r>
    </w:p>
    <w:p>
      <w:pPr>
        <w:pStyle w:val="ListParagraph"/>
        <w:numPr>
          <w:ilvl w:val="0"/>
          <w:numId w:val="2"/>
        </w:numPr>
        <w:spacing w:after="100"/>
      </w:pPr>
      <w:r>
        <w:rPr>
          <w:rFonts w:ascii="Arial" w:cs="Arial" w:eastAsia="Arial" w:hAnsi="Arial"/>
          <w:b w:val="false"/>
          <w:bCs w:val="false"/>
          <w:sz w:val="21"/>
          <w:szCs w:val="21"/>
        </w:rPr>
        <w:t xml:space="preserve">Full DCF + waterfall + debt structuring</w:t>
      </w:r>
    </w:p>
    <w:p>
      <w:pPr>
        <w:pStyle w:val="ListParagraph"/>
        <w:numPr>
          <w:ilvl w:val="0"/>
          <w:numId w:val="2"/>
        </w:numPr>
        <w:spacing w:after="100"/>
      </w:pPr>
      <w:r>
        <w:rPr>
          <w:rFonts w:ascii="Arial" w:cs="Arial" w:eastAsia="Arial" w:hAnsi="Arial"/>
          <w:b w:val="false"/>
          <w:bCs w:val="false"/>
          <w:sz w:val="21"/>
          <w:szCs w:val="21"/>
        </w:rPr>
        <w:t xml:space="preserve">Live market data feeds, GNN comp selection</w:t>
      </w:r>
    </w:p>
    <w:p>
      <w:pPr>
        <w:pStyle w:val="ListParagraph"/>
        <w:numPr>
          <w:ilvl w:val="0"/>
          <w:numId w:val="2"/>
        </w:numPr>
        <w:spacing w:after="100"/>
      </w:pPr>
      <w:r>
        <w:rPr>
          <w:rFonts w:ascii="Arial" w:cs="Arial" w:eastAsia="Arial" w:hAnsi="Arial"/>
          <w:b w:val="false"/>
          <w:bCs w:val="false"/>
          <w:sz w:val="21"/>
          <w:szCs w:val="21"/>
        </w:rPr>
        <w:t xml:space="preserve">AI document extraction (10 docs/month)</w:t>
      </w:r>
    </w:p>
    <w:p>
      <w:pPr>
        <w:pStyle w:val="ListParagraph"/>
        <w:numPr>
          <w:ilvl w:val="0"/>
          <w:numId w:val="2"/>
        </w:numPr>
        <w:spacing w:after="100"/>
      </w:pPr>
      <w:r>
        <w:rPr>
          <w:rFonts w:ascii="Arial" w:cs="Arial" w:eastAsia="Arial" w:hAnsi="Arial"/>
          <w:b w:val="false"/>
          <w:bCs w:val="false"/>
          <w:sz w:val="21"/>
          <w:szCs w:val="21"/>
        </w:rPr>
        <w:t xml:space="preserve">Target: deal teams of 3-15 at value-add equity shops</w:t>
      </w:r>
    </w:p>
    <w:p>
      <w:pPr>
        <w:spacing w:after="160"/>
      </w:pPr>
      <w:r>
        <w:t xml:space="preserve"/>
      </w:r>
    </w:p>
    <w:p>
      <w:pPr>
        <w:pStyle w:val="Heading3"/>
        <w:spacing w:after="120" w:before="200"/>
      </w:pPr>
      <w:r>
        <w:rPr>
          <w:rFonts w:ascii="Arial" w:cs="Arial" w:eastAsia="Arial" w:hAnsi="Arial"/>
          <w:b/>
          <w:bCs/>
          <w:color w:val="404040"/>
          <w:sz w:val="22"/>
          <w:szCs w:val="22"/>
        </w:rPr>
        <w:t xml:space="preserve">Tier 3 — Platform ($999/seat/month)</w:t>
      </w:r>
    </w:p>
    <w:p>
      <w:pPr>
        <w:pStyle w:val="ListParagraph"/>
        <w:numPr>
          <w:ilvl w:val="0"/>
          <w:numId w:val="2"/>
        </w:numPr>
        <w:spacing w:after="100"/>
      </w:pPr>
      <w:r>
        <w:rPr>
          <w:rFonts w:ascii="Arial" w:cs="Arial" w:eastAsia="Arial" w:hAnsi="Arial"/>
          <w:b w:val="false"/>
          <w:bCs w:val="false"/>
          <w:sz w:val="21"/>
          <w:szCs w:val="21"/>
        </w:rPr>
        <w:t xml:space="preserve">Full portfolio aggregation, fund-level reporting</w:t>
      </w:r>
    </w:p>
    <w:p>
      <w:pPr>
        <w:pStyle w:val="ListParagraph"/>
        <w:numPr>
          <w:ilvl w:val="0"/>
          <w:numId w:val="2"/>
        </w:numPr>
        <w:spacing w:after="100"/>
      </w:pPr>
      <w:r>
        <w:rPr>
          <w:rFonts w:ascii="Arial" w:cs="Arial" w:eastAsia="Arial" w:hAnsi="Arial"/>
          <w:b w:val="false"/>
          <w:bCs w:val="false"/>
          <w:sz w:val="21"/>
          <w:szCs w:val="21"/>
        </w:rPr>
        <w:t xml:space="preserve">Unlimited AI document extraction</w:t>
      </w:r>
    </w:p>
    <w:p>
      <w:pPr>
        <w:pStyle w:val="ListParagraph"/>
        <w:numPr>
          <w:ilvl w:val="0"/>
          <w:numId w:val="2"/>
        </w:numPr>
        <w:spacing w:after="100"/>
      </w:pPr>
      <w:r>
        <w:rPr>
          <w:rFonts w:ascii="Arial" w:cs="Arial" w:eastAsia="Arial" w:hAnsi="Arial"/>
          <w:b w:val="false"/>
          <w:bCs w:val="false"/>
          <w:sz w:val="21"/>
          <w:szCs w:val="21"/>
        </w:rPr>
        <w:t xml:space="preserve">BFT consensus audit trail (LP / lender grade)</w:t>
      </w:r>
    </w:p>
    <w:p>
      <w:pPr>
        <w:pStyle w:val="ListParagraph"/>
        <w:numPr>
          <w:ilvl w:val="0"/>
          <w:numId w:val="2"/>
        </w:numPr>
        <w:spacing w:after="100"/>
      </w:pPr>
      <w:r>
        <w:rPr>
          <w:rFonts w:ascii="Arial" w:cs="Arial" w:eastAsia="Arial" w:hAnsi="Arial"/>
          <w:b w:val="false"/>
          <w:bCs w:val="false"/>
          <w:sz w:val="21"/>
          <w:szCs w:val="21"/>
        </w:rPr>
        <w:t xml:space="preserve">API access, Yardi/MRI/RealPage integration</w:t>
      </w:r>
    </w:p>
    <w:p>
      <w:pPr>
        <w:pStyle w:val="ListParagraph"/>
        <w:numPr>
          <w:ilvl w:val="0"/>
          <w:numId w:val="2"/>
        </w:numPr>
        <w:spacing w:after="100"/>
      </w:pPr>
      <w:r>
        <w:rPr>
          <w:rFonts w:ascii="Arial" w:cs="Arial" w:eastAsia="Arial" w:hAnsi="Arial"/>
          <w:b w:val="false"/>
          <w:bCs w:val="false"/>
          <w:sz w:val="21"/>
          <w:szCs w:val="21"/>
        </w:rPr>
        <w:t xml:space="preserve">Target: institutional REPE, REITs, debt funds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r>
              <w:rPr>
                <w:rFonts w:ascii="Arial" w:cs="Arial" w:eastAsia="Arial" w:hAnsi="Arial"/>
                <w:b/>
                <w:bCs/>
                <w:color w:val="375623"/>
                <w:sz w:val="21"/>
                <w:szCs w:val="21"/>
              </w:rPr>
              <w:t xml:space="preserve">💡 Argus Comparison</w:t>
            </w:r>
          </w:p>
          <w:p>
            <w:pPr>
              <w:spacing w:after="0"/>
            </w:pPr>
            <w:r>
              <w:rPr>
                <w:rFonts w:ascii="Arial" w:cs="Arial" w:eastAsia="Arial" w:hAnsi="Arial"/>
                <w:sz w:val="21"/>
                <w:szCs w:val="21"/>
              </w:rPr>
              <w:t xml:space="preserve">Argus charges $5,000-$15,000 per seat per year — just for the license. At $499/month ($5,988/year) you are cost-equivalent while delivering 10x the capability, AI automation, and collaboration. At $199/month you are 60-75% cheaper. The ROI case writes itself.</w:t>
            </w:r>
          </w:p>
        </w:tc>
      </w:tr>
    </w:tbl>
    <w:p>
      <w:pPr>
        <w:spacing w:after="160"/>
      </w:pPr>
      <w:r>
        <w:t xml:space="preserve"/>
      </w:r>
    </w:p>
    <w:p>
      <w:pPr>
        <w:pStyle w:val="Heading2"/>
        <w:spacing w:after="160" w:before="300"/>
      </w:pPr>
      <w:r>
        <w:rPr>
          <w:rFonts w:ascii="Arial" w:cs="Arial" w:eastAsia="Arial" w:hAnsi="Arial"/>
          <w:b/>
          <w:bCs/>
          <w:color w:val="2E75B6"/>
          <w:sz w:val="26"/>
          <w:szCs w:val="26"/>
        </w:rPr>
        <w:t xml:space="preserve">3.5  Land-and-Expand GTM Motion</w:t>
      </w:r>
    </w:p>
    <w:p>
      <w:pPr>
        <w:pStyle w:val="Heading3"/>
        <w:spacing w:after="120" w:before="200"/>
      </w:pPr>
      <w:r>
        <w:rPr>
          <w:rFonts w:ascii="Arial" w:cs="Arial" w:eastAsia="Arial" w:hAnsi="Arial"/>
          <w:b/>
          <w:bCs/>
          <w:color w:val="404040"/>
          <w:sz w:val="22"/>
          <w:szCs w:val="22"/>
        </w:rPr>
        <w:t xml:space="preserve">Phase 1: Land (Months 1-6)</w:t>
      </w:r>
    </w:p>
    <w:p>
      <w:pPr>
        <w:pStyle w:val="ListParagraph"/>
        <w:numPr>
          <w:ilvl w:val="0"/>
          <w:numId w:val="2"/>
        </w:numPr>
        <w:spacing w:after="100"/>
      </w:pPr>
      <w:r>
        <w:rPr>
          <w:rFonts w:ascii="Arial" w:cs="Arial" w:eastAsia="Arial" w:hAnsi="Arial"/>
          <w:b w:val="false"/>
          <w:bCs w:val="false"/>
          <w:sz w:val="21"/>
          <w:szCs w:val="21"/>
        </w:rPr>
        <w:t xml:space="preserve">Target 20 boutique shops in NYC and Dallas for beta access (free for 3 months)</w:t>
      </w:r>
    </w:p>
    <w:p>
      <w:pPr>
        <w:pStyle w:val="ListParagraph"/>
        <w:numPr>
          <w:ilvl w:val="0"/>
          <w:numId w:val="2"/>
        </w:numPr>
        <w:spacing w:after="100"/>
      </w:pPr>
      <w:r>
        <w:rPr>
          <w:rFonts w:ascii="Arial" w:cs="Arial" w:eastAsia="Arial" w:hAnsi="Arial"/>
          <w:b w:val="false"/>
          <w:bCs w:val="false"/>
          <w:sz w:val="21"/>
          <w:szCs w:val="21"/>
        </w:rPr>
        <w:t xml:space="preserve">Require: case study rights, 30-min weekly feedback call, LinkedIn testimonial</w:t>
      </w:r>
    </w:p>
    <w:p>
      <w:pPr>
        <w:pStyle w:val="ListParagraph"/>
        <w:numPr>
          <w:ilvl w:val="0"/>
          <w:numId w:val="2"/>
        </w:numPr>
        <w:spacing w:after="100"/>
      </w:pPr>
      <w:r>
        <w:rPr>
          <w:rFonts w:ascii="Arial" w:cs="Arial" w:eastAsia="Arial" w:hAnsi="Arial"/>
          <w:b w:val="false"/>
          <w:bCs w:val="false"/>
          <w:sz w:val="21"/>
          <w:szCs w:val="21"/>
        </w:rPr>
        <w:t xml:space="preserve">Success metric: reduce first-pass underwriting time from 4 hours to &lt;30 minutes</w:t>
      </w:r>
    </w:p>
    <w:p>
      <w:pPr>
        <w:pStyle w:val="ListParagraph"/>
        <w:numPr>
          <w:ilvl w:val="0"/>
          <w:numId w:val="2"/>
        </w:numPr>
        <w:spacing w:after="100"/>
      </w:pPr>
      <w:r>
        <w:rPr>
          <w:rFonts w:ascii="Arial" w:cs="Arial" w:eastAsia="Arial" w:hAnsi="Arial"/>
          <w:b w:val="false"/>
          <w:bCs w:val="false"/>
          <w:sz w:val="21"/>
          <w:szCs w:val="21"/>
        </w:rPr>
        <w:t xml:space="preserve">Activate Sean's 30,000-person LinkedIn network: post case study results weekly</w:t>
      </w:r>
    </w:p>
    <w:p>
      <w:pPr>
        <w:pStyle w:val="ListParagraph"/>
        <w:numPr>
          <w:ilvl w:val="0"/>
          <w:numId w:val="2"/>
        </w:numPr>
        <w:spacing w:after="100"/>
      </w:pPr>
      <w:r>
        <w:rPr>
          <w:rFonts w:ascii="Arial" w:cs="Arial" w:eastAsia="Arial" w:hAnsi="Arial"/>
          <w:b w:val="false"/>
          <w:bCs w:val="false"/>
          <w:sz w:val="21"/>
          <w:szCs w:val="21"/>
        </w:rPr>
        <w:t xml:space="preserve">LinkedIn NEXUS Agent (already designed): TORCH generates content, GCM coordinates timing</w:t>
      </w:r>
    </w:p>
    <w:p>
      <w:pPr>
        <w:spacing w:after="160"/>
      </w:pPr>
      <w:r>
        <w:t xml:space="preserve"/>
      </w:r>
    </w:p>
    <w:p>
      <w:pPr>
        <w:pStyle w:val="Heading3"/>
        <w:spacing w:after="120" w:before="200"/>
      </w:pPr>
      <w:r>
        <w:rPr>
          <w:rFonts w:ascii="Arial" w:cs="Arial" w:eastAsia="Arial" w:hAnsi="Arial"/>
          <w:b/>
          <w:bCs/>
          <w:color w:val="404040"/>
          <w:sz w:val="22"/>
          <w:szCs w:val="22"/>
        </w:rPr>
        <w:t xml:space="preserve">Phase 2: Expand (Months 6-12)</w:t>
      </w:r>
    </w:p>
    <w:p>
      <w:pPr>
        <w:pStyle w:val="ListParagraph"/>
        <w:numPr>
          <w:ilvl w:val="0"/>
          <w:numId w:val="2"/>
        </w:numPr>
        <w:spacing w:after="100"/>
      </w:pPr>
      <w:r>
        <w:rPr>
          <w:rFonts w:ascii="Arial" w:cs="Arial" w:eastAsia="Arial" w:hAnsi="Arial"/>
          <w:b w:val="false"/>
          <w:bCs w:val="false"/>
          <w:sz w:val="21"/>
          <w:szCs w:val="21"/>
        </w:rPr>
        <w:t xml:space="preserve">Each beta customer refers 3-5 peers (CRE is a referral-driven market)</w:t>
      </w:r>
    </w:p>
    <w:p>
      <w:pPr>
        <w:pStyle w:val="ListParagraph"/>
        <w:numPr>
          <w:ilvl w:val="0"/>
          <w:numId w:val="2"/>
        </w:numPr>
        <w:spacing w:after="100"/>
      </w:pPr>
      <w:r>
        <w:rPr>
          <w:rFonts w:ascii="Arial" w:cs="Arial" w:eastAsia="Arial" w:hAnsi="Arial"/>
          <w:b w:val="false"/>
          <w:bCs w:val="false"/>
          <w:sz w:val="21"/>
          <w:szCs w:val="21"/>
        </w:rPr>
        <w:t xml:space="preserve">Introduce Tier 3 Platform at month 6 — upsell beta users who hit limits</w:t>
      </w:r>
    </w:p>
    <w:p>
      <w:pPr>
        <w:pStyle w:val="ListParagraph"/>
        <w:numPr>
          <w:ilvl w:val="0"/>
          <w:numId w:val="2"/>
        </w:numPr>
        <w:spacing w:after="100"/>
      </w:pPr>
      <w:r>
        <w:rPr>
          <w:rFonts w:ascii="Arial" w:cs="Arial" w:eastAsia="Arial" w:hAnsi="Arial"/>
          <w:b w:val="false"/>
          <w:bCs w:val="false"/>
          <w:sz w:val="21"/>
          <w:szCs w:val="21"/>
        </w:rPr>
        <w:t xml:space="preserve">Target first institutional customer by month 9 — requires 6-month reference story</w:t>
      </w:r>
    </w:p>
    <w:p>
      <w:pPr>
        <w:pStyle w:val="ListParagraph"/>
        <w:numPr>
          <w:ilvl w:val="0"/>
          <w:numId w:val="2"/>
        </w:numPr>
        <w:spacing w:after="100"/>
      </w:pPr>
      <w:r>
        <w:rPr>
          <w:rFonts w:ascii="Arial" w:cs="Arial" w:eastAsia="Arial" w:hAnsi="Arial"/>
          <w:b w:val="false"/>
          <w:bCs w:val="false"/>
          <w:sz w:val="21"/>
          <w:szCs w:val="21"/>
        </w:rPr>
        <w:t xml:space="preserve">Launch integration with Yardi (largest property management platform) for automatic actuals import</w:t>
      </w:r>
    </w:p>
    <w:p>
      <w:pPr>
        <w:spacing w:after="160"/>
      </w:pPr>
      <w:r>
        <w:t xml:space="preserve"/>
      </w:r>
    </w:p>
    <w:p>
      <w:pPr>
        <w:pStyle w:val="Heading3"/>
        <w:spacing w:after="120" w:before="200"/>
      </w:pPr>
      <w:r>
        <w:rPr>
          <w:rFonts w:ascii="Arial" w:cs="Arial" w:eastAsia="Arial" w:hAnsi="Arial"/>
          <w:b/>
          <w:bCs/>
          <w:color w:val="404040"/>
          <w:sz w:val="22"/>
          <w:szCs w:val="22"/>
        </w:rPr>
        <w:t xml:space="preserve">Phase 3: Dominate (Year 2)</w:t>
      </w:r>
    </w:p>
    <w:p>
      <w:pPr>
        <w:pStyle w:val="ListParagraph"/>
        <w:numPr>
          <w:ilvl w:val="0"/>
          <w:numId w:val="2"/>
        </w:numPr>
        <w:spacing w:after="100"/>
      </w:pPr>
      <w:r>
        <w:rPr>
          <w:rFonts w:ascii="Arial" w:cs="Arial" w:eastAsia="Arial" w:hAnsi="Arial"/>
          <w:b w:val="false"/>
          <w:bCs w:val="false"/>
          <w:sz w:val="21"/>
          <w:szCs w:val="21"/>
        </w:rPr>
        <w:t xml:space="preserve">Fund-level reporting module: compete directly with Argus Taliance ($50K+/yr license)</w:t>
      </w:r>
    </w:p>
    <w:p>
      <w:pPr>
        <w:pStyle w:val="ListParagraph"/>
        <w:numPr>
          <w:ilvl w:val="0"/>
          <w:numId w:val="2"/>
        </w:numPr>
        <w:spacing w:after="100"/>
      </w:pPr>
      <w:r>
        <w:rPr>
          <w:rFonts w:ascii="Arial" w:cs="Arial" w:eastAsia="Arial" w:hAnsi="Arial"/>
          <w:b w:val="false"/>
          <w:bCs w:val="false"/>
          <w:sz w:val="21"/>
          <w:szCs w:val="21"/>
        </w:rPr>
        <w:t xml:space="preserve">LP portal: give limited partners read-only access to live portfolio performance — zero competition has this</w:t>
      </w:r>
    </w:p>
    <w:p>
      <w:pPr>
        <w:pStyle w:val="ListParagraph"/>
        <w:numPr>
          <w:ilvl w:val="0"/>
          <w:numId w:val="2"/>
        </w:numPr>
        <w:spacing w:after="100"/>
      </w:pPr>
      <w:r>
        <w:rPr>
          <w:rFonts w:ascii="Arial" w:cs="Arial" w:eastAsia="Arial" w:hAnsi="Arial"/>
          <w:b w:val="false"/>
          <w:bCs w:val="false"/>
          <w:sz w:val="21"/>
          <w:szCs w:val="21"/>
        </w:rPr>
        <w:t xml:space="preserve">Data network effect: every model run improves GNN comp graph — more users = smarter comps = harder to leave</w:t>
      </w:r>
    </w:p>
    <w:p>
      <w:pPr>
        <w:pStyle w:val="ListParagraph"/>
        <w:numPr>
          <w:ilvl w:val="0"/>
          <w:numId w:val="2"/>
        </w:numPr>
        <w:spacing w:after="100"/>
      </w:pPr>
      <w:r>
        <w:rPr>
          <w:rFonts w:ascii="Arial" w:cs="Arial" w:eastAsia="Arial" w:hAnsi="Arial"/>
          <w:b w:val="false"/>
          <w:bCs w:val="false"/>
          <w:sz w:val="21"/>
          <w:szCs w:val="21"/>
        </w:rPr>
        <w:t xml:space="preserve">Patent enforcement: P-002/P-004/P-005 cover ANFIS routing, GNN semantic RAG, BFT consensus — these are defensible moats</w:t>
      </w:r>
    </w:p>
    <w:p>
      <w:pPr>
        <w:spacing w:after="160"/>
      </w:pPr>
      <w:r>
        <w:t xml:space="preserve"/>
      </w:r>
    </w:p>
    <w:p>
      <w:pPr>
        <w:pStyle w:val="Heading2"/>
        <w:spacing w:after="160" w:before="300"/>
      </w:pPr>
      <w:r>
        <w:rPr>
          <w:rFonts w:ascii="Arial" w:cs="Arial" w:eastAsia="Arial" w:hAnsi="Arial"/>
          <w:b/>
          <w:bCs/>
          <w:color w:val="2E75B6"/>
          <w:sz w:val="26"/>
          <w:szCs w:val="26"/>
        </w:rPr>
        <w:t xml:space="preserve">3.6  Patent Moat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r>
              <w:rPr>
                <w:rFonts w:ascii="Arial" w:cs="Arial" w:eastAsia="Arial" w:hAnsi="Arial"/>
                <w:b/>
                <w:bCs/>
                <w:color w:val="843C0C"/>
                <w:sz w:val="21"/>
                <w:szCs w:val="21"/>
              </w:rPr>
              <w:t xml:space="preserve">⚠️ ABSOLUTE PATENT GATE — PRE-FILING</w:t>
            </w:r>
          </w:p>
          <w:p>
            <w:pPr>
              <w:spacing w:after="0"/>
            </w:pPr>
            <w:r>
              <w:rPr>
                <w:rFonts w:ascii="Arial" w:cs="Arial" w:eastAsia="Arial" w:hAnsi="Arial"/>
                <w:sz w:val="21"/>
                <w:szCs w:val="21"/>
              </w:rPr>
              <w:t xml:space="preserve">Do NOT publish product demos, blog posts, or marketing materials that describe the ANFIS routing, GNN semantic graph, or BFT consensus mechanisms until P-004/P-005/P-011 are filed. The technical differentiators must be protected before public disclosure.</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600"/>
        <w:gridCol w:w="19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Patent Application</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What It Covers</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CRE Application</w:t>
            </w:r>
          </w:p>
        </w:tc>
        <w:tc>
          <w:tcPr>
            <w:tcW w:type="dxa" w:w="1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Filing Priority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P-002 (GNN ZKP / ANFIS)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Neuromorphic ANFIS routing with 72.5% cost reduction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Market comp selection + model routing</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NON-PROV DUE AUG 17, 2026</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P-004 (Pythagorean Veto)</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3-tier BFT escalation with veto agent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Financial output consensus layer</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FILE ASAP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P-005 (HIAS Scoring)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Human Intuition Accuracy with Adaptive Authority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LP/GP confidence scoring on deal assumptions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FILE ASAP</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P-011 (Planned)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DAG workflow orchestration for financial modeling</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Underwriting workflow DAG</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Q2 2026</w:t>
            </w:r>
          </w:p>
        </w:tc>
      </w:tr>
    </w:tbl>
    <w:p>
      <w:pPr>
        <w:spacing w:after="160"/>
      </w:pPr>
      <w:r>
        <w:t xml:space="preserve"/>
      </w:r>
    </w:p>
    <w:p>
      <w:pPr>
        <w:pStyle w:val="Heading2"/>
        <w:spacing w:after="160" w:before="300"/>
      </w:pPr>
      <w:r>
        <w:rPr>
          <w:rFonts w:ascii="Arial" w:cs="Arial" w:eastAsia="Arial" w:hAnsi="Arial"/>
          <w:b/>
          <w:bCs/>
          <w:color w:val="2E75B6"/>
          <w:sz w:val="26"/>
          <w:szCs w:val="26"/>
        </w:rPr>
        <w:t xml:space="preserve">3.7  The Defensibility Stack</w:t>
      </w:r>
    </w:p>
    <w:p>
      <w:pPr>
        <w:spacing w:after="160"/>
      </w:pPr>
      <w:r>
        <w:rPr>
          <w:rFonts w:ascii="Arial" w:cs="Arial" w:eastAsia="Arial" w:hAnsi="Arial"/>
          <w:sz w:val="22"/>
          <w:szCs w:val="22"/>
        </w:rPr>
        <w:t xml:space="preserve">Sustainable competitive advantage comes from stacking moats, not relying on a single one: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Moat Layer</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How It Works</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Time to Copy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Patent Protection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ANFIS + BFT + GNN mechanisms legally protected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Never (if filed correctly)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Data Network Effect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Each deal run improves GNN comp graph — compounding advantage</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3-5 years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.AE File Import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Zero-friction migration from Argus — no switching cost to try NEXUS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6-12 months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Agent Learning Loop</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ANFIS learns from every routing decision — better over time</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2-3 years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Workflow Integration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Yardi + MRI + RealPage integrations — embedded in daily ops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12-18 months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LP Portal Lock-in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LPs get used to real-time dashboards — GP cannot switch software</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Permanent once adopted</w:t>
            </w:r>
          </w:p>
        </w:tc>
      </w:tr>
    </w:tbl>
    <w:p>
      <w:pPr>
        <w:spacing w:after="160"/>
      </w:pPr>
      <w:r>
        <w:t xml:space="preserve"/>
      </w:r>
    </w:p>
    <w:p>
      <w:pPr>
        <w:pStyle w:val="Heading2"/>
        <w:spacing w:after="160" w:before="300"/>
      </w:pPr>
      <w:r>
        <w:rPr>
          <w:rFonts w:ascii="Arial" w:cs="Arial" w:eastAsia="Arial" w:hAnsi="Arial"/>
          <w:b/>
          <w:bCs/>
          <w:color w:val="2E75B6"/>
          <w:sz w:val="26"/>
          <w:szCs w:val="26"/>
        </w:rPr>
        <w:t xml:space="preserve">3.8  Revenue Projections (Conservative)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1800"/>
        <w:gridCol w:w="1800"/>
        <w:gridCol w:w="17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Period</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Customers</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Avg Seats</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ARPU/mo</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MRR</w:t>
            </w:r>
          </w:p>
        </w:tc>
        <w:tc>
          <w:tcPr>
            <w:tcW w:type="dxa" w:w="1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ARR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Month 6 (Beta end)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20 firms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 seats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$299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$23,920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$287K</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Month 12</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80 firms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5 seats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$399</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$159,600</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$1.9M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Month 18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250 firms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6 seats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$450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$675,000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$8.1M</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Month 24 (Year 2)</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600 firms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8 seats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$520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$2,496,000</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$29.9M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Year 3 (institutional)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1,200 firms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12 seats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$620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$8,928,000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$107M</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r>
              <w:rPr>
                <w:rFonts w:ascii="Arial" w:cs="Arial" w:eastAsia="Arial" w:hAnsi="Arial"/>
                <w:b/>
                <w:bCs/>
                <w:color w:val="1F4E79"/>
                <w:sz w:val="21"/>
                <w:szCs w:val="21"/>
              </w:rPr>
              <w:t xml:space="preserve">🏁 Summary: The Three Unfair Advantages</w:t>
            </w:r>
          </w:p>
          <w:p>
            <w:pPr>
              <w:spacing w:after="0"/>
            </w:pPr>
            <w:r>
              <w:rPr>
                <w:rFonts w:ascii="Arial" w:cs="Arial" w:eastAsia="Arial" w:hAnsi="Arial"/>
                <w:sz w:val="21"/>
                <w:szCs w:val="21"/>
              </w:rPr>
              <w:t xml:space="preserve">1. MATH: Institutionally-verified DCF + waterfall engine with BFT consensus — zero hallucinations. No one else has this.
2. AI: ANFIS routing + GNN semantic RAG + document extraction replaces 90% of analyst grunt work. Argus can't add this without a full rebuild.
3. MOAT: Patent protection + data network effects + workflow integration creates a compounding defensibility stack that grows stronger with every customer.</w:t>
            </w:r>
          </w:p>
        </w:tc>
      </w:tr>
    </w:tbl>
    <w:p>
      <w:pPr>
        <w:spacing w:after="160"/>
      </w:pPr>
      <w:r>
        <w:t xml:space="preserve"/>
      </w:r>
    </w:p>
    <w:p>
      <w:pPr>
        <w:spacing w:after="0" w:before="400"/>
        <w:jc w:val="center"/>
      </w:pPr>
      <w:r>
        <w:rPr>
          <w:rFonts w:ascii="Arial" w:cs="Arial" w:eastAsia="Arial" w:hAnsi="Arial"/>
          <w:i/>
          <w:iCs/>
          <w:color w:val="808080"/>
          <w:sz w:val="18"/>
          <w:szCs w:val="18"/>
        </w:rPr>
        <w:t xml:space="preserve">— END OF DOCUMENT —</w:t>
      </w:r>
    </w:p>
    <w:p>
      <w:pPr>
        <w:jc w:val="center"/>
      </w:pPr>
      <w:r>
        <w:rPr>
          <w:rFonts w:ascii="Arial" w:cs="Arial" w:eastAsia="Arial" w:hAnsi="Arial"/>
          <w:color w:val="A0A0A0"/>
          <w:sz w:val="16"/>
          <w:szCs w:val="16"/>
        </w:rPr>
        <w:t xml:space="preserve">NEXUS CRE Intelligence  ·  HyperDAG Protocol  ·  AI Trinity Symphony  ·  Confidential</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NEXUS CRE Intelligence — Confidential Strategy Document  ·  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2026-03-08T22:43:07.761Z</dcterms:created>
  <dcterms:modified xsi:type="dcterms:W3CDTF">2026-03-08T22:43:07.763Z</dcterms:modified>
</cp:coreProperties>
</file>

<file path=docProps/custom.xml><?xml version="1.0" encoding="utf-8"?>
<Properties xmlns="http://schemas.openxmlformats.org/officeDocument/2006/custom-properties" xmlns:vt="http://schemas.openxmlformats.org/officeDocument/2006/docPropsVTypes"/>
</file>