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t xml:space="preserve"/>
      </w:r>
    </w:p>
    <w:p>
      <w:pPr>
        <w:spacing w:after="140"/>
      </w:pPr>
      <w:r>
        <w:t xml:space="preserve"/>
      </w:r>
    </w:p>
    <w:p>
      <w:pPr>
        <w:spacing w:after="120" w:before="720"/>
        <w:jc w:val="center"/>
      </w:pPr>
      <w:r>
        <w:rPr>
          <w:rFonts w:ascii="Arial" w:cs="Arial" w:eastAsia="Arial" w:hAnsi="Arial"/>
          <w:b/>
          <w:bCs/>
          <w:color w:val="1F4E79"/>
          <w:sz w:val="60"/>
          <w:szCs w:val="60"/>
        </w:rPr>
        <w:t xml:space="preserve">NEXUS CRE INTELLIGENCE</w:t>
      </w:r>
    </w:p>
    <w:p>
      <w:pPr>
        <w:spacing w:after="120"/>
        <w:jc w:val="center"/>
      </w:pPr>
      <w:r>
        <w:rPr>
          <w:rFonts w:ascii="Arial" w:cs="Arial" w:eastAsia="Arial" w:hAnsi="Arial"/>
          <w:color w:val="2E75B6"/>
          <w:sz w:val="30"/>
          <w:szCs w:val="30"/>
        </w:rPr>
        <w:t xml:space="preserve">Version 2.0 — Enhanced Strategy</w:t>
      </w:r>
    </w:p>
    <w:p>
      <w:pPr>
        <w:spacing w:after="80"/>
        <w:jc w:val="center"/>
      </w:pPr>
      <w:r>
        <w:rPr>
          <w:rFonts w:ascii="Arial" w:cs="Arial" w:eastAsia="Arial" w:hAnsi="Arial"/>
          <w:i/>
          <w:iCs/>
          <w:color w:val="666666"/>
          <w:sz w:val="21"/>
          <w:szCs w:val="21"/>
        </w:rPr>
        <w:t xml:space="preserve">AI-Native · Web3-Monetized · Quantum-Resistant · Zero-Hallucination</w:t>
      </w:r>
    </w:p>
    <w:p>
      <w:pPr>
        <w:spacing w:after="500"/>
        <w:jc w:val="center"/>
      </w:pPr>
      <w:r>
        <w:rPr>
          <w:rFonts w:ascii="Arial" w:cs="Arial" w:eastAsia="Arial" w:hAnsi="Arial"/>
          <w:i/>
          <w:iCs/>
          <w:color w:val="5B2D8E"/>
          <w:sz w:val="21"/>
          <w:szCs w:val="21"/>
        </w:rPr>
        <w:t xml:space="preserve">ERC-8004 Agent Commerce  ·  x402 Micropayments  ·  RE Data Marketplace</w:t>
      </w:r>
    </w:p>
    <w:p>
      <w:pPr>
        <w:pBdr>
          <w:bottom w:val="single" w:color="2E75B6" w:sz="16"/>
        </w:pBdr>
        <w:spacing w:after="400"/>
      </w:pPr>
      <w:r>
        <w:t xml:space="preserve"/>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4E79"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Financial Engine</w:t>
            </w:r>
          </w:p>
          <w:p>
            <w:pPr>
              <w:spacing w:after="0"/>
              <w:jc w:val="center"/>
            </w:pPr>
            <w:r>
              <w:rPr>
                <w:rFonts w:ascii="Arial" w:cs="Arial" w:eastAsia="Arial" w:hAnsi="Arial"/>
                <w:color w:val="FFFFFF"/>
                <w:sz w:val="17"/>
                <w:szCs w:val="17"/>
              </w:rPr>
              <w:t xml:space="preserve">DCF · Waterfall · BFT · Zero Hallucinations</w:t>
            </w:r>
          </w:p>
        </w:tc>
        <w:tc>
          <w:tcPr>
            <w:tcW w:type="dxa" w:w="2340"/>
            <w:tcBorders>
              <w:top w:val="none" w:color="FFFFFF" w:sz="0"/>
              <w:left w:val="none" w:color="FFFFFF" w:sz="0"/>
              <w:bottom w:val="none" w:color="FFFFFF" w:sz="0"/>
              <w:right w:val="none" w:color="FFFFFF" w:sz="0"/>
            </w:tcBorders>
            <w:shd w:fill="2E75B6"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Agent Swarm</w:t>
            </w:r>
          </w:p>
          <w:p>
            <w:pPr>
              <w:spacing w:after="0"/>
              <w:jc w:val="center"/>
            </w:pPr>
            <w:r>
              <w:rPr>
                <w:rFonts w:ascii="Arial" w:cs="Arial" w:eastAsia="Arial" w:hAnsi="Arial"/>
                <w:color w:val="FFFFFF"/>
                <w:sz w:val="17"/>
                <w:szCs w:val="17"/>
              </w:rPr>
              <w:t xml:space="preserve">3×3+3 · ANFIS · CrewAI · 24/7 Build</w:t>
            </w:r>
          </w:p>
        </w:tc>
        <w:tc>
          <w:tcPr>
            <w:tcW w:type="dxa" w:w="2340"/>
            <w:tcBorders>
              <w:top w:val="none" w:color="FFFFFF" w:sz="0"/>
              <w:left w:val="none" w:color="FFFFFF" w:sz="0"/>
              <w:bottom w:val="none" w:color="FFFFFF" w:sz="0"/>
              <w:right w:val="none" w:color="FFFFFF" w:sz="0"/>
            </w:tcBorders>
            <w:shd w:fill="5B2D8E"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Web3 Commerce</w:t>
            </w:r>
          </w:p>
          <w:p>
            <w:pPr>
              <w:spacing w:after="0"/>
              <w:jc w:val="center"/>
            </w:pPr>
            <w:r>
              <w:rPr>
                <w:rFonts w:ascii="Arial" w:cs="Arial" w:eastAsia="Arial" w:hAnsi="Arial"/>
                <w:color w:val="FFFFFF"/>
                <w:sz w:val="17"/>
                <w:szCs w:val="17"/>
              </w:rPr>
              <w:t xml:space="preserve">ERC-8004 · x402 · RepID · ZKP Privacy</w:t>
            </w:r>
          </w:p>
        </w:tc>
        <w:tc>
          <w:tcPr>
            <w:tcW w:type="dxa" w:w="2340"/>
            <w:tcBorders>
              <w:top w:val="none" w:color="FFFFFF" w:sz="0"/>
              <w:left w:val="none" w:color="FFFFFF" w:sz="0"/>
              <w:bottom w:val="none" w:color="FFFFFF" w:sz="0"/>
              <w:right w:val="none" w:color="FFFFFF" w:sz="0"/>
            </w:tcBorders>
            <w:shd w:fill="1E6B3E" w:val="clear"/>
            <w:tcMar>
              <w:top w:type="dxa" w:w="160"/>
              <w:left w:type="dxa" w:w="160"/>
              <w:bottom w:type="dxa" w:w="160"/>
              <w:right w:type="dxa" w:w="160"/>
            </w:tcMar>
          </w:tcPr>
          <w:p>
            <w:pPr>
              <w:jc w:val="center"/>
            </w:pPr>
            <w:r>
              <w:rPr>
                <w:rFonts w:ascii="Arial" w:cs="Arial" w:eastAsia="Arial" w:hAnsi="Arial"/>
                <w:b/>
                <w:bCs/>
                <w:color w:val="FFFFFF"/>
                <w:sz w:val="20"/>
                <w:szCs w:val="20"/>
              </w:rPr>
              <w:t xml:space="preserve">🏪 RE Marketplace</w:t>
            </w:r>
          </w:p>
          <w:p>
            <w:pPr>
              <w:spacing w:after="0"/>
              <w:jc w:val="center"/>
            </w:pPr>
            <w:r>
              <w:rPr>
                <w:rFonts w:ascii="Arial" w:cs="Arial" w:eastAsia="Arial" w:hAnsi="Arial"/>
                <w:color w:val="FFFFFF"/>
                <w:sz w:val="17"/>
                <w:szCs w:val="17"/>
              </w:rPr>
              <w:t xml:space="preserve">Data · Analysis · Comp Sourcing · Staking</w:t>
            </w:r>
          </w:p>
        </w:tc>
      </w:tr>
    </w:tbl>
    <w:p>
      <w:pPr>
        <w:spacing w:after="140"/>
      </w:pPr>
      <w:r>
        <w:t xml:space="preserve"/>
      </w:r>
    </w:p>
    <w:p>
      <w:pPr>
        <w:spacing w:after="140"/>
      </w:pPr>
      <w:r>
        <w:t xml:space="preserve"/>
      </w:r>
    </w:p>
    <w:p>
      <w:pPr>
        <w:jc w:val="center"/>
      </w:pPr>
      <w:r>
        <w:rPr>
          <w:rFonts w:ascii="Arial" w:cs="Arial" w:eastAsia="Arial" w:hAnsi="Arial"/>
          <w:b/>
          <w:bCs/>
          <w:color w:val="8B0000"/>
          <w:sz w:val="18"/>
          <w:szCs w:val="18"/>
        </w:rPr>
        <w:t xml:space="preserve">CONFIDENTIAL — PATENT GATE ACTIVE</w:t>
      </w:r>
    </w:p>
    <w:p>
      <w:pPr>
        <w:jc w:val="center"/>
      </w:pPr>
      <w:r>
        <w:rPr>
          <w:rFonts w:ascii="Arial" w:cs="Arial" w:eastAsia="Arial" w:hAnsi="Arial"/>
          <w:color w:val="999999"/>
          <w:sz w:val="17"/>
          <w:szCs w:val="17"/>
        </w:rPr>
        <w:t xml:space="preserve">HyperDAG Protocol  ·  AI Trinity Symphony  ·  March 2026</w:t>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EXECUTIVE SYNTHESIS: V2 UPGRADES</w:t>
      </w:r>
    </w:p>
    <w:p>
      <w:pPr>
        <w:spacing w:after="160"/>
      </w:pPr>
      <w:r>
        <w:rPr>
          <w:rFonts w:ascii="Arial" w:cs="Arial" w:eastAsia="Arial" w:hAnsi="Arial"/>
          <w:sz w:val="21"/>
          <w:szCs w:val="21"/>
        </w:rPr>
        <w:t xml:space="preserve">V1 established the three pillars: financial math engine, agent architecture, and go-to-market. V2 integrates Grok's tech stack recommendations and answers the pivotal question: where do ERC-8004 and x402 create the most asymmetric value in a CRE context? The answer changes everything about the monetization model.</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20"/>
              <w:bottom w:type="dxa" w:w="140"/>
              <w:right w:type="dxa" w:w="220"/>
            </w:tcMar>
          </w:tcPr>
          <w:p>
            <w:pPr>
              <w:spacing w:after="80"/>
            </w:pPr>
            <w:r>
              <w:rPr>
                <w:rFonts w:ascii="Arial" w:cs="Arial" w:eastAsia="Arial" w:hAnsi="Arial"/>
                <w:b/>
                <w:bCs/>
                <w:color w:val="1F4E79"/>
                <w:sz w:val="22"/>
                <w:szCs w:val="22"/>
              </w:rPr>
              <w:t xml:space="preserve">⚡  The Core Insight</w:t>
            </w:r>
          </w:p>
          <w:p>
            <w:pPr>
              <w:spacing w:after="0"/>
            </w:pPr>
            <w:r>
              <w:rPr>
                <w:rFonts w:ascii="Arial" w:cs="Arial" w:eastAsia="Arial" w:hAnsi="Arial"/>
                <w:sz w:val="20"/>
                <w:szCs w:val="20"/>
              </w:rPr>
              <w:t xml:space="preserve">ERC-8004 + x402 don't just add a payment layer — they enable an entirely new business model: a Real Estate Data &amp; Analysis Marketplace where every data point, comp, analysis, and bird dog lead is a monetized, reputation-weighted, agent-tradeable asset. This is the flywheel that makes NEXUS a platform, not just a product.</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V1 Component</w:t>
            </w:r>
          </w:p>
        </w:tc>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V2 Enhancement</w:t>
            </w:r>
          </w:p>
        </w:tc>
        <w:tc>
          <w:tcPr>
            <w:tcW w:type="dxa" w:w="37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Strategic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Agent 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ERC-8004 agent identity + commerce layer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Agents become economic actors — pay for data, earn for outputs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RepID staking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micropayment rails for every stake/reward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Sub-cent transactions make bird dog economics viable at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GNN Comp Graph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Marketplace-sourced comps with staked reputation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Every sourcer improves the graph AND earns — network effect flywheel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ANFIS routing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metered billing per model call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Revenue from every inference, not just subscriptions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BFT consensus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ERC-8004 agent attestation on outputs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Verified outputs become on-chain credentials — LP/lender grade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Portfolio monitoring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Automated x402 data subscriptions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Market data APIs pay-per-use — no CoStar lock-in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Quantum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CRYSTALS-Dilithium for all ERC-8004 attestations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Future-proof before institutional adoption peaks</w:t>
            </w:r>
          </w:p>
        </w:tc>
      </w:tr>
    </w:tbl>
    <w:p>
      <w:pPr>
        <w:spacing w:after="140"/>
      </w:pPr>
      <w:r>
        <w:t xml:space="preserve"/>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PART 1: ERC-8004 + x402 ARCHITECTURE</w:t>
      </w:r>
    </w:p>
    <w:p>
      <w:pPr>
        <w:spacing w:after="160"/>
      </w:pPr>
      <w:r>
        <w:rPr>
          <w:rFonts w:ascii="Arial" w:cs="Arial" w:eastAsia="Arial" w:hAnsi="Arial"/>
          <w:sz w:val="21"/>
          <w:szCs w:val="21"/>
        </w:rPr>
        <w:t xml:space="preserve">Before defining where these protocols fit in NEXUS, it's critical to understand what each does — and more importantly, what they do TOGETHER in a CRE context.</w:t>
      </w:r>
    </w:p>
    <w:p>
      <w:pPr>
        <w:spacing w:after="140"/>
      </w:pPr>
      <w:r>
        <w:t xml:space="preserve"/>
      </w:r>
    </w:p>
    <w:p>
      <w:pPr>
        <w:pStyle w:val="Heading2"/>
        <w:spacing w:after="180" w:before="320"/>
      </w:pPr>
      <w:r>
        <w:rPr>
          <w:rFonts w:ascii="Arial" w:cs="Arial" w:eastAsia="Arial" w:hAnsi="Arial"/>
          <w:b/>
          <w:bCs/>
          <w:color w:val="2E75B6"/>
          <w:sz w:val="27"/>
          <w:szCs w:val="27"/>
        </w:rPr>
        <w:t xml:space="preserve">1.1  Protocol Primer: ERC-8004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Agent-to-agent reputation and commerce standard co-authored by MetaMask, Ethereum Foundation, Google, Coinbase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Core mechanic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Assigns on-chain identity to AI agents. Agents can transact, attest, earn reputation, and stake — autonomously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Key primitive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Reputation score is composable — an agent's history of accurate outputs becomes a verifiable credential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CRE killer use case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An underwriting agent that has verified 500 deals with &lt;0.01% IRR divergence has a provably better score than a new agent — clients pay more for verified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Network effect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The more agents transact on ERC-8004 rails, the denser the reputation graph — comp data quality compounds automatically</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1.2  Protocol Primer: x402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HTTP 402 Payment Required protocol — enables native micropayments in API calls without subscriptions or wallets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Core mechanic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Any HTTP endpoint can return a 402 with a payment requirement. The client (agent or human) pays and retries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Key primitive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Sub-cent payments at API speed — no gas fee friction, no checkout flow, no invoicing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CRE killer use case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 comp query costs $0.003. A full market analysis costs $0.45. A rent roll extraction costs $0.12. Every data touch is monetized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Network effect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Lowers barrier to marketplace entry — data sellers set prices at any granularity, buyers pay exactly what they use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3EEF9" w:val="clear"/>
            <w:tcMar>
              <w:top w:type="dxa" w:w="140"/>
              <w:left w:type="dxa" w:w="220"/>
              <w:bottom w:type="dxa" w:w="140"/>
              <w:right w:type="dxa" w:w="220"/>
            </w:tcMar>
          </w:tcPr>
          <w:p>
            <w:pPr>
              <w:spacing w:after="80"/>
            </w:pPr>
            <w:r>
              <w:rPr>
                <w:rFonts w:ascii="Arial" w:cs="Arial" w:eastAsia="Arial" w:hAnsi="Arial"/>
                <w:b/>
                <w:bCs/>
                <w:color w:val="5B2D8E"/>
                <w:sz w:val="22"/>
                <w:szCs w:val="22"/>
              </w:rPr>
              <w:t xml:space="preserve">🔗  The Combination is the Moat</w:t>
            </w:r>
          </w:p>
          <w:p>
            <w:pPr>
              <w:spacing w:after="0"/>
            </w:pPr>
            <w:r>
              <w:rPr>
                <w:rFonts w:ascii="Arial" w:cs="Arial" w:eastAsia="Arial" w:hAnsi="Arial"/>
                <w:sz w:val="20"/>
                <w:szCs w:val="20"/>
              </w:rPr>
              <w:t xml:space="preserve">ERC-8004 without x402 = reputation with no payment rails. x402 without ERC-8004 = payments with no trust layer. Together they create a self-sustaining marketplace: trusted agents buying verified data via frictionless micropayments. This is the infrastructure layer Argus will NEVER build — it requires rethinking the entire product from a platform perspective.</w:t>
            </w:r>
          </w:p>
        </w:tc>
      </w:tr>
    </w:tbl>
    <w:p>
      <w:pPr>
        <w:spacing w:after="140"/>
      </w:pPr>
      <w:r>
        <w:t xml:space="preserve"/>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PART 2: THE RE DATA &amp; ANALYSIS MARKETPLACE</w:t>
      </w:r>
    </w:p>
    <w:p>
      <w:pPr>
        <w:spacing w:after="160"/>
      </w:pPr>
      <w:r>
        <w:rPr>
          <w:rFonts w:ascii="Arial" w:cs="Arial" w:eastAsia="Arial" w:hAnsi="Arial"/>
          <w:sz w:val="21"/>
          <w:szCs w:val="21"/>
        </w:rPr>
        <w:t xml:space="preserve">This is the growth vector that transforms NEXUS from a $567M software TAM into a $5B+ data marketplace play. The insight: the most valuable thing in CRE is not the modeling software — it's the data that goes into it. Every Argus user is manually hunting for data. NEXUS makes the data come to them, monetizes every transaction, and rewards the community that sources it.</w:t>
      </w:r>
    </w:p>
    <w:p>
      <w:pPr>
        <w:spacing w:after="140"/>
      </w:pPr>
      <w:r>
        <w:t xml:space="preserve"/>
      </w:r>
    </w:p>
    <w:p>
      <w:pPr>
        <w:pStyle w:val="Heading2"/>
        <w:spacing w:after="180" w:before="320"/>
      </w:pPr>
      <w:r>
        <w:rPr>
          <w:rFonts w:ascii="Arial" w:cs="Arial" w:eastAsia="Arial" w:hAnsi="Arial"/>
          <w:b/>
          <w:bCs/>
          <w:color w:val="2E75B6"/>
          <w:sz w:val="27"/>
          <w:szCs w:val="27"/>
        </w:rPr>
        <w:t xml:space="preserve">2.1  Marketplace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9" w:val="clear"/>
            <w:tcMar>
              <w:top w:type="dxa" w:w="140"/>
              <w:left w:type="dxa" w:w="220"/>
              <w:bottom w:type="dxa" w:w="140"/>
              <w:right w:type="dxa" w:w="220"/>
            </w:tcMar>
          </w:tcPr>
          <w:p>
            <w:pPr>
              <w:spacing w:after="80"/>
            </w:pPr>
            <w:r>
              <w:rPr>
                <w:rFonts w:ascii="Arial" w:cs="Arial" w:eastAsia="Arial" w:hAnsi="Arial"/>
                <w:b/>
                <w:bCs/>
                <w:color w:val="1E6B3E"/>
                <w:sz w:val="22"/>
                <w:szCs w:val="22"/>
              </w:rPr>
              <w:t xml:space="preserve">🏪  What Gets Traded</w:t>
            </w:r>
          </w:p>
          <w:p>
            <w:pPr>
              <w:spacing w:after="0"/>
            </w:pPr>
            <w:r>
              <w:rPr>
                <w:rFonts w:ascii="Arial" w:cs="Arial" w:eastAsia="Arial" w:hAnsi="Arial"/>
                <w:sz w:val="20"/>
                <w:szCs w:val="20"/>
              </w:rPr>
              <w:t xml:space="preserve">Supply side: rent rolls, T-12 statements, lease abstracts, comp transactions, market reports, bird dog leads, property surveys, zoning analyses, environmental reports, demographic datasets, broker surveys. Demand side: underwriters, lenders, brokers, appraisers, fund managers, institutional research teams — anyone who currently pays $50K+/yr to CoStar for a fraction of this.</w:t>
            </w:r>
          </w:p>
        </w:tc>
      </w:tr>
    </w:tbl>
    <w:p>
      <w:pPr>
        <w:spacing w:after="140"/>
      </w:pPr>
      <w:r>
        <w:t xml:space="preserve"/>
      </w:r>
    </w:p>
    <w:p>
      <w:pPr>
        <w:pStyle w:val="Heading3"/>
        <w:spacing w:after="120" w:before="200"/>
      </w:pPr>
      <w:r>
        <w:rPr>
          <w:rFonts w:ascii="Arial" w:cs="Arial" w:eastAsia="Arial" w:hAnsi="Arial"/>
          <w:b/>
          <w:bCs/>
          <w:color w:val="404040"/>
          <w:sz w:val="23"/>
          <w:szCs w:val="23"/>
        </w:rPr>
        <w:t xml:space="preserve">2.1.1  Data Categories &amp; Pricing (x402 Metered)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2400"/>
        <w:gridCol w:w="1560"/>
      </w:tblGrid>
      <w:tr>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Data Type</w:t>
            </w:r>
          </w:p>
        </w:tc>
        <w:tc>
          <w:tcPr>
            <w:tcW w:type="dxa" w:w="1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Seller</w:t>
            </w:r>
          </w:p>
        </w:tc>
        <w:tc>
          <w:tcPr>
            <w:tcW w:type="dxa" w:w="1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x402 Price</w:t>
            </w:r>
          </w:p>
        </w:tc>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ERC-8004 Role</w:t>
            </w:r>
          </w:p>
        </w:tc>
        <w:tc>
          <w:tcPr>
            <w:tcW w:type="dxa" w:w="1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Volume Potential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Comp transaction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Broker / bird dog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$0.05–$2.00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Seller reputation weights comp quality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500K+ sales/yr in US CRE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Rent roll (raw)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Property manager / owner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$5–$50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Verified ownership attestation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High value, limited supply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Lease abstract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Tenant rep broker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$2–$15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Agent extraction quality scored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Millions of active leases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T-12 operating stmt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Owner / AM firm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$10–$75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CPA attestation preferred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Every stabilized asset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Market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Research analyst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$25–$500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Analyst reputation + accuracy history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Replaces $5K CoStar subs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Bird dog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Deal sourcer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2–5% finder fee (on close)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Stake + reputation multiplier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Massive latent supply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Underwriting 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Experienced analyst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$50–$500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Template accuracy on past deals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Training + efficiency market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Zoning / permit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Municipal data scraper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$0.10–$5.00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Freshness attestation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Every development deal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Cap rate survey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Appraiser / broker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$15–$150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FIRREA compliance attestation possible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Institutional demand</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2.2  Marketplace Flywheel Mechanics</w:t>
      </w:r>
    </w:p>
    <w:p>
      <w:pPr>
        <w:pStyle w:val="Heading3"/>
        <w:spacing w:after="120" w:before="200"/>
      </w:pPr>
      <w:r>
        <w:rPr>
          <w:rFonts w:ascii="Arial" w:cs="Arial" w:eastAsia="Arial" w:hAnsi="Arial"/>
          <w:b/>
          <w:bCs/>
          <w:color w:val="404040"/>
          <w:sz w:val="23"/>
          <w:szCs w:val="23"/>
        </w:rPr>
        <w:t xml:space="preserve">The Three-Loop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160"/>
              <w:left w:type="dxa" w:w="160"/>
              <w:bottom w:type="dxa" w:w="160"/>
              <w:right w:type="dxa" w:w="160"/>
            </w:tcMar>
          </w:tcPr>
          <w:p>
            <w:r>
              <w:rPr>
                <w:rFonts w:ascii="Arial" w:cs="Arial" w:eastAsia="Arial" w:hAnsi="Arial"/>
                <w:b/>
                <w:bCs/>
                <w:color w:val="FFFFFF"/>
                <w:sz w:val="20"/>
                <w:szCs w:val="20"/>
              </w:rPr>
              <w:t xml:space="preserve">🔄 Loop 1: Data Quality</w:t>
            </w:r>
          </w:p>
          <w:p>
            <w:pPr>
              <w:spacing w:after="0"/>
            </w:pPr>
            <w:r>
              <w:rPr>
                <w:rFonts w:ascii="Arial" w:cs="Arial" w:eastAsia="Arial" w:hAnsi="Arial"/>
                <w:color w:val="FFFFFF"/>
                <w:sz w:val="18"/>
                <w:szCs w:val="18"/>
              </w:rPr>
              <w:t xml:space="preserve">More sourcers → denser GNN comp graph → better AI recommendations → more users → higher data prices → more sourcers</w:t>
            </w:r>
          </w:p>
        </w:tc>
        <w:tc>
          <w:tcPr>
            <w:tcW w:type="dxa" w:w="3120"/>
            <w:tcBorders>
              <w:top w:val="single" w:color="2E75B6" w:sz="1"/>
              <w:left w:val="single" w:color="2E75B6" w:sz="1"/>
              <w:bottom w:val="single" w:color="2E75B6" w:sz="1"/>
              <w:right w:val="single" w:color="2E75B6" w:sz="1"/>
            </w:tcBorders>
            <w:shd w:fill="5B2D8E" w:val="clear"/>
            <w:tcMar>
              <w:top w:type="dxa" w:w="160"/>
              <w:left w:type="dxa" w:w="160"/>
              <w:bottom w:type="dxa" w:w="160"/>
              <w:right w:type="dxa" w:w="160"/>
            </w:tcMar>
          </w:tcPr>
          <w:p>
            <w:r>
              <w:rPr>
                <w:rFonts w:ascii="Arial" w:cs="Arial" w:eastAsia="Arial" w:hAnsi="Arial"/>
                <w:b/>
                <w:bCs/>
                <w:color w:val="FFFFFF"/>
                <w:sz w:val="20"/>
                <w:szCs w:val="20"/>
              </w:rPr>
              <w:t xml:space="preserve">🔄 Loop 2: Reputation Compounding</w:t>
            </w:r>
          </w:p>
          <w:p>
            <w:pPr>
              <w:spacing w:after="0"/>
            </w:pPr>
            <w:r>
              <w:rPr>
                <w:rFonts w:ascii="Arial" w:cs="Arial" w:eastAsia="Arial" w:hAnsi="Arial"/>
                <w:color w:val="FFFFFF"/>
                <w:sz w:val="18"/>
                <w:szCs w:val="18"/>
              </w:rPr>
              <w:t xml:space="preserve">ERC-8004 scores compound with each accurate data point → top sourcers earn premium prices → network attracts quality → accuracy improves</w:t>
            </w:r>
          </w:p>
        </w:tc>
        <w:tc>
          <w:tcPr>
            <w:tcW w:type="dxa" w:w="3120"/>
            <w:tcBorders>
              <w:top w:val="single" w:color="2E75B6" w:sz="1"/>
              <w:left w:val="single" w:color="2E75B6" w:sz="1"/>
              <w:bottom w:val="single" w:color="2E75B6" w:sz="1"/>
              <w:right w:val="single" w:color="2E75B6" w:sz="1"/>
            </w:tcBorders>
            <w:shd w:fill="1E6B3E" w:val="clear"/>
            <w:tcMar>
              <w:top w:type="dxa" w:w="160"/>
              <w:left w:type="dxa" w:w="160"/>
              <w:bottom w:type="dxa" w:w="160"/>
              <w:right w:type="dxa" w:w="160"/>
            </w:tcMar>
          </w:tcPr>
          <w:p>
            <w:r>
              <w:rPr>
                <w:rFonts w:ascii="Arial" w:cs="Arial" w:eastAsia="Arial" w:hAnsi="Arial"/>
                <w:b/>
                <w:bCs/>
                <w:color w:val="FFFFFF"/>
                <w:sz w:val="20"/>
                <w:szCs w:val="20"/>
              </w:rPr>
              <w:t xml:space="preserve">🔄 Loop 3: Agent Learning</w:t>
            </w:r>
          </w:p>
          <w:p>
            <w:pPr>
              <w:spacing w:after="0"/>
            </w:pPr>
            <w:r>
              <w:rPr>
                <w:rFonts w:ascii="Arial" w:cs="Arial" w:eastAsia="Arial" w:hAnsi="Arial"/>
                <w:color w:val="FFFFFF"/>
                <w:sz w:val="18"/>
                <w:szCs w:val="18"/>
              </w:rPr>
              <w:t xml:space="preserve">More marketplace transactions → ANFIS learns pricing patterns → better routing → lower cost → more transactions → more revenue</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2.3  RepID Staking — Bird Dog Layer</w:t>
      </w:r>
    </w:p>
    <w:p>
      <w:pPr>
        <w:spacing w:after="160"/>
      </w:pPr>
      <w:r>
        <w:rPr>
          <w:rFonts w:ascii="Arial" w:cs="Arial" w:eastAsia="Arial" w:hAnsi="Arial"/>
          <w:sz w:val="21"/>
          <w:szCs w:val="21"/>
        </w:rPr>
        <w:t xml:space="preserve">This is the community monetization engine. Bird dogs (deal sourcers — often retired brokers, local market insiders, property managers) have the best ground-level intelligence in CRE. They've never had a technology platform that paid them fairly for it. ERC-8004 + x402 + RepID staking changes that.</w:t>
      </w:r>
    </w:p>
    <w:p>
      <w:pPr>
        <w:spacing w:after="140"/>
      </w:pPr>
      <w:r>
        <w:t xml:space="preserve"/>
      </w:r>
    </w:p>
    <w:p>
      <w:pPr>
        <w:pStyle w:val="Heading3"/>
        <w:spacing w:after="120" w:before="200"/>
      </w:pPr>
      <w:r>
        <w:rPr>
          <w:rFonts w:ascii="Arial" w:cs="Arial" w:eastAsia="Arial" w:hAnsi="Arial"/>
          <w:b/>
          <w:bCs/>
          <w:color w:val="404040"/>
          <w:sz w:val="23"/>
          <w:szCs w:val="23"/>
        </w:rPr>
        <w:t xml:space="preserve">Staking Mechanics</w:t>
      </w:r>
    </w:p>
    <w:p>
      <w:pPr>
        <w:pStyle w:val="ListParagraph"/>
        <w:numPr>
          <w:ilvl w:val="0"/>
          <w:numId w:val="2"/>
        </w:numPr>
        <w:spacing w:after="100"/>
      </w:pPr>
      <w:r>
        <w:rPr>
          <w:rFonts w:ascii="Arial" w:cs="Arial" w:eastAsia="Arial" w:hAnsi="Arial"/>
          <w:b/>
          <w:bCs/>
          <w:sz w:val="21"/>
          <w:szCs w:val="21"/>
        </w:rPr>
        <w:t xml:space="preserve">Bird dog earns RepID (ERC-5114 soulbound token) by submitting verified data to the marketplace</w:t>
      </w:r>
    </w:p>
    <w:p>
      <w:pPr>
        <w:pStyle w:val="ListParagraph"/>
        <w:numPr>
          <w:ilvl w:val="0"/>
          <w:numId w:val="3"/>
        </w:numPr>
        <w:spacing w:after="80"/>
      </w:pPr>
      <w:r>
        <w:rPr>
          <w:rFonts w:ascii="Arial" w:cs="Arial" w:eastAsia="Arial" w:hAnsi="Arial"/>
          <w:sz w:val="20"/>
          <w:szCs w:val="20"/>
        </w:rPr>
        <w:t xml:space="preserve">Verification: NEXUS agent cross-checks submission against market data, ZKP proves ownership/source without revealing it</w:t>
      </w:r>
    </w:p>
    <w:p>
      <w:pPr>
        <w:pStyle w:val="ListParagraph"/>
        <w:numPr>
          <w:ilvl w:val="0"/>
          <w:numId w:val="3"/>
        </w:numPr>
        <w:spacing w:after="80"/>
      </w:pPr>
      <w:r>
        <w:rPr>
          <w:rFonts w:ascii="Arial" w:cs="Arial" w:eastAsia="Arial" w:hAnsi="Arial"/>
          <w:sz w:val="20"/>
          <w:szCs w:val="20"/>
        </w:rPr>
        <w:t xml:space="preserve">Each accepted submission increments RepID score — non-transferable, non-gameable</w:t>
      </w:r>
    </w:p>
    <w:p>
      <w:pPr>
        <w:pStyle w:val="ListParagraph"/>
        <w:numPr>
          <w:ilvl w:val="0"/>
          <w:numId w:val="2"/>
        </w:numPr>
        <w:spacing w:after="100"/>
      </w:pPr>
      <w:r>
        <w:rPr>
          <w:rFonts w:ascii="Arial" w:cs="Arial" w:eastAsia="Arial" w:hAnsi="Arial"/>
          <w:b w:val="false"/>
          <w:bCs w:val="false"/>
          <w:sz w:val="21"/>
          <w:szCs w:val="21"/>
        </w:rPr>
        <w:t xml:space="preserve">To submit a 'bird dog lead' (off-market deal sourcing), bird dog stakes NEXUS governance tokens</w:t>
      </w:r>
    </w:p>
    <w:p>
      <w:pPr>
        <w:pStyle w:val="ListParagraph"/>
        <w:numPr>
          <w:ilvl w:val="0"/>
          <w:numId w:val="3"/>
        </w:numPr>
        <w:spacing w:after="80"/>
      </w:pPr>
      <w:r>
        <w:rPr>
          <w:rFonts w:ascii="Arial" w:cs="Arial" w:eastAsia="Arial" w:hAnsi="Arial"/>
          <w:sz w:val="20"/>
          <w:szCs w:val="20"/>
        </w:rPr>
        <w:t xml:space="preserve">Stake amount = confidence signal — higher stake → higher placement in deal feed → more visibility</w:t>
      </w:r>
    </w:p>
    <w:p>
      <w:pPr>
        <w:pStyle w:val="ListParagraph"/>
        <w:numPr>
          <w:ilvl w:val="0"/>
          <w:numId w:val="3"/>
        </w:numPr>
        <w:spacing w:after="80"/>
      </w:pPr>
      <w:r>
        <w:rPr>
          <w:rFonts w:ascii="Arial" w:cs="Arial" w:eastAsia="Arial" w:hAnsi="Arial"/>
          <w:sz w:val="20"/>
          <w:szCs w:val="20"/>
        </w:rPr>
        <w:t xml:space="preserve">BFT consensus on outcome: if deal closes and GNN-validated IRR &gt; threshold → stake multiplier returned</w:t>
      </w:r>
    </w:p>
    <w:p>
      <w:pPr>
        <w:pStyle w:val="ListParagraph"/>
        <w:numPr>
          <w:ilvl w:val="0"/>
          <w:numId w:val="3"/>
        </w:numPr>
        <w:spacing w:after="80"/>
      </w:pPr>
      <w:r>
        <w:rPr>
          <w:rFonts w:ascii="Arial" w:cs="Arial" w:eastAsia="Arial" w:hAnsi="Arial"/>
          <w:sz w:val="20"/>
          <w:szCs w:val="20"/>
        </w:rPr>
        <w:t xml:space="preserve">If deal fails quality checks → partial stake slash, reputation score decrement</w:t>
      </w:r>
    </w:p>
    <w:p>
      <w:pPr>
        <w:pStyle w:val="ListParagraph"/>
        <w:numPr>
          <w:ilvl w:val="0"/>
          <w:numId w:val="2"/>
        </w:numPr>
        <w:spacing w:after="100"/>
      </w:pPr>
      <w:r>
        <w:rPr>
          <w:rFonts w:ascii="Arial" w:cs="Arial" w:eastAsia="Arial" w:hAnsi="Arial"/>
          <w:b w:val="false"/>
          <w:bCs w:val="false"/>
          <w:sz w:val="21"/>
          <w:szCs w:val="21"/>
        </w:rPr>
        <w:t xml:space="preserve">Top RepID holders earn platform fees automatically via x402 — no invoicing, no waiting</w:t>
      </w:r>
    </w:p>
    <w:p>
      <w:pPr>
        <w:pStyle w:val="ListParagraph"/>
        <w:numPr>
          <w:ilvl w:val="0"/>
          <w:numId w:val="3"/>
        </w:numPr>
        <w:spacing w:after="80"/>
      </w:pPr>
      <w:r>
        <w:rPr>
          <w:rFonts w:ascii="Arial" w:cs="Arial" w:eastAsia="Arial" w:hAnsi="Arial"/>
          <w:sz w:val="20"/>
          <w:szCs w:val="20"/>
        </w:rPr>
        <w:t xml:space="preserve">Fee structure: 1-3% of finder fee routed via smart contract on close — trustless, instant</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40"/>
              <w:left w:type="dxa" w:w="220"/>
              <w:bottom w:type="dxa" w:w="140"/>
              <w:right w:type="dxa" w:w="220"/>
            </w:tcMar>
          </w:tcPr>
          <w:p>
            <w:pPr>
              <w:spacing w:after="80"/>
            </w:pPr>
            <w:r>
              <w:rPr>
                <w:rFonts w:ascii="Arial" w:cs="Arial" w:eastAsia="Arial" w:hAnsi="Arial"/>
                <w:b/>
                <w:bCs/>
                <w:color w:val="C09000"/>
                <w:sz w:val="22"/>
                <w:szCs w:val="22"/>
              </w:rPr>
              <w:t xml:space="preserve">💡  Why This is Defensible</w:t>
            </w:r>
          </w:p>
          <w:p>
            <w:pPr>
              <w:spacing w:after="0"/>
            </w:pPr>
            <w:r>
              <w:rPr>
                <w:rFonts w:ascii="Arial" w:cs="Arial" w:eastAsia="Arial" w:hAnsi="Arial"/>
                <w:sz w:val="20"/>
                <w:szCs w:val="20"/>
              </w:rPr>
              <w:t xml:space="preserve">Traditional CRE data networks (CoStar, LoopNet) pay data providers zero — they just aggregate. NEXUS pays sourced data with economic incentives AND reputation capital. A bird dog with a top RepID score becomes a valuable economic identity they protect and grow. Churn approaches zero for high-reputation participants. This is the DAO-inspired mechanism from MakerDAO and Optimism applied to CRE — proven in DeFi, never done in real estate.</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2.4  ZKP Privacy Layer for Marketplace Data</w:t>
      </w:r>
    </w:p>
    <w:p>
      <w:pPr>
        <w:spacing w:after="160"/>
      </w:pPr>
      <w:r>
        <w:rPr>
          <w:rFonts w:ascii="Arial" w:cs="Arial" w:eastAsia="Arial" w:hAnsi="Arial"/>
          <w:sz w:val="21"/>
          <w:szCs w:val="21"/>
        </w:rPr>
        <w:t xml:space="preserve">The hardest problem in CRE data: sellers want to be paid but not expose their source, buyer lists, or competitive intelligence. zk-STARKs solve this.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Privacy Problem</w:t>
            </w:r>
          </w:p>
        </w:tc>
        <w:tc>
          <w:tcPr>
            <w:tcW w:type="dxa" w:w="3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ZKP Solution</w:t>
            </w:r>
          </w:p>
        </w:tc>
        <w:tc>
          <w:tcPr>
            <w:tcW w:type="dxa" w:w="31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Protocol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Broker won't reveal comp 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Prove transaction occurred and price range without revealing party names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zk-STARK range proof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Bird dog won't reveal off-market seller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Prove property meets criteria without revealing address until LOI signed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ZKP commitment scheme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Lender won't share loan terms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Prove LTV/DSCR within range for comp purposes without exact figures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Bulletproofs range proof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Analyst won't share full model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Prove IRR/returns outputs without revealing assumption inputs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ZKP circuit for DCF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Fund manager won't expose LP list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Prove fund size/returns for benchmarking without exposing investors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zk-SNARK aggregation</w:t>
            </w:r>
          </w:p>
        </w:tc>
      </w:tr>
    </w:tbl>
    <w:p>
      <w:pPr>
        <w:spacing w:after="140"/>
      </w:pPr>
      <w:r>
        <w:t xml:space="preserve"/>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PART 3: ENHANCED TECH STACK (GROK + CLAUDE SYNTHESIS)</w:t>
      </w:r>
    </w:p>
    <w:p>
      <w:pPr>
        <w:spacing w:after="160"/>
      </w:pPr>
      <w:r>
        <w:rPr>
          <w:rFonts w:ascii="Arial" w:cs="Arial" w:eastAsia="Arial" w:hAnsi="Arial"/>
          <w:sz w:val="21"/>
          <w:szCs w:val="21"/>
        </w:rPr>
        <w:t xml:space="preserve">Grok correctly identified the Rust/Go performance layer and quantum-resistant cryptography as necessary for institutional-grade security. This section integrates those recommendations into the existing Trinity Symphony architecture without disrupting the 6-week MVP sprint plan.</w:t>
      </w:r>
    </w:p>
    <w:p>
      <w:pPr>
        <w:spacing w:after="140"/>
      </w:pPr>
      <w:r>
        <w:t xml:space="preserve"/>
      </w:r>
    </w:p>
    <w:p>
      <w:pPr>
        <w:pStyle w:val="Heading2"/>
        <w:spacing w:after="180" w:before="320"/>
      </w:pPr>
      <w:r>
        <w:rPr>
          <w:rFonts w:ascii="Arial" w:cs="Arial" w:eastAsia="Arial" w:hAnsi="Arial"/>
          <w:b/>
          <w:bCs/>
          <w:color w:val="2E75B6"/>
          <w:sz w:val="27"/>
          <w:szCs w:val="27"/>
        </w:rPr>
        <w:t xml:space="preserve">3.1  Full Stack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200"/>
        <w:gridCol w:w="1760"/>
      </w:tblGrid>
      <w:tr>
        <w:tc>
          <w:tcPr>
            <w:tcW w:type="dxa" w:w="1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Layer</w:t>
            </w:r>
          </w:p>
        </w:tc>
        <w:tc>
          <w:tcPr>
            <w:tcW w:type="dxa" w:w="2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Technology</w:t>
            </w:r>
          </w:p>
        </w:tc>
        <w:tc>
          <w:tcPr>
            <w:tcW w:type="dxa" w:w="3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Why / Grok Alignment</w:t>
            </w:r>
          </w:p>
        </w:tc>
        <w:tc>
          <w:tcPr>
            <w:tcW w:type="dxa" w:w="17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MVP vs. Later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Financial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Python: NumPy/SciPy/Pandas/Prophet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Numerical precision for DCF; Prophet for ML cap rate forecasting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MVP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AI/ANFIS/GNN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PyTorch + LangGraph + Scikit-learn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ANFIS fuzzy routing; GNN comp selection; LASSO sensitivity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MVP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API Layer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FastAPI (Python) + Go microservices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FastAPI for agent coordination; Go for DAG workflow engine (lightweight)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MVP / Month 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Payment Rails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TypeScript/Bun + Base L2 (your existing infra)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is HTTP-native — wraps existing APIs with payment requirement headers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MVP (testnet)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ERC-8004 Agent Identity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Solidity on Base Sepolia (your 12 existing wallets)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Each NEXUS agent gets an ERC-8004 identity — reuse Trinity Symphony wallet structure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MVP (testnet)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Marketplace Frontend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React + TypeScript + Tailwind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Type-safe, component-based; Copilot-style NLP query interface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Sprint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PostgreSQL + Supabase (your existing 276-table infra)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Zero migration cost — extend existing schema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MVP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Decentralized Storage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IPFS + Filecoin for rent rolls/docs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Grok recommendation: quantum-resistant hashing; censorship-resistant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Month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Quantum Resistance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CRYSTALS-Dilithium (ML-DSA) for signatures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NIST PQC standard; applied to ERC-8004 attestations and ZKP proofs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Month 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Blockchain Base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Base L2 (already in use) + QANplatform bridge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Base for current ops; QAN for quantum-resistant future state when needed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Year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ZKP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zk-STARKs via StarkWare/Risc0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Grok recommendation: quantum-resistant ZKP for marketplace privacy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Month 4+</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F5E9" w:val="clear"/>
            <w:tcMar>
              <w:top w:type="dxa" w:w="140"/>
              <w:left w:type="dxa" w:w="220"/>
              <w:bottom w:type="dxa" w:w="140"/>
              <w:right w:type="dxa" w:w="220"/>
            </w:tcMar>
          </w:tcPr>
          <w:p>
            <w:pPr>
              <w:spacing w:after="80"/>
            </w:pPr>
            <w:r>
              <w:rPr>
                <w:rFonts w:ascii="Arial" w:cs="Arial" w:eastAsia="Arial" w:hAnsi="Arial"/>
                <w:b/>
                <w:bCs/>
                <w:color w:val="1E6B3E"/>
                <w:sz w:val="22"/>
                <w:szCs w:val="22"/>
              </w:rPr>
              <w:t xml:space="preserve">⚡  Critical MVP Shortcut</w:t>
            </w:r>
          </w:p>
          <w:p>
            <w:pPr>
              <w:spacing w:after="0"/>
            </w:pPr>
            <w:r>
              <w:rPr>
                <w:rFonts w:ascii="Arial" w:cs="Arial" w:eastAsia="Arial" w:hAnsi="Arial"/>
                <w:sz w:val="20"/>
                <w:szCs w:val="20"/>
              </w:rPr>
              <w:t xml:space="preserve">Your 12 existing MetaMask EOA wallets on Base Sepolia are ALREADY the ERC-8004 agent identities. Each named wallet (ALPHA-1 through GAMMA-3 + orchestrators) becomes an agent economic actor immediately. x402 wraps your existing FastAPI endpoints in 2-3 days of development. The marketplace starts on testnet during Sprint 4 — no new infrastructure needed.</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3.2  x402 Integration Map — Every Monetizable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API Endpoint</w:t>
            </w:r>
          </w:p>
        </w:tc>
        <w:tc>
          <w:tcPr>
            <w:tcW w:type="dxa" w:w="2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Who Calls It</w:t>
            </w:r>
          </w:p>
        </w:tc>
        <w:tc>
          <w:tcPr>
            <w:tcW w:type="dxa" w:w="1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x402 Price</w:t>
            </w:r>
          </w:p>
        </w:tc>
        <w:tc>
          <w:tcPr>
            <w:tcW w:type="dxa" w:w="29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Revenue Stream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POST /extract/rent-roll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User uploads 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$0.10–$0.50/doc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Per-extraction SaaS revenue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GET /comps/submarket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Underwriting agent query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$0.003–$0.05/call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ANFIS-routed metered billing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POST /model/dcf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Full DCF computation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$0.02–$0.45/run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Tiered by complexity via ANFIS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GET /market/cap-rates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Live market data pull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$0.005/submarket/day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Data subscription microbilling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POST /marketplace/comp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Bird dog submits comp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Free (earns reputation)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Seller-side acquisition cost = $0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GET /marketplace/comp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Buyer queries comp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$0.05–$2.00/comp</w:t>
            </w:r>
          </w:p>
        </w:tc>
        <w:tc>
          <w:tcPr>
            <w:tcW w:type="dxa" w:w="2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Marketplace transaction fee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POST /validate/bft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BFT consensus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$0.01/consensus round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Verification-as-a-service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GET /report/ic-memo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IC memo generation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$1.50–$5.00/report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High-value output billing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POST /repid/stake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Bird dog stakes on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Staking fee (0.5% of stake)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Protocol fee revenue</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3.3  ERC-8004 Agent Identity Flow</w:t>
      </w:r>
    </w:p>
    <w:p>
      <w:pPr>
        <w:pStyle w:val="Heading3"/>
        <w:spacing w:after="120" w:before="200"/>
      </w:pPr>
      <w:r>
        <w:rPr>
          <w:rFonts w:ascii="Arial" w:cs="Arial" w:eastAsia="Arial" w:hAnsi="Arial"/>
          <w:b/>
          <w:bCs/>
          <w:color w:val="404040"/>
          <w:sz w:val="23"/>
          <w:szCs w:val="23"/>
        </w:rPr>
        <w:t xml:space="preserve">Agent Economic Lifecycle</w:t>
      </w:r>
    </w:p>
    <w:p>
      <w:pPr>
        <w:pStyle w:val="ListParagraph"/>
        <w:numPr>
          <w:ilvl w:val="0"/>
          <w:numId w:val="2"/>
        </w:numPr>
        <w:spacing w:after="100"/>
      </w:pPr>
      <w:r>
        <w:rPr>
          <w:rFonts w:ascii="Arial" w:cs="Arial" w:eastAsia="Arial" w:hAnsi="Arial"/>
          <w:b/>
          <w:bCs/>
          <w:sz w:val="21"/>
          <w:szCs w:val="21"/>
        </w:rPr>
        <w:t xml:space="preserve">Each of the 12 NEXUS agents is registered as an ERC-8004 identity on deployment</w:t>
      </w:r>
    </w:p>
    <w:p>
      <w:pPr>
        <w:pStyle w:val="ListParagraph"/>
        <w:numPr>
          <w:ilvl w:val="0"/>
          <w:numId w:val="3"/>
        </w:numPr>
        <w:spacing w:after="80"/>
      </w:pPr>
      <w:r>
        <w:rPr>
          <w:rFonts w:ascii="Arial" w:cs="Arial" w:eastAsia="Arial" w:hAnsi="Arial"/>
          <w:sz w:val="20"/>
          <w:szCs w:val="20"/>
        </w:rPr>
        <w:t xml:space="preserve">Identity includes: agent type, capability set, accuracy history, BFT consensus participation record</w:t>
      </w:r>
    </w:p>
    <w:p>
      <w:pPr>
        <w:pStyle w:val="ListParagraph"/>
        <w:numPr>
          <w:ilvl w:val="0"/>
          <w:numId w:val="3"/>
        </w:numPr>
        <w:spacing w:after="80"/>
      </w:pPr>
      <w:r>
        <w:rPr>
          <w:rFonts w:ascii="Arial" w:cs="Arial" w:eastAsia="Arial" w:hAnsi="Arial"/>
          <w:sz w:val="20"/>
          <w:szCs w:val="20"/>
        </w:rPr>
        <w:t xml:space="preserve">Reuses existing Trinity Symphony wallet structure — ALPHA-1 wallet = ALPHA-1 agent identity</w:t>
      </w:r>
    </w:p>
    <w:p>
      <w:pPr>
        <w:pStyle w:val="ListParagraph"/>
        <w:numPr>
          <w:ilvl w:val="0"/>
          <w:numId w:val="2"/>
        </w:numPr>
        <w:spacing w:after="100"/>
      </w:pPr>
      <w:r>
        <w:rPr>
          <w:rFonts w:ascii="Arial" w:cs="Arial" w:eastAsia="Arial" w:hAnsi="Arial"/>
          <w:b w:val="false"/>
          <w:bCs w:val="false"/>
          <w:sz w:val="21"/>
          <w:szCs w:val="21"/>
        </w:rPr>
        <w:t xml:space="preserve">When an agent produces a financial output, it cryptographically signs the result with its ERC-8004 key</w:t>
      </w:r>
    </w:p>
    <w:p>
      <w:pPr>
        <w:pStyle w:val="ListParagraph"/>
        <w:numPr>
          <w:ilvl w:val="0"/>
          <w:numId w:val="3"/>
        </w:numPr>
        <w:spacing w:after="80"/>
      </w:pPr>
      <w:r>
        <w:rPr>
          <w:rFonts w:ascii="Arial" w:cs="Arial" w:eastAsia="Arial" w:hAnsi="Arial"/>
          <w:sz w:val="20"/>
          <w:szCs w:val="20"/>
        </w:rPr>
        <w:t xml:space="preserve">This creates an on-chain audit trail: 'BETA-VERITAS attested this IRR at 14.7% at block #XXXXX'</w:t>
      </w:r>
    </w:p>
    <w:p>
      <w:pPr>
        <w:pStyle w:val="ListParagraph"/>
        <w:numPr>
          <w:ilvl w:val="0"/>
          <w:numId w:val="3"/>
        </w:numPr>
        <w:spacing w:after="80"/>
      </w:pPr>
      <w:r>
        <w:rPr>
          <w:rFonts w:ascii="Arial" w:cs="Arial" w:eastAsia="Arial" w:hAnsi="Arial"/>
          <w:sz w:val="20"/>
          <w:szCs w:val="20"/>
        </w:rPr>
        <w:t xml:space="preserve">Institutional buyers (LPs, lenders) can verify the agent's accuracy history before trusting output</w:t>
      </w:r>
    </w:p>
    <w:p>
      <w:pPr>
        <w:pStyle w:val="ListParagraph"/>
        <w:numPr>
          <w:ilvl w:val="0"/>
          <w:numId w:val="2"/>
        </w:numPr>
        <w:spacing w:after="100"/>
      </w:pPr>
      <w:r>
        <w:rPr>
          <w:rFonts w:ascii="Arial" w:cs="Arial" w:eastAsia="Arial" w:hAnsi="Arial"/>
          <w:b w:val="false"/>
          <w:bCs w:val="false"/>
          <w:sz w:val="21"/>
          <w:szCs w:val="21"/>
        </w:rPr>
        <w:t xml:space="preserve">Agents earn micro-fees for every verified output — creating economic incentives for accuracy</w:t>
      </w:r>
    </w:p>
    <w:p>
      <w:pPr>
        <w:pStyle w:val="ListParagraph"/>
        <w:numPr>
          <w:ilvl w:val="0"/>
          <w:numId w:val="3"/>
        </w:numPr>
        <w:spacing w:after="80"/>
      </w:pPr>
      <w:r>
        <w:rPr>
          <w:rFonts w:ascii="Arial" w:cs="Arial" w:eastAsia="Arial" w:hAnsi="Arial"/>
          <w:sz w:val="20"/>
          <w:szCs w:val="20"/>
        </w:rPr>
        <w:t xml:space="preserve">An agent with a 99.8% accuracy record over 10,000 verifications commands premium pricing</w:t>
      </w:r>
    </w:p>
    <w:p>
      <w:pPr>
        <w:pStyle w:val="ListParagraph"/>
        <w:numPr>
          <w:ilvl w:val="0"/>
          <w:numId w:val="3"/>
        </w:numPr>
        <w:spacing w:after="80"/>
      </w:pPr>
      <w:r>
        <w:rPr>
          <w:rFonts w:ascii="Arial" w:cs="Arial" w:eastAsia="Arial" w:hAnsi="Arial"/>
          <w:sz w:val="20"/>
          <w:szCs w:val="20"/>
        </w:rPr>
        <w:t xml:space="preserve">SHOFET-CRE agent earns highest fees — its veto decisions are the most consequential</w:t>
      </w:r>
    </w:p>
    <w:p>
      <w:pPr>
        <w:pStyle w:val="ListParagraph"/>
        <w:numPr>
          <w:ilvl w:val="0"/>
          <w:numId w:val="2"/>
        </w:numPr>
        <w:spacing w:after="100"/>
      </w:pPr>
      <w:r>
        <w:rPr>
          <w:rFonts w:ascii="Arial" w:cs="Arial" w:eastAsia="Arial" w:hAnsi="Arial"/>
          <w:b w:val="false"/>
          <w:bCs w:val="false"/>
          <w:sz w:val="21"/>
          <w:szCs w:val="21"/>
        </w:rPr>
        <w:t xml:space="preserve">Cross-agent transactions use x402: BETA-VERITAS pays ALPHA-MARKET for market data in real time</w:t>
      </w:r>
    </w:p>
    <w:p>
      <w:pPr>
        <w:pStyle w:val="ListParagraph"/>
        <w:numPr>
          <w:ilvl w:val="0"/>
          <w:numId w:val="3"/>
        </w:numPr>
        <w:spacing w:after="80"/>
      </w:pPr>
      <w:r>
        <w:rPr>
          <w:rFonts w:ascii="Arial" w:cs="Arial" w:eastAsia="Arial" w:hAnsi="Arial"/>
          <w:sz w:val="20"/>
          <w:szCs w:val="20"/>
        </w:rPr>
        <w:t xml:space="preserve">ANFIS routes the payment: commodity data goes to cheapest verified source, critical data to highest-reputation</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20"/>
              <w:bottom w:type="dxa" w:w="140"/>
              <w:right w:type="dxa" w:w="220"/>
            </w:tcMar>
          </w:tcPr>
          <w:p>
            <w:pPr>
              <w:spacing w:after="80"/>
            </w:pPr>
            <w:r>
              <w:rPr>
                <w:rFonts w:ascii="Arial" w:cs="Arial" w:eastAsia="Arial" w:hAnsi="Arial"/>
                <w:b/>
                <w:bCs/>
                <w:color w:val="1F4E79"/>
                <w:sz w:val="22"/>
                <w:szCs w:val="22"/>
              </w:rPr>
              <w:t xml:space="preserve">🏛️  Institutional Trust Implication</w:t>
            </w:r>
          </w:p>
          <w:p>
            <w:pPr>
              <w:spacing w:after="0"/>
            </w:pPr>
            <w:r>
              <w:rPr>
                <w:rFonts w:ascii="Arial" w:cs="Arial" w:eastAsia="Arial" w:hAnsi="Arial"/>
                <w:sz w:val="20"/>
                <w:szCs w:val="20"/>
              </w:rPr>
              <w:t xml:space="preserve">A pension fund LP can look up the ERC-8004 record of the VERITAS agent and see: '47,832 verified DCF computations, 0 BFT consensus failures, last 90-day IRR accuracy: 99.94%.' This is an auditable track record that no human analyst can produce. It becomes the basis for LP due diligence on the GP's modeling infrastructure. No competitor has this.</w:t>
            </w:r>
          </w:p>
        </w:tc>
      </w:tr>
    </w:tbl>
    <w:p>
      <w:pPr>
        <w:spacing w:after="140"/>
      </w:pPr>
      <w:r>
        <w:t xml:space="preserve"/>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PART 4: INTEGRATED MONETIZATION MODEL</w:t>
      </w:r>
    </w:p>
    <w:p>
      <w:pPr>
        <w:spacing w:after="160"/>
      </w:pPr>
      <w:r>
        <w:rPr>
          <w:rFonts w:ascii="Arial" w:cs="Arial" w:eastAsia="Arial" w:hAnsi="Arial"/>
          <w:sz w:val="21"/>
          <w:szCs w:val="21"/>
        </w:rPr>
        <w:t xml:space="preserve">V2 has six distinct revenue streams that compound on each other. The goal is not to optimize any single stream — it's to let all six reinforce the others. This is the Trinity Symphony principle applied to business model design.</w:t>
      </w:r>
    </w:p>
    <w:p>
      <w:pPr>
        <w:spacing w:after="140"/>
      </w:pPr>
      <w:r>
        <w:t xml:space="preserve"/>
      </w:r>
    </w:p>
    <w:p>
      <w:pPr>
        <w:pStyle w:val="Heading2"/>
        <w:spacing w:after="180" w:before="320"/>
      </w:pPr>
      <w:r>
        <w:rPr>
          <w:rFonts w:ascii="Arial" w:cs="Arial" w:eastAsia="Arial" w:hAnsi="Arial"/>
          <w:b/>
          <w:bCs/>
          <w:color w:val="2E75B6"/>
          <w:sz w:val="27"/>
          <w:szCs w:val="27"/>
        </w:rPr>
        <w:t xml:space="preserve">4.1  The Six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1680"/>
        <w:gridCol w:w="168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17"/>
                <w:szCs w:val="17"/>
              </w:rPr>
              <w:t xml:space="preserve">Stream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17"/>
                <w:szCs w:val="17"/>
              </w:rPr>
              <w:t xml:space="preserve">Mechanism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17"/>
                <w:szCs w:val="17"/>
              </w:rPr>
              <w:t xml:space="preserve">Who Pays</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17"/>
                <w:szCs w:val="17"/>
              </w:rPr>
              <w:t xml:space="preserve">Yr 1 ARR Est.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jc w:val="center"/>
            </w:pPr>
            <w:r>
              <w:rPr>
                <w:rFonts w:ascii="Arial" w:cs="Arial" w:eastAsia="Arial" w:hAnsi="Arial"/>
                <w:b/>
                <w:bCs/>
                <w:color w:val="FFFFFF"/>
                <w:sz w:val="17"/>
                <w:szCs w:val="17"/>
              </w:rPr>
              <w:t xml:space="preserve">Yr 3 ARR 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1. SaaS Subscriptions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Tier 1/2/3 seat licenses ($199–$999/mo)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Deal teams, funds, lenders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$1.9M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$60M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2. x402 Metered Billing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Per-extraction, per-query, per-model-run fees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All users, agents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$340K</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$18M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3. Marketplace Tx Fees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5–15% take rate on data transactions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Buyers of comps/data/leads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$220K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$22M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4. RepID Staking Fees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0.5% protocol fee on all stakes/rewards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Bird dogs, data sellers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$85K</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$8M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5. Agent API Access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ERC-8004 verified agent calls for 3rd party 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Prop-tech integrators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$120K</w:t>
            </w:r>
          </w:p>
        </w:tc>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$12M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6. Institutional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Aggregated anonymized CRE insights (ZKP-private)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Research firms, REITs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$200K</w:t>
            </w:r>
          </w:p>
        </w:tc>
        <w:tc>
          <w:tcPr>
            <w:tcW w:type="dxa" w:w="16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spacing w:after="0"/>
            </w:pPr>
            <w:r>
              <w:rPr>
                <w:rFonts w:ascii="Arial" w:cs="Arial" w:eastAsia="Arial" w:hAnsi="Arial"/>
                <w:b w:val="false"/>
                <w:bCs w:val="false"/>
                <w:color w:val="000000"/>
                <w:sz w:val="18"/>
                <w:szCs w:val="18"/>
              </w:rPr>
              <w:t xml:space="preserve">$15M</w:t>
            </w:r>
          </w:p>
        </w:tc>
      </w:tr>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TOTAL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$2.9M</w:t>
            </w:r>
          </w:p>
        </w:tc>
        <w:tc>
          <w:tcPr>
            <w:tcW w:type="dxa" w:w="1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spacing w:after="0"/>
            </w:pPr>
            <w:r>
              <w:rPr>
                <w:rFonts w:ascii="Arial" w:cs="Arial" w:eastAsia="Arial" w:hAnsi="Arial"/>
                <w:b/>
                <w:bCs/>
                <w:color w:val="FFFFFF"/>
                <w:sz w:val="18"/>
                <w:szCs w:val="18"/>
              </w:rPr>
              <w:t xml:space="preserve">$135M</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8E1" w:val="clear"/>
            <w:tcMar>
              <w:top w:type="dxa" w:w="140"/>
              <w:left w:type="dxa" w:w="220"/>
              <w:bottom w:type="dxa" w:w="140"/>
              <w:right w:type="dxa" w:w="220"/>
            </w:tcMar>
          </w:tcPr>
          <w:p>
            <w:pPr>
              <w:spacing w:after="80"/>
            </w:pPr>
            <w:r>
              <w:rPr>
                <w:rFonts w:ascii="Arial" w:cs="Arial" w:eastAsia="Arial" w:hAnsi="Arial"/>
                <w:b/>
                <w:bCs/>
                <w:color w:val="C09000"/>
                <w:sz w:val="22"/>
                <w:szCs w:val="22"/>
              </w:rPr>
              <w:t xml:space="preserve">📈  Why the Marketplace Flips the TAM</w:t>
            </w:r>
          </w:p>
          <w:p>
            <w:pPr>
              <w:spacing w:after="0"/>
            </w:pPr>
            <w:r>
              <w:rPr>
                <w:rFonts w:ascii="Arial" w:cs="Arial" w:eastAsia="Arial" w:hAnsi="Arial"/>
                <w:sz w:val="20"/>
                <w:szCs w:val="20"/>
              </w:rPr>
              <w:t xml:space="preserve">Pure SaaS = ~$567M TAM (Argus replacement market). SaaS + Marketplace = ~$5B+ TAM (CRE data + analysis market currently served by CoStar at $2.5B/yr revenue, MSCI, Green Street, Moody's CRE, and thousands of boutique research shops). The marketplace repositions NEXUS from 'better Argus' to 'CRE data infrastructure' — a category-defining shift.</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4.2  Competitive Moat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Moat</w:t>
            </w:r>
          </w:p>
        </w:tc>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Compounding Rate</w:t>
            </w:r>
          </w:p>
        </w:tc>
        <w:tc>
          <w:tcPr>
            <w:tcW w:type="dxa" w:w="2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Competitor Response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Patent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P-002/P-004/P-005 — ANFIS, BFT, HIAS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Static (legal)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Never (if filed correctly)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ERC-8004 Agent Reputation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On-chain accuracy history per agent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Exponential — compounds with every output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3–5 yrs to rebuild from scratch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GNN Comp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Every marketplace transaction enriches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Network effect — accelerates with scale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4–6 yrs + massive data spend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RepID Community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Bird dogs with sunk reputation cost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Loyalty compounds — high churn cost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2–3 yrs to replicate incentive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x402 Integration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Embedded in every API 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Switching cost — every integration is sticky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18 months if they prioritize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BFT Audit Trail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Institutional LP/lender trust in outputs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Trust compounds — institutions don't switch auditors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Requires full architecture rebuild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ANFIS Learning 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Better routing = lower cost = more volume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Self-reinforcing cost advantage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2–3 yrs of training data to match</w:t>
            </w:r>
          </w:p>
        </w:tc>
      </w:tr>
    </w:tbl>
    <w:p>
      <w:pPr>
        <w:spacing w:after="140"/>
      </w:pPr>
      <w:r>
        <w:t xml:space="preserve"/>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PART 5: REVISED ROADMAP WITH WEB3 LAYER</w:t>
      </w:r>
    </w:p>
    <w:p>
      <w:pPr>
        <w:spacing w:after="160"/>
      </w:pPr>
      <w:r>
        <w:rPr>
          <w:rFonts w:ascii="Arial" w:cs="Arial" w:eastAsia="Arial" w:hAnsi="Arial"/>
          <w:sz w:val="21"/>
          <w:szCs w:val="21"/>
        </w:rPr>
        <w:t xml:space="preserve">The sprint plan from V1 holds — agents build 24/7 in parallel via CrewAI + BFT. V2 adds the Web3 and marketplace layers as parallel tracks that do NOT block the MVP. The financial engine ships first. The marketplace follows.</w:t>
      </w:r>
    </w:p>
    <w:p>
      <w:pPr>
        <w:spacing w:after="140"/>
      </w:pPr>
      <w:r>
        <w:t xml:space="preserve"/>
      </w:r>
    </w:p>
    <w:p>
      <w:pPr>
        <w:pStyle w:val="Heading2"/>
        <w:spacing w:after="180" w:before="320"/>
      </w:pPr>
      <w:r>
        <w:rPr>
          <w:rFonts w:ascii="Arial" w:cs="Arial" w:eastAsia="Arial" w:hAnsi="Arial"/>
          <w:b/>
          <w:bCs/>
          <w:color w:val="2E75B6"/>
          <w:sz w:val="27"/>
          <w:szCs w:val="27"/>
        </w:rPr>
        <w:t xml:space="preserve">5.1  Sprint Plan v2 (6 Weeks to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000"/>
        <w:gridCol w:w="2800"/>
        <w:gridCol w:w="1560"/>
      </w:tblGrid>
      <w:tr>
        <w:tc>
          <w:tcPr>
            <w:tcW w:type="dxa" w:w="1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Sprint</w:t>
            </w:r>
          </w:p>
        </w:tc>
        <w:tc>
          <w:tcPr>
            <w:tcW w:type="dxa" w:w="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Week</w:t>
            </w:r>
          </w:p>
        </w:tc>
        <w:tc>
          <w:tcPr>
            <w:tcW w:type="dxa" w:w="30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Core Track (Financial Engine)</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Web3 Track (Parallel)</w:t>
            </w:r>
          </w:p>
        </w:tc>
        <w:tc>
          <w:tcPr>
            <w:tcW w:type="dxa" w:w="15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Agent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0: Foundation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FastAPI + PostgreSQL/Supabase + Railway deploy +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ERC-8004 register 12 agent identities on Base Sepolia testnet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GAMMA-BUILD + ORCH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1: DCF Core</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Lease engine + OpEx model + single-asset DCF + IRR/NPV</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wrapper on /model/dcf endpoint (testnet, $0 gating)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ALPHA-INTAKE + BETA-VERITAS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2: AI Layer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OCR+LLM rent roll extraction + GNN comp engine + ANFIS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Marketplace DB schema + basic bird dog submission form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BETA-SOPHIA + BETA-NEXUS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3: Waterfall</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Multi-tranche debt + waterfall DAG + BFT consensus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RepID minting on first 10 bird dog submissions (testnet)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BETA-VERITAS + GAMMA-STRUCTUR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4: Reporting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IC memo generator + sensitivity maps + live data feeds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Marketplace browse UI + x402 metered comp queries (testnet)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GAMMA-TORCH + ALPHA-MARKET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5: Integration</w:t>
            </w:r>
          </w:p>
        </w:tc>
        <w:tc>
          <w:tcPr>
            <w:tcW w:type="dxa" w:w="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.AE import + Argus reconciliation + compliance audit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mainnet flip + first live marketplace transaction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ORCH-CRE + W3C-CRE</w:t>
            </w:r>
          </w:p>
        </w:tc>
      </w:tr>
    </w:tbl>
    <w:p>
      <w:pPr>
        <w:spacing w:after="140"/>
      </w:pPr>
      <w:r>
        <w:t xml:space="preserve"/>
      </w:r>
    </w:p>
    <w:p>
      <w:pPr>
        <w:pStyle w:val="Heading2"/>
        <w:spacing w:after="180" w:before="320"/>
      </w:pPr>
      <w:r>
        <w:rPr>
          <w:rFonts w:ascii="Arial" w:cs="Arial" w:eastAsia="Arial" w:hAnsi="Arial"/>
          <w:b/>
          <w:bCs/>
          <w:color w:val="2E75B6"/>
          <w:sz w:val="27"/>
          <w:szCs w:val="27"/>
        </w:rPr>
        <w:t xml:space="preserve">5.2  Post-MVP Phases</w:t>
      </w:r>
    </w:p>
    <w:p>
      <w:pPr>
        <w:pStyle w:val="Heading3"/>
        <w:spacing w:after="120" w:before="200"/>
      </w:pPr>
      <w:r>
        <w:rPr>
          <w:rFonts w:ascii="Arial" w:cs="Arial" w:eastAsia="Arial" w:hAnsi="Arial"/>
          <w:b/>
          <w:bCs/>
          <w:color w:val="404040"/>
          <w:sz w:val="23"/>
          <w:szCs w:val="23"/>
        </w:rPr>
        <w:t xml:space="preserve">Phase 2: Marketplace Growth (Months 2–6, ~$5K cumulative spend)</w:t>
      </w:r>
    </w:p>
    <w:p>
      <w:pPr>
        <w:pStyle w:val="ListParagraph"/>
        <w:numPr>
          <w:ilvl w:val="0"/>
          <w:numId w:val="2"/>
        </w:numPr>
        <w:spacing w:after="100"/>
      </w:pPr>
      <w:r>
        <w:rPr>
          <w:rFonts w:ascii="Arial" w:cs="Arial" w:eastAsia="Arial" w:hAnsi="Arial"/>
          <w:b w:val="false"/>
          <w:bCs w:val="false"/>
          <w:sz w:val="21"/>
          <w:szCs w:val="21"/>
        </w:rPr>
        <w:t xml:space="preserve">Onboard first 50 bird dogs via LinkedIn network — free RepID minting, explain staking economics</w:t>
      </w:r>
    </w:p>
    <w:p>
      <w:pPr>
        <w:pStyle w:val="ListParagraph"/>
        <w:numPr>
          <w:ilvl w:val="0"/>
          <w:numId w:val="2"/>
        </w:numPr>
        <w:spacing w:after="100"/>
      </w:pPr>
      <w:r>
        <w:rPr>
          <w:rFonts w:ascii="Arial" w:cs="Arial" w:eastAsia="Arial" w:hAnsi="Arial"/>
          <w:b w:val="false"/>
          <w:bCs w:val="false"/>
          <w:sz w:val="21"/>
          <w:szCs w:val="21"/>
        </w:rPr>
        <w:t xml:space="preserve">Activate x402 mainnet billing — all API calls now generate revenue</w:t>
      </w:r>
    </w:p>
    <w:p>
      <w:pPr>
        <w:pStyle w:val="ListParagraph"/>
        <w:numPr>
          <w:ilvl w:val="0"/>
          <w:numId w:val="2"/>
        </w:numPr>
        <w:spacing w:after="100"/>
      </w:pPr>
      <w:r>
        <w:rPr>
          <w:rFonts w:ascii="Arial" w:cs="Arial" w:eastAsia="Arial" w:hAnsi="Arial"/>
          <w:b w:val="false"/>
          <w:bCs w:val="false"/>
          <w:sz w:val="21"/>
          <w:szCs w:val="21"/>
        </w:rPr>
        <w:t xml:space="preserve">Launch comp marketplace with 5 founding data partners (boutique research shops)</w:t>
      </w:r>
    </w:p>
    <w:p>
      <w:pPr>
        <w:pStyle w:val="ListParagraph"/>
        <w:numPr>
          <w:ilvl w:val="0"/>
          <w:numId w:val="2"/>
        </w:numPr>
        <w:spacing w:after="100"/>
      </w:pPr>
      <w:r>
        <w:rPr>
          <w:rFonts w:ascii="Arial" w:cs="Arial" w:eastAsia="Arial" w:hAnsi="Arial"/>
          <w:b w:val="false"/>
          <w:bCs w:val="false"/>
          <w:sz w:val="21"/>
          <w:szCs w:val="21"/>
        </w:rPr>
        <w:t xml:space="preserve">Deploy quantum-resistant signatures (CRYSTALS-Dilithium) on all ERC-8004 attestations</w:t>
      </w:r>
    </w:p>
    <w:p>
      <w:pPr>
        <w:pStyle w:val="ListParagraph"/>
        <w:numPr>
          <w:ilvl w:val="0"/>
          <w:numId w:val="2"/>
        </w:numPr>
        <w:spacing w:after="100"/>
      </w:pPr>
      <w:r>
        <w:rPr>
          <w:rFonts w:ascii="Arial" w:cs="Arial" w:eastAsia="Arial" w:hAnsi="Arial"/>
          <w:b w:val="false"/>
          <w:bCs w:val="false"/>
          <w:sz w:val="21"/>
          <w:szCs w:val="21"/>
        </w:rPr>
        <w:t xml:space="preserve">IPFS integration for decentralized document storage — rent rolls, lease abstracts</w:t>
      </w:r>
    </w:p>
    <w:p>
      <w:pPr>
        <w:spacing w:after="140"/>
      </w:pPr>
      <w:r>
        <w:t xml:space="preserve"/>
      </w:r>
    </w:p>
    <w:p>
      <w:pPr>
        <w:pStyle w:val="Heading3"/>
        <w:spacing w:after="120" w:before="200"/>
      </w:pPr>
      <w:r>
        <w:rPr>
          <w:rFonts w:ascii="Arial" w:cs="Arial" w:eastAsia="Arial" w:hAnsi="Arial"/>
          <w:b/>
          <w:bCs/>
          <w:color w:val="404040"/>
          <w:sz w:val="23"/>
          <w:szCs w:val="23"/>
        </w:rPr>
        <w:t xml:space="preserve">Phase 3: Institutional Grade (Months 6–12, ~$10K cumulative)</w:t>
      </w:r>
    </w:p>
    <w:p>
      <w:pPr>
        <w:pStyle w:val="ListParagraph"/>
        <w:numPr>
          <w:ilvl w:val="0"/>
          <w:numId w:val="2"/>
        </w:numPr>
        <w:spacing w:after="100"/>
      </w:pPr>
      <w:r>
        <w:rPr>
          <w:rFonts w:ascii="Arial" w:cs="Arial" w:eastAsia="Arial" w:hAnsi="Arial"/>
          <w:b w:val="false"/>
          <w:bCs w:val="false"/>
          <w:sz w:val="21"/>
          <w:szCs w:val="21"/>
        </w:rPr>
        <w:t xml:space="preserve">zk-STARK proofs for private marketplace data — institutional sellers now participate</w:t>
      </w:r>
    </w:p>
    <w:p>
      <w:pPr>
        <w:pStyle w:val="ListParagraph"/>
        <w:numPr>
          <w:ilvl w:val="0"/>
          <w:numId w:val="2"/>
        </w:numPr>
        <w:spacing w:after="100"/>
      </w:pPr>
      <w:r>
        <w:rPr>
          <w:rFonts w:ascii="Arial" w:cs="Arial" w:eastAsia="Arial" w:hAnsi="Arial"/>
          <w:b w:val="false"/>
          <w:bCs w:val="false"/>
          <w:sz w:val="21"/>
          <w:szCs w:val="21"/>
        </w:rPr>
        <w:t xml:space="preserve">LP portal launch — read-only portfolio access with ERC-8004 verified agent outputs</w:t>
      </w:r>
    </w:p>
    <w:p>
      <w:pPr>
        <w:pStyle w:val="ListParagraph"/>
        <w:numPr>
          <w:ilvl w:val="0"/>
          <w:numId w:val="2"/>
        </w:numPr>
        <w:spacing w:after="100"/>
      </w:pPr>
      <w:r>
        <w:rPr>
          <w:rFonts w:ascii="Arial" w:cs="Arial" w:eastAsia="Arial" w:hAnsi="Arial"/>
          <w:b w:val="false"/>
          <w:bCs w:val="false"/>
          <w:sz w:val="21"/>
          <w:szCs w:val="21"/>
        </w:rPr>
        <w:t xml:space="preserve">Yardi/MRI integration — automatic T-12 actuals import via x402-billed API</w:t>
      </w:r>
    </w:p>
    <w:p>
      <w:pPr>
        <w:pStyle w:val="ListParagraph"/>
        <w:numPr>
          <w:ilvl w:val="0"/>
          <w:numId w:val="2"/>
        </w:numPr>
        <w:spacing w:after="100"/>
      </w:pPr>
      <w:r>
        <w:rPr>
          <w:rFonts w:ascii="Arial" w:cs="Arial" w:eastAsia="Arial" w:hAnsi="Arial"/>
          <w:b w:val="false"/>
          <w:bCs w:val="false"/>
          <w:sz w:val="21"/>
          <w:szCs w:val="21"/>
        </w:rPr>
        <w:t xml:space="preserve">Aggregated institutional dataset product — ZKP-anonymized CRE insights for research firms</w:t>
      </w:r>
    </w:p>
    <w:p>
      <w:pPr>
        <w:pStyle w:val="ListParagraph"/>
        <w:numPr>
          <w:ilvl w:val="0"/>
          <w:numId w:val="2"/>
        </w:numPr>
        <w:spacing w:after="100"/>
      </w:pPr>
      <w:r>
        <w:rPr>
          <w:rFonts w:ascii="Arial" w:cs="Arial" w:eastAsia="Arial" w:hAnsi="Arial"/>
          <w:b w:val="false"/>
          <w:bCs w:val="false"/>
          <w:sz w:val="21"/>
          <w:szCs w:val="21"/>
        </w:rPr>
        <w:t xml:space="preserve">Institutional DAO governance — top RepID holders vote on marketplace rules, fee structure</w:t>
      </w:r>
    </w:p>
    <w:p>
      <w:pPr>
        <w:spacing w:after="140"/>
      </w:pPr>
      <w:r>
        <w:t xml:space="preserve"/>
      </w:r>
    </w:p>
    <w:p>
      <w:pPr>
        <w:pStyle w:val="Heading3"/>
        <w:spacing w:after="120" w:before="200"/>
      </w:pPr>
      <w:r>
        <w:rPr>
          <w:rFonts w:ascii="Arial" w:cs="Arial" w:eastAsia="Arial" w:hAnsi="Arial"/>
          <w:b/>
          <w:bCs/>
          <w:color w:val="404040"/>
          <w:sz w:val="23"/>
          <w:szCs w:val="23"/>
        </w:rPr>
        <w:t xml:space="preserve">Phase 4: Market Dominance (Year 2)</w:t>
      </w:r>
    </w:p>
    <w:p>
      <w:pPr>
        <w:pStyle w:val="ListParagraph"/>
        <w:numPr>
          <w:ilvl w:val="0"/>
          <w:numId w:val="2"/>
        </w:numPr>
        <w:spacing w:after="100"/>
      </w:pPr>
      <w:r>
        <w:rPr>
          <w:rFonts w:ascii="Arial" w:cs="Arial" w:eastAsia="Arial" w:hAnsi="Arial"/>
          <w:b w:val="false"/>
          <w:bCs w:val="false"/>
          <w:sz w:val="21"/>
          <w:szCs w:val="21"/>
        </w:rPr>
        <w:t xml:space="preserve">QANplatform bridge — full quantum-resistant blockchain for all marketplace transactions</w:t>
      </w:r>
    </w:p>
    <w:p>
      <w:pPr>
        <w:pStyle w:val="ListParagraph"/>
        <w:numPr>
          <w:ilvl w:val="0"/>
          <w:numId w:val="2"/>
        </w:numPr>
        <w:spacing w:after="100"/>
      </w:pPr>
      <w:r>
        <w:rPr>
          <w:rFonts w:ascii="Arial" w:cs="Arial" w:eastAsia="Arial" w:hAnsi="Arial"/>
          <w:b w:val="false"/>
          <w:bCs w:val="false"/>
          <w:sz w:val="21"/>
          <w:szCs w:val="21"/>
        </w:rPr>
        <w:t xml:space="preserve">Fund-level reporting + Argus Taliance displacement ($50K+/yr license replacement)</w:t>
      </w:r>
    </w:p>
    <w:p>
      <w:pPr>
        <w:pStyle w:val="ListParagraph"/>
        <w:numPr>
          <w:ilvl w:val="0"/>
          <w:numId w:val="2"/>
        </w:numPr>
        <w:spacing w:after="100"/>
      </w:pPr>
      <w:r>
        <w:rPr>
          <w:rFonts w:ascii="Arial" w:cs="Arial" w:eastAsia="Arial" w:hAnsi="Arial"/>
          <w:b w:val="false"/>
          <w:bCs w:val="false"/>
          <w:sz w:val="21"/>
          <w:szCs w:val="21"/>
        </w:rPr>
        <w:t xml:space="preserve">API ecosystem — 3rd party prop-tech apps pay to access ERC-8004 verified agent outputs</w:t>
      </w:r>
    </w:p>
    <w:p>
      <w:pPr>
        <w:pStyle w:val="ListParagraph"/>
        <w:numPr>
          <w:ilvl w:val="0"/>
          <w:numId w:val="2"/>
        </w:numPr>
        <w:spacing w:after="100"/>
      </w:pPr>
      <w:r>
        <w:rPr>
          <w:rFonts w:ascii="Arial" w:cs="Arial" w:eastAsia="Arial" w:hAnsi="Arial"/>
          <w:b w:val="false"/>
          <w:bCs w:val="false"/>
          <w:sz w:val="21"/>
          <w:szCs w:val="21"/>
        </w:rPr>
        <w:t xml:space="preserve">International expansion — European CRE markets via localized marketplace nodes</w:t>
      </w:r>
    </w:p>
    <w:p>
      <w:pPr>
        <w:pStyle w:val="ListParagraph"/>
        <w:numPr>
          <w:ilvl w:val="0"/>
          <w:numId w:val="2"/>
        </w:numPr>
        <w:spacing w:after="100"/>
      </w:pPr>
      <w:r>
        <w:rPr>
          <w:rFonts w:ascii="Arial" w:cs="Arial" w:eastAsia="Arial" w:hAnsi="Arial"/>
          <w:b w:val="false"/>
          <w:bCs w:val="false"/>
          <w:sz w:val="21"/>
          <w:szCs w:val="21"/>
        </w:rPr>
        <w:t xml:space="preserve">Series A raise — data network effect metrics + $2M+ ARR = institutional investment readiness</w:t>
      </w:r>
    </w:p>
    <w:p>
      <w:pPr>
        <w:spacing w:after="140"/>
      </w:pPr>
      <w:r>
        <w:t xml:space="preserve"/>
      </w:r>
    </w:p>
    <w:p>
      <w:pPr>
        <w:pStyle w:val="Heading2"/>
        <w:spacing w:after="180" w:before="320"/>
      </w:pPr>
      <w:r>
        <w:rPr>
          <w:rFonts w:ascii="Arial" w:cs="Arial" w:eastAsia="Arial" w:hAnsi="Arial"/>
          <w:b/>
          <w:bCs/>
          <w:color w:val="2E75B6"/>
          <w:sz w:val="27"/>
          <w:szCs w:val="27"/>
        </w:rPr>
        <w:t xml:space="preserve">5.3  Proving the System (Validation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Target</w:t>
            </w:r>
          </w:p>
        </w:tc>
        <w:tc>
          <w:tcPr>
            <w:tcW w:type="dxa" w:w="26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How Measured</w:t>
            </w:r>
          </w:p>
        </w:tc>
        <w:tc>
          <w:tcPr>
            <w:tcW w:type="dxa" w:w="2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BFT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IRR accuracy vs. Argus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&lt;0.001% divergence on identical inputs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Side-by-side on 20 public models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VERITAS dual-path cross-check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Underwriting 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&lt;30 minutes single-asset full model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Timed user study with 5 beta firms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INTAKE agent speed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AI extraction 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&gt;95% field-level accuracy from rent roll PDF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Manual audit of 100 extracted docs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SOPHIA validation scoring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BFT divergence 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0 divergences &gt; 1e-8 in financial outputs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All outputs logged + audited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VERITAS reconciliation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Marketplace data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&gt;90% of comps pass GNN plausibility check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Automated comp outlier detection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NEXUS graph distance scoring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x402 uptime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&gt;99.9% payment success on API calls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Payment rails monitoring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W3C-CRE infrastructure audit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Bird dog retention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&gt;70% of RepID holders active at 90 days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Wallet activity monitoring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HERALD monitoring agent</w:t>
            </w:r>
          </w:p>
        </w:tc>
      </w:tr>
    </w:tbl>
    <w:p>
      <w:pPr>
        <w:spacing w:after="140"/>
      </w:pPr>
      <w:r>
        <w:t xml:space="preserve"/>
      </w:r>
    </w:p>
    <w:p>
      <w:r>
        <w:br w:type="page"/>
      </w:r>
    </w:p>
    <w:p>
      <w:pPr>
        <w:pStyle w:val="Heading1"/>
        <w:pBdr>
          <w:bottom w:val="single" w:color="2E75B6" w:sz="12" w:space="6"/>
        </w:pBdr>
        <w:spacing w:after="240" w:before="480"/>
      </w:pPr>
      <w:r>
        <w:rPr>
          <w:rFonts w:ascii="Arial" w:cs="Arial" w:eastAsia="Arial" w:hAnsi="Arial"/>
          <w:b/>
          <w:bCs/>
          <w:color w:val="1F4E79"/>
          <w:sz w:val="34"/>
          <w:szCs w:val="34"/>
        </w:rPr>
        <w:t xml:space="preserve">PART 6: THE PATENT GATE &amp; FILING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0F0" w:val="clear"/>
            <w:tcMar>
              <w:top w:type="dxa" w:w="140"/>
              <w:left w:type="dxa" w:w="220"/>
              <w:bottom w:type="dxa" w:w="140"/>
              <w:right w:type="dxa" w:w="220"/>
            </w:tcMar>
          </w:tcPr>
          <w:p>
            <w:pPr>
              <w:spacing w:after="80"/>
            </w:pPr>
            <w:r>
              <w:rPr>
                <w:rFonts w:ascii="Arial" w:cs="Arial" w:eastAsia="Arial" w:hAnsi="Arial"/>
                <w:b/>
                <w:bCs/>
                <w:color w:val="8B0000"/>
                <w:sz w:val="22"/>
                <w:szCs w:val="22"/>
              </w:rPr>
              <w:t xml:space="preserve">🚨  ABSOLUTE PATENT GATE — STATUS UPDATE</w:t>
            </w:r>
          </w:p>
          <w:p>
            <w:pPr>
              <w:spacing w:after="0"/>
            </w:pPr>
            <w:r>
              <w:rPr>
                <w:rFonts w:ascii="Arial" w:cs="Arial" w:eastAsia="Arial" w:hAnsi="Arial"/>
                <w:sz w:val="20"/>
                <w:szCs w:val="20"/>
              </w:rPr>
              <w:t xml:space="preserve">P-004 (BFT Veto Agent) and P-005 (HIAS Scoring) must be filed BEFORE any public marketplace demo, press release, or product launch. The marketplace architecture described in this document — specifically ERC-8004 + x402 + ANFIS routing for CRE data — is patentable as a novel combination. Recommend adding P-012: 'Agent-to-Agent Real Estate Data Commerce Using On-Chain Reputation and HTTP Micropayment Protocols' as a new provisional.</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Application</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Covers</w:t>
            </w:r>
          </w:p>
        </w:tc>
        <w:tc>
          <w:tcPr>
            <w:tcW w:type="dxa" w:w="280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CRE Marketplace Relevance</w:t>
            </w:r>
          </w:p>
        </w:tc>
        <w:tc>
          <w:tcPr>
            <w:tcW w:type="dxa" w:w="2360"/>
            <w:tcBorders>
              <w:top w:val="single" w:color="CCCCCC" w:sz="1"/>
              <w:left w:val="single" w:color="CCCCCC" w:sz="1"/>
              <w:bottom w:val="single" w:color="CCCCCC" w:sz="1"/>
              <w:right w:val="single" w:color="CCCCCC" w:sz="1"/>
            </w:tcBorders>
            <w:shd w:fill="1F4E79" w:val="clear"/>
            <w:tcMar>
              <w:top w:type="dxa" w:w="90"/>
              <w:left w:type="dxa" w:w="130"/>
              <w:bottom w:type="dxa" w:w="90"/>
              <w:right w:type="dxa" w:w="130"/>
            </w:tcMar>
          </w:tcPr>
          <w:p>
            <w:pPr>
              <w:spacing w:after="0"/>
              <w:jc w:val="center"/>
            </w:pPr>
            <w:r>
              <w:rPr>
                <w:rFonts w:ascii="Arial" w:cs="Arial" w:eastAsia="Arial" w:hAnsi="Arial"/>
                <w:b/>
                <w:bCs/>
                <w:color w:val="FFFFFF"/>
                <w:sz w:val="18"/>
                <w:szCs w:val="18"/>
              </w:rPr>
              <w:t xml:space="preserve">Deadline / 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P-002 (GNN+ANFIS)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Neuromorphic ANFIS routing, 72.5% cost reduction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Marketplace query routing, ANFIS-priced comp queries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NON-PROV: AUG 17 2026 ⚠️</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P-004 (BFT Veto)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Pythagorean Comma Veto with 3-tier escalation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Financial output BFT consensus, SHOFET marketplace arbitration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FILE IMMEDIATELY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P-005 (HIAS)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Human Intuition Accuracy + Adaptive Authority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Bird dog accuracy scoring, RepID scoring algorithm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FILE IMMEDIATELY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P-011 (DAG Workflow)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Directed acyclic workflow orchestration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Underwriting DAG + marketplace transaction DAG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30"/>
              <w:bottom w:type="dxa" w:w="80"/>
              <w:right w:type="dxa" w:w="130"/>
            </w:tcMar>
          </w:tcPr>
          <w:p>
            <w:pPr>
              <w:spacing w:after="0"/>
            </w:pPr>
            <w:r>
              <w:rPr>
                <w:rFonts w:ascii="Arial" w:cs="Arial" w:eastAsia="Arial" w:hAnsi="Arial"/>
                <w:sz w:val="19"/>
                <w:szCs w:val="19"/>
              </w:rPr>
              <w:t xml:space="preserve">Q2 2026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P-012 (NEW — Proposed)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ERC-8004 + x402 + ANFIS for CRE data marketplace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The entire marketplace architecture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pPr>
            <w:r>
              <w:rPr>
                <w:rFonts w:ascii="Arial" w:cs="Arial" w:eastAsia="Arial" w:hAnsi="Arial"/>
                <w:sz w:val="19"/>
                <w:szCs w:val="19"/>
              </w:rPr>
              <w:t xml:space="preserve">FILE BEFORE LAUNCH</w:t>
            </w:r>
          </w:p>
        </w:tc>
      </w:tr>
    </w:tbl>
    <w:p>
      <w:pPr>
        <w:spacing w:after="140"/>
      </w:pPr>
      <w:r>
        <w:t xml:space="preserve"/>
      </w:r>
    </w:p>
    <w:p>
      <w:pPr>
        <w:spacing w:after="160"/>
      </w:pPr>
      <w:r>
        <w:rPr>
          <w:rFonts w:ascii="Arial" w:cs="Arial" w:eastAsia="Arial" w:hAnsi="Arial"/>
          <w:sz w:val="21"/>
          <w:szCs w:val="21"/>
        </w:rPr>
        <w:t xml:space="preserve">P-002 non-provisional deadline is August 17, 2026. Given a 4–6 week attorney prep timeline, engagement must begin by early June at the latest. For P-004, P-005, and the proposed P-012, provisional applications can be self-prepared and filed for $320 each (micro-entity) while attorney engagement is initiated for non-provisionals.</w:t>
      </w:r>
    </w:p>
    <w:p>
      <w:pPr>
        <w:spacing w:after="140"/>
      </w:pPr>
      <w:r>
        <w:t xml:space="preserve"/>
      </w:r>
    </w:p>
    <w:p>
      <w:pPr>
        <w:pStyle w:val="Heading1"/>
        <w:pBdr>
          <w:bottom w:val="single" w:color="2E75B6" w:sz="12" w:space="6"/>
        </w:pBdr>
        <w:spacing w:after="240" w:before="480"/>
      </w:pPr>
      <w:r>
        <w:rPr>
          <w:rFonts w:ascii="Arial" w:cs="Arial" w:eastAsia="Arial" w:hAnsi="Arial"/>
          <w:b/>
          <w:bCs/>
          <w:color w:val="1F4E79"/>
          <w:sz w:val="34"/>
          <w:szCs w:val="34"/>
        </w:rPr>
        <w:t xml:space="preserve">PART 7: GTM UPGRADE — MARKETPLACE-LED GROWTH</w:t>
      </w:r>
    </w:p>
    <w:p>
      <w:pPr>
        <w:spacing w:after="160"/>
      </w:pPr>
      <w:r>
        <w:rPr>
          <w:rFonts w:ascii="Arial" w:cs="Arial" w:eastAsia="Arial" w:hAnsi="Arial"/>
          <w:sz w:val="21"/>
          <w:szCs w:val="21"/>
        </w:rPr>
        <w:t xml:space="preserve">V1 GTM was software-led: sell seats, expand to enterprise. V2 GTM is marketplace-led: attract data supply with zero cost, let demand follow, monetize both sides. This is the Airbnb model applied to CRE data — own no data, facilitate all transactions.</w:t>
      </w:r>
    </w:p>
    <w:p>
      <w:pPr>
        <w:spacing w:after="140"/>
      </w:pPr>
      <w:r>
        <w:t xml:space="preserve"/>
      </w:r>
    </w:p>
    <w:p>
      <w:pPr>
        <w:pStyle w:val="Heading2"/>
        <w:spacing w:after="180" w:before="320"/>
      </w:pPr>
      <w:r>
        <w:rPr>
          <w:rFonts w:ascii="Arial" w:cs="Arial" w:eastAsia="Arial" w:hAnsi="Arial"/>
          <w:b/>
          <w:bCs/>
          <w:color w:val="2E75B6"/>
          <w:sz w:val="27"/>
          <w:szCs w:val="27"/>
        </w:rPr>
        <w:t xml:space="preserve">7.1  Supply-Side Acquisition (Bird Dogs &amp; Data Sellers)</w:t>
      </w:r>
    </w:p>
    <w:p>
      <w:pPr>
        <w:pStyle w:val="ListParagraph"/>
        <w:numPr>
          <w:ilvl w:val="0"/>
          <w:numId w:val="2"/>
        </w:numPr>
        <w:spacing w:after="100"/>
      </w:pPr>
      <w:r>
        <w:rPr>
          <w:rFonts w:ascii="Arial" w:cs="Arial" w:eastAsia="Arial" w:hAnsi="Arial"/>
          <w:b w:val="false"/>
          <w:bCs w:val="false"/>
          <w:sz w:val="21"/>
          <w:szCs w:val="21"/>
        </w:rPr>
        <w:t xml:space="preserve">Target: 500 bird dogs in the first 90 days via Sean's 30K LinkedIn network — free RepID, clear earning path</w:t>
      </w:r>
    </w:p>
    <w:p>
      <w:pPr>
        <w:pStyle w:val="ListParagraph"/>
        <w:numPr>
          <w:ilvl w:val="0"/>
          <w:numId w:val="2"/>
        </w:numPr>
        <w:spacing w:after="100"/>
      </w:pPr>
      <w:r>
        <w:rPr>
          <w:rFonts w:ascii="Arial" w:cs="Arial" w:eastAsia="Arial" w:hAnsi="Arial"/>
          <w:b w:val="false"/>
          <w:bCs w:val="false"/>
          <w:sz w:val="21"/>
          <w:szCs w:val="21"/>
        </w:rPr>
        <w:t xml:space="preserve">Target: 50 boutique research shops — offer revenue share for exclusive or first-right-of-refusal data listings</w:t>
      </w:r>
    </w:p>
    <w:p>
      <w:pPr>
        <w:pStyle w:val="ListParagraph"/>
        <w:numPr>
          <w:ilvl w:val="0"/>
          <w:numId w:val="2"/>
        </w:numPr>
        <w:spacing w:after="100"/>
      </w:pPr>
      <w:r>
        <w:rPr>
          <w:rFonts w:ascii="Arial" w:cs="Arial" w:eastAsia="Arial" w:hAnsi="Arial"/>
          <w:b w:val="false"/>
          <w:bCs w:val="false"/>
          <w:sz w:val="21"/>
          <w:szCs w:val="21"/>
        </w:rPr>
        <w:t xml:space="preserve">Target: 200 tenant-rep brokers — comp submissions earn RepID + x402 micro-fees passively</w:t>
      </w:r>
    </w:p>
    <w:p>
      <w:pPr>
        <w:pStyle w:val="ListParagraph"/>
        <w:numPr>
          <w:ilvl w:val="0"/>
          <w:numId w:val="2"/>
        </w:numPr>
        <w:spacing w:after="100"/>
      </w:pPr>
      <w:r>
        <w:rPr>
          <w:rFonts w:ascii="Arial" w:cs="Arial" w:eastAsia="Arial" w:hAnsi="Arial"/>
          <w:b w:val="false"/>
          <w:bCs w:val="false"/>
          <w:sz w:val="21"/>
          <w:szCs w:val="21"/>
        </w:rPr>
        <w:t xml:space="preserve">Supply acquisition cost: near zero — reputation tokens cost nothing to mint, fees only taken on success</w:t>
      </w:r>
    </w:p>
    <w:p>
      <w:pPr>
        <w:spacing w:after="140"/>
      </w:pPr>
      <w:r>
        <w:t xml:space="preserve"/>
      </w:r>
    </w:p>
    <w:p>
      <w:pPr>
        <w:pStyle w:val="Heading2"/>
        <w:spacing w:after="180" w:before="320"/>
      </w:pPr>
      <w:r>
        <w:rPr>
          <w:rFonts w:ascii="Arial" w:cs="Arial" w:eastAsia="Arial" w:hAnsi="Arial"/>
          <w:b/>
          <w:bCs/>
          <w:color w:val="2E75B6"/>
          <w:sz w:val="27"/>
          <w:szCs w:val="27"/>
        </w:rPr>
        <w:t xml:space="preserve">7.2  Demand-Side Acquisition (Underwriters &amp; Analysts)</w:t>
      </w:r>
    </w:p>
    <w:p>
      <w:pPr>
        <w:pStyle w:val="ListParagraph"/>
        <w:numPr>
          <w:ilvl w:val="0"/>
          <w:numId w:val="2"/>
        </w:numPr>
        <w:spacing w:after="100"/>
      </w:pPr>
      <w:r>
        <w:rPr>
          <w:rFonts w:ascii="Arial" w:cs="Arial" w:eastAsia="Arial" w:hAnsi="Arial"/>
          <w:b w:val="false"/>
          <w:bCs w:val="false"/>
          <w:sz w:val="21"/>
          <w:szCs w:val="21"/>
        </w:rPr>
        <w:t xml:space="preserve">Lead with the software: free 3-month trial for first 20 beta firms (V1 strategy unchanged)</w:t>
      </w:r>
    </w:p>
    <w:p>
      <w:pPr>
        <w:pStyle w:val="ListParagraph"/>
        <w:numPr>
          <w:ilvl w:val="0"/>
          <w:numId w:val="2"/>
        </w:numPr>
        <w:spacing w:after="100"/>
      </w:pPr>
      <w:r>
        <w:rPr>
          <w:rFonts w:ascii="Arial" w:cs="Arial" w:eastAsia="Arial" w:hAnsi="Arial"/>
          <w:b w:val="false"/>
          <w:bCs w:val="false"/>
          <w:sz w:val="21"/>
          <w:szCs w:val="21"/>
        </w:rPr>
        <w:t xml:space="preserve">Marketplace access is included at Tier 2+ — demand-side comes in through the software door</w:t>
      </w:r>
    </w:p>
    <w:p>
      <w:pPr>
        <w:pStyle w:val="ListParagraph"/>
        <w:numPr>
          <w:ilvl w:val="0"/>
          <w:numId w:val="2"/>
        </w:numPr>
        <w:spacing w:after="100"/>
      </w:pPr>
      <w:r>
        <w:rPr>
          <w:rFonts w:ascii="Arial" w:cs="Arial" w:eastAsia="Arial" w:hAnsi="Arial"/>
          <w:b w:val="false"/>
          <w:bCs w:val="false"/>
          <w:sz w:val="21"/>
          <w:szCs w:val="21"/>
        </w:rPr>
        <w:t xml:space="preserve">Network effect kicks in at ~200 active users: enough marketplace data to be meaningfully better than CoStar</w:t>
      </w:r>
    </w:p>
    <w:p>
      <w:pPr>
        <w:spacing w:after="140"/>
      </w:pPr>
      <w:r>
        <w:t xml:space="preserve"/>
      </w:r>
    </w:p>
    <w:p>
      <w:pPr>
        <w:pStyle w:val="Heading2"/>
        <w:spacing w:after="180" w:before="320"/>
      </w:pPr>
      <w:r>
        <w:rPr>
          <w:rFonts w:ascii="Arial" w:cs="Arial" w:eastAsia="Arial" w:hAnsi="Arial"/>
          <w:b/>
          <w:bCs/>
          <w:color w:val="2E75B6"/>
          <w:sz w:val="27"/>
          <w:szCs w:val="27"/>
        </w:rPr>
        <w:t xml:space="preserve">7.3  The Argus Migration Play</w:t>
      </w:r>
    </w:p>
    <w:p>
      <w:pPr>
        <w:pStyle w:val="ListParagraph"/>
        <w:numPr>
          <w:ilvl w:val="0"/>
          <w:numId w:val="2"/>
        </w:numPr>
        <w:spacing w:after="100"/>
      </w:pPr>
      <w:r>
        <w:rPr>
          <w:rFonts w:ascii="Arial" w:cs="Arial" w:eastAsia="Arial" w:hAnsi="Arial"/>
          <w:b w:val="false"/>
          <w:bCs w:val="false"/>
          <w:sz w:val="21"/>
          <w:szCs w:val="21"/>
        </w:rPr>
        <w:t xml:space="preserve">.AE file import is the zero-friction on-ramp — users bring their existing models in one click</w:t>
      </w:r>
    </w:p>
    <w:p>
      <w:pPr>
        <w:pStyle w:val="ListParagraph"/>
        <w:numPr>
          <w:ilvl w:val="0"/>
          <w:numId w:val="2"/>
        </w:numPr>
        <w:spacing w:after="100"/>
      </w:pPr>
      <w:r>
        <w:rPr>
          <w:rFonts w:ascii="Arial" w:cs="Arial" w:eastAsia="Arial" w:hAnsi="Arial"/>
          <w:b w:val="false"/>
          <w:bCs w:val="false"/>
          <w:sz w:val="21"/>
          <w:szCs w:val="21"/>
        </w:rPr>
        <w:t xml:space="preserve">First 30 days: side-by-side validation — NEXUS produces identical outputs to Argus with AI enhancements</w:t>
      </w:r>
    </w:p>
    <w:p>
      <w:pPr>
        <w:pStyle w:val="ListParagraph"/>
        <w:numPr>
          <w:ilvl w:val="0"/>
          <w:numId w:val="2"/>
        </w:numPr>
        <w:spacing w:after="100"/>
      </w:pPr>
      <w:r>
        <w:rPr>
          <w:rFonts w:ascii="Arial" w:cs="Arial" w:eastAsia="Arial" w:hAnsi="Arial"/>
          <w:b w:val="false"/>
          <w:bCs w:val="false"/>
          <w:sz w:val="21"/>
          <w:szCs w:val="21"/>
        </w:rPr>
        <w:t xml:space="preserve">Day 31: marketplace comps auto-populate assumptions — no more manual CoStar lookups</w:t>
      </w:r>
    </w:p>
    <w:p>
      <w:pPr>
        <w:pStyle w:val="ListParagraph"/>
        <w:numPr>
          <w:ilvl w:val="0"/>
          <w:numId w:val="2"/>
        </w:numPr>
        <w:spacing w:after="100"/>
      </w:pPr>
      <w:r>
        <w:rPr>
          <w:rFonts w:ascii="Arial" w:cs="Arial" w:eastAsia="Arial" w:hAnsi="Arial"/>
          <w:b w:val="false"/>
          <w:bCs w:val="false"/>
          <w:sz w:val="21"/>
          <w:szCs w:val="21"/>
        </w:rPr>
        <w:t xml:space="preserve">Day 60: BFT audit trail attached to every output — LP/lender trust argument is now self-evident</w:t>
      </w:r>
    </w:p>
    <w:p>
      <w:pPr>
        <w:pStyle w:val="ListParagraph"/>
        <w:numPr>
          <w:ilvl w:val="0"/>
          <w:numId w:val="2"/>
        </w:numPr>
        <w:spacing w:after="100"/>
      </w:pPr>
      <w:r>
        <w:rPr>
          <w:rFonts w:ascii="Arial" w:cs="Arial" w:eastAsia="Arial" w:hAnsi="Arial"/>
          <w:b w:val="false"/>
          <w:bCs w:val="false"/>
          <w:sz w:val="21"/>
          <w:szCs w:val="21"/>
        </w:rPr>
        <w:t xml:space="preserve">Day 90: user has never gone back to Argus — switching cost is now psychological, not technical</w:t>
      </w:r>
    </w:p>
    <w:p>
      <w:pPr>
        <w:spacing w:after="140"/>
      </w:pPr>
      <w:r>
        <w:t xml:space="preserve"/>
      </w:r>
    </w:p>
    <w:p>
      <w:pPr>
        <w:spacing w:after="120" w:before="600"/>
        <w:jc w:val="center"/>
      </w:pPr>
      <w:r>
        <w:rPr>
          <w:rFonts w:ascii="Arial" w:cs="Arial" w:eastAsia="Arial" w:hAnsi="Arial"/>
          <w:i/>
          <w:iCs/>
          <w:color w:val="999999"/>
          <w:sz w:val="17"/>
          <w:szCs w:val="17"/>
        </w:rPr>
        <w:t xml:space="preserve">— END OF DOCUMENT —</w:t>
      </w:r>
    </w:p>
    <w:p>
      <w:pPr>
        <w:spacing w:after="0"/>
        <w:jc w:val="center"/>
      </w:pPr>
      <w:r>
        <w:rPr>
          <w:rFonts w:ascii="Arial" w:cs="Arial" w:eastAsia="Arial" w:hAnsi="Arial"/>
          <w:color w:val="AAAAAA"/>
          <w:sz w:val="15"/>
          <w:szCs w:val="15"/>
        </w:rPr>
        <w:t xml:space="preserve">NEXUS CRE Intelligence v2.0  ·  HyperDAG Protocol  ·  AI Trinity Symphony  ·  Confidential  ·  March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NEXUS CRE Intelligence v2.0 — Confidential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8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2026-03-08T23:08:38.252Z</dcterms:created>
  <dcterms:modified xsi:type="dcterms:W3CDTF">2026-03-08T23:08:38.253Z</dcterms:modified>
</cp:coreProperties>
</file>

<file path=docProps/custom.xml><?xml version="1.0" encoding="utf-8"?>
<Properties xmlns="http://schemas.openxmlformats.org/officeDocument/2006/custom-properties" xmlns:vt="http://schemas.openxmlformats.org/officeDocument/2006/docPropsVTypes"/>
</file>