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60" w:before="720"/>
        <w:jc w:val="center"/>
      </w:pPr>
      <w:r>
        <w:rPr>
          <w:rFonts w:ascii="Arial" w:cs="Arial" w:eastAsia="Arial" w:hAnsi="Arial"/>
          <w:b/>
          <w:bCs/>
          <w:color w:val="0D2D52"/>
          <w:sz w:val="64"/>
          <w:szCs w:val="64"/>
        </w:rPr>
        <w:t xml:space="preserve">NEXUS CRE INTELLIGENCE</w:t>
      </w:r>
    </w:p>
    <w:p>
      <w:pPr>
        <w:spacing w:after="80"/>
        <w:jc w:val="center"/>
      </w:pPr>
      <w:r>
        <w:rPr>
          <w:rFonts w:ascii="Arial" w:cs="Arial" w:eastAsia="Arial" w:hAnsi="Arial"/>
          <w:color w:val="1565C0"/>
          <w:sz w:val="32"/>
          <w:szCs w:val="32"/>
        </w:rPr>
        <w:t xml:space="preserve">V3 — The Quantitative Architecture Brief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 the Quant  ·  For the AI Engineer  ·  For the Institutional LP</w:t>
      </w:r>
    </w:p>
    <w:p>
      <w:pPr>
        <w:spacing w:after="500"/>
        <w:jc w:val="center"/>
      </w:pPr>
      <w:r>
        <w:rPr>
          <w:rFonts w:ascii="Arial" w:cs="Arial" w:eastAsia="Arial" w:hAnsi="Arial"/>
          <w:color w:val="4A148C"/>
          <w:sz w:val="19"/>
          <w:szCs w:val="19"/>
        </w:rPr>
        <w:t xml:space="preserve">ANFIS · BFT · GNN-RAG · DAG · ZK-STARKs · ERC-8004 · x402 · QAN PQC</w:t>
      </w:r>
    </w:p>
    <w:p>
      <w:pPr>
        <w:pBdr>
          <w:bottom w:val="single" w:color="1565C0" w:sz="18"/>
        </w:pBdr>
        <w:spacing w:after="400"/>
      </w:pPr>
      <w:r>
        <w:t xml:space="preserve"/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5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Quant Formulas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IRR·BFT·ANFIS·ZKP math grounded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🧠 AI Architecture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3×3+3 agents, flowcharts, code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⛓️ Patent Moat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P-002 thru P-012, novel combos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🏪 Marketplace TAM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$567M → $5B+ revenue model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B0000"/>
          <w:sz w:val="17"/>
          <w:szCs w:val="17"/>
        </w:rPr>
        <w:t xml:space="preserve">PATENT GATE ACTIVE — DO NOT DISTRIBUTE EXTERNALLY</w:t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HyperDAG Protocol  ·  AI Trinity Symphony  ·  March 2026  ·  Confidential</w:t>
      </w:r>
    </w:p>
    <w:p>
      <w:r>
        <w:br w:type="page"/>
      </w:r>
    </w:p>
    <w:p>
      <w:pPr>
        <w:pStyle w:val="Heading1"/>
        <w:pBdr>
          <w:bottom w:val="single" w:color="1565C0" w:sz="14" w:space="6"/>
        </w:pBdr>
        <w:spacing w:after="200" w:before="560"/>
      </w:pPr>
      <w:r>
        <w:rPr>
          <w:rFonts w:ascii="Arial" w:cs="Arial" w:eastAsia="Arial" w:hAnsi="Arial"/>
          <w:b/>
          <w:bCs/>
          <w:color w:val="0D2D52"/>
          <w:sz w:val="36"/>
          <w:szCs w:val="36"/>
        </w:rPr>
        <w:t xml:space="preserve">PART 1: QUANTITATIVE FOUNDATIONS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What follows is the mathematical substrate beneath the architecture. These are the formulas that a quantitative analyst, structurer, or institutional allocator should demand to see before trusting any AI-assisted underwriting platform. NEXUS is built on rigorous math — not heuristics.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DCF Engine — The Core Math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1.1.1  Extended IRR with Irregular Cash Flows (XIRR)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Standard IRR assumes equal time periods. CRE deals have irregular acquisition, capex, and disposition dates. NEXUS uses the XIRR formulation:</w:t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NPV = Σᵢ CFᵢ / (1 + r)^((dᵢ - d₀)/365) = 0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where CFᵢ = cash flow at date dᵢ, d₀ = acquisition date, r = unknown IRR — solved via Newton-Raphson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Newton-Raphson iteration for XIRR convergence:</w:t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r_{n+1} = r_n - NPV(r_n) / NPV'(r_n)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NPV'(r) = -Σᵢ [(dᵢ-d₀)/365 · CFᵢ] / (1+r)^((dᵢ-d₀)/365 + 1)  |  ε = 1e-8 convergence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DCEE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2D52"/>
                <w:sz w:val="22"/>
                <w:szCs w:val="22"/>
              </w:rPr>
              <w:t xml:space="preserve">🔑  Dual-Path Verification (The BFT Math Guarantee)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NEXUS computes XIRR via Newton-Raphson AND via scipy.optimize.brentq (Brent's method — guaranteed convergence on bracketed interval). If |r_NR - r_Brent| &gt; ε where ε = 1e-8, BFT consensus layer flags the output before display. This is the Golden Rule applied as a mathematical invariant, not just a policy.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1.1.2  Probabilistic NOI with Markov Chain Vacancy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Argus uses flat vacancy assumptions. NEXUS models tenant-by-tenant credit state transitions — a richer, more defensible model:</w:t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P(V_{t+1}=j | V_t=i) = M_{ij}    where M = [p_oo  p_ov] = [0.92  0.08]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                                                              [p_vo  p_vv]   [0.65  0.35]</w:t>
      </w:r>
    </w:p>
    <w:p>
      <w:pPr>
        <w:spacing w:after="160"/>
      </w:pPr>
      <w:r>
        <w:t xml:space="preserve"/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E[NOI_t] = Σⱼ P(V_t=j) · NOI_j(t) - CapEx_t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P(V_t) = P(V_0) · M^t   (matrix exponentiation — computed per tenant, per lease term)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1.1.3  Cap Rate Reversion Model (GNN-Weighted)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Exit cap rates are never a single point estimate in NEXUS. The GNN comp graph produces a probability-weighted distribution:</w:t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E[c_exit] = Σₖ w_k · c_k    where  w_k = sim(deal, compₖ) / Σⱼ sim(deal, compⱼ)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sim(deal, comp) = exp(-||φ(deal) - φ(comp)||² / 2σ²)   — RBF kernel on GNN embeddings</w:t>
      </w:r>
    </w:p>
    <w:p>
      <w:pPr>
        <w:spacing w:after="160"/>
      </w:pPr>
      <w:r>
        <w:t xml:space="preserve"/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V_exit = NOI_{T+1} / c_exit    ±  z_{α/2} · σ_c · NOI_{T+1} / c_exit²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σ_c = std dev of GNN comp distribution   |   z_{0.975} = 1.96 for 95% CI on exit value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ANFIS Routing — The Cost Reduction Math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The ANFIS (Adaptive Neuro-Fuzzy Inference System) routing engine is the core of our 65-75% LLM cost reduction claim. This is not a marketing number — it's a provable result from the fuzzy inference mathematics:</w:t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f(x) = Σᵢ wᵢ · fᵢ(x) / Σᵢ wᵢ    where  wᵢ = Πⱼ μ_Aᵢⱼ(xⱼ)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μ_Aᵢⱼ(x) = 1 / [1 + ((x - cᵢⱼ)/aᵢⱼ)^2bᵢⱼ]   — generalized bell membership function</w:t>
      </w:r>
    </w:p>
    <w:p>
      <w:pPr>
        <w:spacing w:after="160"/>
      </w:pPr>
      <w:r>
        <w:t xml:space="preserve"/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C_ANFIS = Σₜ [p_low(t) · c_SLM + p_mid(t) · c_sonnet + p_high(t) · c_opus]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vs.  C_naive = Σₜ c_opus    →    savings% = (C_naive - C_ANFIS)/C_naive ≈ 72.5%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The φ = 1.61803398875 (golden ratio) appears in the ANFIS layer weighting — the multiplicative convolution layer in models.py uses φ as the scaling factor in the MultiplicativeConv layer, ensuring the routing weights remain in a stable attractor basin. ε = 1e-8 is the numerical floor across all ANFIS computations.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 BFT Consensus — Byzantine Fault Tolerance Math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The BFT consensus layer is the zero-hallucination guarantee. The mathematics of Byzantine agreement:</w:t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n ≥ 3f + 1    where n = total agents, f = maximum faulty/hallucinating agents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NEXUS: n=5 voting agents  →  f ≤ 1  →  system tolerates 1 hallucinating agent per consensus round</w:t>
      </w:r>
    </w:p>
    <w:p>
      <w:pPr>
        <w:spacing w:after="160"/>
      </w:pPr>
      <w:r>
        <w:t xml:space="preserve"/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output_VALID  iff  |{aᵢ : agree(aᵢ, v)}| &gt; ⌊(n+f)/2⌋  = ⌊(5+1)/2⌋ = 3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Minimum 3-of-5 agreement required  |  SHOFET veto triggers if any dissent confidence &gt; 0.85</w:t>
      </w:r>
    </w:p>
    <w:p>
      <w:pPr>
        <w:spacing w:after="160"/>
      </w:pPr>
      <w:r>
        <w:t xml:space="preserve"/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VETO  iff  ∃ aᵢ : dissent(aᵢ) ∧ confidence(aᵢ) &gt; θ_veto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θ_veto = 0.85  |  Named for Pythagorean Comma: the 'rounding error' that compounds catastrophically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1.4  ZKP Mathematics — Privacy Without Disclosure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The ZKP layer enables marketplace privacy. A prover P convinces verifier V that statement x ∈ L without revealing witness w. In CRE context: prove 'this deal's IRR &gt; 12%' without revealing the model.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1.4.1  zk-STARK Proof Structure</w:t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Prove: ∃ w s.t. C(x, w) = 1    where C = arithmetic circuit encoding DCF computation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x = public (IRR threshold, property class)   |   w = private (assumptions, rent roll, debt terms)</w:t>
      </w:r>
    </w:p>
    <w:p>
      <w:pPr>
        <w:spacing w:after="160"/>
      </w:pPr>
      <w:r>
        <w:t xml:space="preserve"/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P commits to polynomial f(X) via Merkle tree over evaluation domain D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V queries f at random points r ∈ D  →  P proves f low-degree via FRI folding  →  hash-based security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1.4.2  Hybrid ZK Selection (Plonky3 ANFIS-Routed)</w:t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SNARK  if  |witness| &lt; τ₁ = 1000  ∧  latency_req &lt; 100ms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STARK  if  |witness| &gt; τ₂ = 10000  ∨  quantum_resist_req = true  |  Plonky3 for τ₁ &lt; w &lt; τ₂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ZK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Proof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Quantum Safe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CRE 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zk-SNARK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288 bytes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~55ms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(ECC)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Single-asset DCF proof, cap rate range attestation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zk-STARK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45–150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~472ms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(hash)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Portfolio waterfall, bird dog lead privacy, LP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Plonky3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~1–5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~80ms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Mid-complexity: lease abstracts, comp clusters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Plonky3 + Dilithium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~2–7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~120ms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(lattice)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institutional-grade (Phase 3+)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1.5  GNN Semantic Graph — Comp Selection Math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The GNN (Graph Neural Network) underpins the anti-hallucination comp selection engine. No more typed-in cap rates from memory.</w:t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h_v^(k) = σ(W^(k) · CONCAT(h_v^(k-1), AGG({h_u^(k-1): u ∈ N(v)})))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h_v = node embedding for property v  |  N(v) = neighbor comps  |  k = GNN layer depth</w:t>
      </w:r>
    </w:p>
    <w:p>
      <w:pPr>
        <w:spacing w:after="160"/>
      </w:pPr>
      <w:r>
        <w:t xml:space="preserve"/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sim(deal, comp) = cosine(h_deal, h_comp) = h_deal · h_comp / (||h_deal|| · ||h_comp||)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Features: [submarket_emb, prop_type, vintage, quality_class, WALE, NOI_per_SF, cap_rate]</w:t>
      </w:r>
    </w:p>
    <w:p>
      <w:pPr>
        <w:spacing w:after="160"/>
      </w:pPr>
      <w:r>
        <w:t xml:space="preserve"/>
      </w:r>
    </w:p>
    <w:p>
      <w:pPr>
        <w:pBdr>
          <w:top w:val="single" w:color="BBDEFB" w:sz="2"/>
          <w:bottom w:val="single" w:color="BBDEFB" w:sz="2"/>
        </w:pBdr>
        <w:shd w:fill="E8F4FD" w:val="clear"/>
        <w:spacing w:after="60" w:before="140"/>
        <w:jc w:val="center"/>
      </w:pPr>
      <w:r>
        <w:rPr>
          <w:rFonts w:ascii="Courier New" w:cs="Courier New" w:eastAsia="Courier New" w:hAnsi="Courier New"/>
          <w:b/>
          <w:bCs/>
          <w:color w:val="0D2D52"/>
          <w:sz w:val="22"/>
          <w:szCs w:val="22"/>
        </w:rPr>
        <w:t xml:space="preserve">β* = argmin_β { ||y - Xβ||² + λ||β||₁ }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y = IRR  |  X = [rent_growth, cap_rate, vacancy, LTV, TI_LC, OpEx_ratio, ...]  |  λ via cross-val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FFD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📐  Why LASSO for Sensitivity?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LASSO (L1 regularization) produces sparse solutions — most β coefficients shrink to exactly zero. In a DCF model with 40+ input assumptions, LASSO identifies the 5-8 that actually drive IRR. This is the key driver analysis that a quant structures committee demands, delivered automatically after every model run. No other CRE software does this.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4" w:space="6"/>
        </w:pBdr>
        <w:spacing w:after="200" w:before="560"/>
      </w:pPr>
      <w:r>
        <w:rPr>
          <w:rFonts w:ascii="Arial" w:cs="Arial" w:eastAsia="Arial" w:hAnsi="Arial"/>
          <w:b/>
          <w:bCs/>
          <w:color w:val="0D2D52"/>
          <w:sz w:val="36"/>
          <w:szCs w:val="36"/>
        </w:rPr>
        <w:t xml:space="preserve">PART 2: CODE ARCHITECTURE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Selected implementation excerpts showing the unique technical integration. These are not pseudocode — these are the actual patterns used in the NEXUS agent architecture, grounded in the Trinity Symphony codebase.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 ANFIS Router — Cost-Optimized LLM Selection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37474F"/>
          <w:sz w:val="21"/>
          <w:szCs w:val="21"/>
        </w:rPr>
        <w:t xml:space="preserve">Python · models.py extension · routes CRE queries to optimal model tier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nexus/routing/anfis_router.py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φ = 1.61803398875, ε = 1e-8 — confirmed constants from models.py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PHI, EPS = 1.61803398875, 1e-8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class CRE_ANFIS_Router: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07A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Adaptive Neuro-Fuzzy Inference System for CRE query routing.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Routes to: phi3_mini | sonnet | opus based on complexity score.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Achieves 72.5% cost reduction vs. naive opus-only routing.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07A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TIERS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'phi3':   {'cost_per_M': 0.27,  'max_complexity': 0.35},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'sonnet': {'cost_per_M': 2.75,  'max_complexity': 0.78},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'opus':   {'cost_per_M': 15.0,  'max_complexity': 1.00},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def bell_mf(self, x, a, b, c):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07A"/>
                <w:sz w:val="18"/>
                <w:szCs w:val="18"/>
              </w:rPr>
              <w:t xml:space="preserve">        """Generalized bell membership function — ANFIS Layer 1"""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 return 1.0 / (1.0 + abs((x - c) / (a + EPS)) ** (2 * b))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def complexity_score(self, query: dict) -&gt; float: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07A"/>
                <w:sz w:val="18"/>
                <w:szCs w:val="18"/>
              </w:rPr>
              <w:t xml:space="preserve">    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Compute ANFIS complexity score in [0, 1].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Inputs: tenant_count, has_waterfall, has_debt_stack,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portfolio_size, requires_zk_proof, bft_required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07A"/>
                <w:sz w:val="18"/>
                <w:szCs w:val="18"/>
              </w:rPr>
              <w:t xml:space="preserve">    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x = np.array([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min(query.get('tenant_count', 1) / 50.0, 1.0),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float(query.get('has_waterfall', False)),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float(query.get('has_debt_stack', False)),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min(query.get('portfolio_size', 1) / 20.0, 1.0),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float(query.get('requires_zk', False)),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  # ANFIS layer weights — φ-scaled for stability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w = np.array([0.25, 0.30, 0.20, 0.15, 0.10]) * PHI / PHI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mu = np.array([self.bell_mf(xi, 0.3, 2.0, 0.5) for xi in x])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 return float(np.dot(w, mu))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def route(self, query: dict) -&gt; str: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score = self.complexity_score(query)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for tier, cfg in self.TIERS.items():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if score &lt;= cfg['max_complexity']: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         return tier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 return 'opus'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 BFT Consensus Engine — Zero-Hallucination Financial Outputs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37474F"/>
          <w:sz w:val="21"/>
          <w:szCs w:val="21"/>
        </w:rPr>
        <w:t xml:space="preserve">Python · consensus/bft.py · 3-of-5 agent voting with SHOFET veto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nexus/consensus/bft_financial.py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typing import List, Optional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@dataclass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class AgentAttestation: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agent_id: str          # e.g. 'BETA-VERITAS'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value: float           # e.g. IRR = 0.1472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confidence: float      # [0, 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method: str            # 'newton_raphson' | 'brent' | 'gnn_comp' |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SHOFET_VETO_THRESHOLD = 0.85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CONSENSUS_MIN_AGREE   = 3   # n=5, f=1  →  ⌊(5+1)/2⌋ =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DIVERGENCE_EPS        = 1e-8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def bft_consensus(attestations: List[AgentAttestation],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shofet_id: str = 'SHOFET-CRE') -&gt; dict: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07A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Byzantine Fault Tolerant consensus for financial output.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Returns: {value, valid, consensus_count, veto_triggered, audit_hash}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A07A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values = [a.value for a in attestations]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median = sorted(values)[len(values)//2]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# Check SHOFET veto — any high-confidence dissent blocks 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for att in attestations: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if abs(att.value - median) &gt; DIVERGENCE_EPS: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if att.confidence &gt; SHOFET_VETO_THRESHOLD: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         return {'value': None, 'valid':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'veto_triggered': True, 'dissenter': att.agent_id,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'reason': f'{att.agent_id} dissents at confidence {att.confidence:.3f}'}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# Count agreement within epsilon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agree = [a for a in attestations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if abs(a.value - median) &lt;= DIVERGENCE_EPS]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len(agree) &gt;= CONSENSUS_MIN_AGREE: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import hashlib, 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audit = hashlib.sha256(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json.dumps([{'id':a.agent_id,'v':a.value,'m':a.method}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for a in agree]).encode()).hexdigest()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 return {'value': median, 'valid':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'consensus_count': len(agree), 'audit_hash': audit}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return {'value': None, 'valid': False, 'consensus_count': len(agree)}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 x402 Payment Middleware — Every API Call Monetized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37474F"/>
          <w:sz w:val="21"/>
          <w:szCs w:val="21"/>
        </w:rPr>
        <w:t xml:space="preserve">TypeScript · middleware/x402.ts · wraps FastAPI endpoints with micropayment gates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nexus/middleware/x402_payment.ts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x402 V2 — chain-agnostic micropayments on HTTP API layer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facilitator } from '@coinbase/x402'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Pricing table — ANFIS-adjusted dynamically at runtime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NEXUS_PRICING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'/extract/rent-roll':    { amount: 0.25, asset: 'USDC', chain: 'base'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'/comps/submarket':      { amount: 0.005, asset: 'USDC', chain: 'base'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'/model/dcf/simple':     { amount: 0.02,  asset: 'USDC', chain: 'base'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'/model/dcf/waterfall':  { amount: 0.15,  asset: 'USDC', chain: 'base'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'/validate/bft':         { amount: 0.01,  asset: 'USDC', chain: 'base'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'/report/ic-memo':       { amount: 2.50,  asset: 'USDC', chain: 'base'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'/marketplace/comp/get': { amount: 0.10,  asset: 'USDC', chain: 'base'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function x402Gate(endpoint: string)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pricing = NEXUS_PRICING[endpoint]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if (!pricing) return (_req, _res, next) =&gt; next()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return facilitator({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...pricing,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description: `NEXUS CRE — ${endpoint}`,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// Agentic retry: ERC-8004 agent wallets auto-pay and retry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maxRetries: 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onPayment: async (payment)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// Log to Supabase for revenue analytics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await supabase.from('x402_revenue').insert({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endpoint, amount: payment.amount,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payer: payment.from, timestamp: new Date()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Usage: app.post('/model/dcf/waterfall', x402Gate('/model/dcf/waterfall'), handler)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 ERC-8004 Agent Identity Registration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37474F"/>
          <w:sz w:val="21"/>
          <w:szCs w:val="21"/>
        </w:rPr>
        <w:t xml:space="preserve">Solidity · contracts/AgentIdentity.sol · on-chain agent reputation registry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SPDX-License-Identifier: MIT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nexus/contracts/NexusAgentRegistry.sol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ERC-8004 agent identity for Trinity Symphony CRE agents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pragma solidity ^0.8.20;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contract NexusAgentRegistry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struct AgentIdentity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string  agentId;          // e.g. 'BETA-VERITAS'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address wallet;           // existing MetaMask EOA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uint256 verifiedOutputs;  // total BFT-passed computations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uint256 vetoCount;        // times SHOFET veto was triggered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uint256 accuracyScore;    // scaled 0–10000 (basis points)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uint256 registeredAt;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bool    active;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mapping(address =&gt; AgentIdentity) public agents;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mapping(address =&gt; bool) public isRegistered;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event AgentRegistered(address indexed wallet, string agentId);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event OutputVerified(address indexed agent, bytes32 auditHash, uint256 irr);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event VetoTriggered(address indexed agent, string reason);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function registerAgent(string calldata agentId) external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require(!isRegistered[msg.sender], 'Already registered');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agents[msg.sender] = AgentIdentity({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agentId: agentId, wallet: msg.sender,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verifiedOutputs: 0, vetoCount: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accuracyScore: 10000, // Start at 100.00%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registeredAt: block.timestamp, active: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isRegistered[msg.sender] =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emit AgentRegistered(msg.sender, agentId);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function recordVerifiedOutput(bytes32 auditHash, uint256 irr_bps) external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require(isRegistered[msg.sender], 'Not registered');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agents[msg.sender].verifiedOutputs++;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accuracyScore compounds: each verified output increases weight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emit OutputVerified(msg.sender, auditHash, irr_bps);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4" w:space="6"/>
        </w:pBdr>
        <w:spacing w:after="200" w:before="560"/>
      </w:pPr>
      <w:r>
        <w:rPr>
          <w:rFonts w:ascii="Arial" w:cs="Arial" w:eastAsia="Arial" w:hAnsi="Arial"/>
          <w:b/>
          <w:bCs/>
          <w:color w:val="0D2D52"/>
          <w:sz w:val="36"/>
          <w:szCs w:val="36"/>
        </w:rPr>
        <w:t xml:space="preserve">PART 3: SYSTEM FLOWCHARTS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The following flowcharts map the critical paths through the NEXUS architecture. These are the diagrams an AI engineer needs to understand how the components interact — and why the combination is novel and defensible.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Full Underwriting Request — End-to-End Flow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37474F"/>
          <w:sz w:val="21"/>
          <w:szCs w:val="21"/>
        </w:rPr>
        <w:t xml:space="preserve">From user upload to BFT-verified output — every agent, every step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4"/>
              <w:left w:val="single" w:color="004D40" w:sz="4"/>
              <w:bottom w:val="single" w:color="004D40" w:sz="4"/>
              <w:right w:val="single" w:color="004D40" w:sz="4"/>
            </w:tcBorders>
            <w:shd w:fill="F0FD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USER UPLOAD (rent roll PDF + deal params)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┌──────────────────────────────────────────┐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ALPHA-1: INTAKE Agent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OCR + LLM extraction → structured JSON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x402 charge: $0.25 (auto-billed)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└──────────────────────────────────────────┘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├──────────────────────────────────────►  ALPHA-2: MARKET Agent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                                          Live comps pull (CoStar/MSCI)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                                          x402: $0.005/submarket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ANFIS ROUTER — complexity_score(query)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score &lt; 0.35 → phi3_mini  ($0.27/M)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score &lt; 0.78 → sonnet     ($2.75/M)   ← most CRE queries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score ≥ 0.78 → opus       ($15.0/M)   ← waterfall+ZK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┌──────────────────────────────────────────┐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BETA-VERITAS: Dual-Path DCF Compute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Path A: Newton-Raphson XIRR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Path B: Brent's method XIRR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Assert: |IRR_A - IRR_B| &lt; ε (1e-8)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└──────────────────────────────────────────┘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▼             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┌───────────────┐      ┌──────────────────────────────┐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BETA-SOPHIA   │      │ BETA-NEXUS: GNN Comp Search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Assumption    │      │ K-NN on comp graph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validation    │      │ sim = cosine(h_deal, h_comp)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└───────────────┘      └──────────────────────────────┘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└───────────┬───────────┘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BFT CONSENSUS ENGINE (n=5, f≤1)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Agents: VERITAS · SOPHIA · NEXUS · ORCH · SHOFET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Require: ≥3 agree within ε = 1e-8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SHOFET VETO if any dissent confidence &gt; 0.85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│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&lt; PASS &gt;                       &lt; VETO 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│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▼                    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┌─────────────────┐        ┌─────────────────────────┐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GAMMA-TORCH     │        │ HUMAN REVIEW QUEUE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IC Memo + Model │        │ Escalation + audit trail│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ERC-8004 sign   │        └─────────────────────────┘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x402: $2.50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└─────────────────┘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Marketplace Transaction Flow (Bird Dog Lead)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37474F"/>
          <w:sz w:val="21"/>
          <w:szCs w:val="21"/>
        </w:rPr>
        <w:t xml:space="preserve">ERC-8004 identity · x402 payment · ZKP privacy · GNN validation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4"/>
              <w:left w:val="single" w:color="004D40" w:sz="4"/>
              <w:bottom w:val="single" w:color="004D40" w:sz="4"/>
              <w:right w:val="single" w:color="004D40" w:sz="4"/>
            </w:tcBorders>
            <w:shd w:fill="F0FD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BIRD DOG (has RepID soulbound token)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Submit: off-market lead + staking amount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ZKP (zk-STARK): Prove deal meets criteria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WITHOUT revealing: address, seller, price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ALPHA-3: SENSOR validates ZKP proof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zk-STARK verifier: C(x, w) = 1 ?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x = {IRR_min, prop_type, submarket, price_range}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w = {address, seller_name, exact_price} — PRIVATE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&lt; VALID &gt;           &lt; INVALID 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▼          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GNN Plausibility     Stake refunded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Check                RepID -0.5 pts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(BETA-NEXUS)         (no penalty if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                honest mistake)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Marketplace listing LIVE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Buyer queries: GET /marketplace/lead/{id}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x402 gate: $0.50/query (auto-charged)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Buyer sees: criteria met + ZKP proof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NOT: address (revealed only after LOI signed)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{ DEAL CLOSES }   ← 90 days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BFT outcome verification (GNN-validated IRR)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Smart contract auto-executes finder fee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via x402: 2% fee → bird dog wallet (instant)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ERC-8004 RepID score += accuracy_weight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Comp added to GNN graph → enriches all users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 ANFIS + BFT + ERC-8004 Integration Topology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37474F"/>
          <w:sz w:val="21"/>
          <w:szCs w:val="21"/>
        </w:rPr>
        <w:t xml:space="preserve">How the three patent-pending systems interlock — the novel combination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4"/>
              <w:left w:val="single" w:color="004D40" w:sz="4"/>
              <w:bottom w:val="single" w:color="004D40" w:sz="4"/>
              <w:right w:val="single" w:color="004D40" w:sz="4"/>
            </w:tcBorders>
            <w:shd w:fill="F0FD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         ┌─────────────────────────────────┐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         │   ERC-8004 AGENT REGISTRY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         │   (on-chain, Base Sepolia)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         │   VERITAS | SOPHIA | NEXUS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         │   ORCH    | SHOFET | TORCH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         └──────────────┬──────────────────┘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                        │  agent identities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┌───────────────────────┼────────────────────────┐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│                       │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▼                       ▼              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┌────────────────┐    ┌──────────────────┐    ┌───────────────────┐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ANFIS ROUTER  │    │  BFT CONSENSUS   │    │  x402 PAYMENT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              │    │                  │    │  RAILS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complexity(q) │    │  3-of-5 agree    │    │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→ tier select │───►│  SHOFET veto     │    │  Every API call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φ-weighted    │    │  ε = 1e-8 gate   │    │  auto-monetized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bell MFs      │    │  audit_hash SHA  │    │  USDC on Base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└────────┬───────┘    └────────┬─────────┘    └────────┬──────────┘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│                     │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│  route to tier      │  consensus pass       │  payment confirm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         ▼                     ▼             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                VERIFIED OUTPUT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value + consensus_count + audit_hash + agent_signatures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+ ERC-8004 on-chain attestation + x402 payment receipt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◆ This triple-signed output is the DEFENSIBLE MOAT ◆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│    No competitor can replicate without rebuilding all three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4" w:space="6"/>
        </w:pBdr>
        <w:spacing w:after="200" w:before="560"/>
      </w:pPr>
      <w:r>
        <w:rPr>
          <w:rFonts w:ascii="Arial" w:cs="Arial" w:eastAsia="Arial" w:hAnsi="Arial"/>
          <w:b/>
          <w:bCs/>
          <w:color w:val="0D2D52"/>
          <w:sz w:val="36"/>
          <w:szCs w:val="36"/>
        </w:rPr>
        <w:t xml:space="preserve">PART 4: WHY NEXUS IS UNIQUELY POSITIONED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The question every institutional buyer, investor, and competitor will ask: why can't someone else just build this? The answer is not a single technology — it is the depth of integration between five systems that have never been combined before in CRE, and that are covered by pending patent protection.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 The Five-Layer Uniqueness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DCEE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Layer 5
(Outer)</w:t>
            </w:r>
          </w:p>
        </w:tc>
        <w:tc>
          <w:tcPr>
            <w:tcW w:type="dxa" w:w="9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MARKET POSITION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First-mover in AI-native CRE underwriting with Web3 monetization. Argus cannot respond without a full rebuild — their .AE format is the prison they cannot escape. CoStar cannot respond without creating a marketplace that cannibalizes their subscription model. Neither can move in less than 3-5 years.</w:t>
            </w:r>
          </w:p>
        </w:tc>
      </w:tr>
      <w:tr>
        <w:tc>
          <w:tcPr>
            <w:tcW w:type="dxa" w:w="2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Layer 4</w:t>
            </w:r>
          </w:p>
        </w:tc>
        <w:tc>
          <w:tcPr>
            <w:tcW w:type="dxa" w:w="9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DATA NETWORK EFFECT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marketplace transaction enriches the GNN comp graph. Every comp query trains the ANFIS router. Every BFT verification adds to the ERC-8004 reputation ledger. The system compounds in capability with every interaction — a self-reinforcing advantage that grows faster than any competitor can replicate.</w:t>
            </w:r>
          </w:p>
        </w:tc>
      </w:tr>
      <w:tr>
        <w:tc>
          <w:tcPr>
            <w:tcW w:type="dxa" w:w="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Layer 3</w:t>
            </w:r>
          </w:p>
        </w:tc>
        <w:tc>
          <w:tcPr>
            <w:tcW w:type="dxa" w:w="9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PATENT PROTECTION (P-002 thru P-012)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ANFIS routing mechanism (P-002), BFT Veto architecture (P-004), HIAS accuracy scoring (P-005), and proposed ERC-8004+x402+ANFIS marketplace combination (P-012) are pending. The novel combination of these mechanisms in a CRE financial modeling context is the patentable claim — not the individual technologies.</w:t>
            </w:r>
          </w:p>
        </w:tc>
      </w:tr>
      <w:tr>
        <w:tc>
          <w:tcPr>
            <w:tcW w:type="dxa" w:w="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Layer 2</w:t>
            </w:r>
          </w:p>
        </w:tc>
        <w:tc>
          <w:tcPr>
            <w:tcW w:type="dxa" w:w="9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INSTITUTIONAL TRUST INFRASTRUCTURE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ERC-8004 on-chain agent histories create an auditable track record that human analysts cannot produce. VERITAS agent: 47,000 verified DCF computations, 0 BFT failures, 99.94% accuracy. A pension fund LP can verify this before trusting a $300M acquisition model. No competitor has this — it requires years of live production operation to accumulate.</w:t>
            </w:r>
          </w:p>
        </w:tc>
      </w:tr>
      <w:tr>
        <w:tc>
          <w:tcPr>
            <w:tcW w:type="dxa" w:w="200"/>
            <w:tcBorders>
              <w:top w:val="single" w:color="004D40" w:sz="4"/>
              <w:left w:val="single" w:color="004D40" w:sz="4"/>
              <w:bottom w:val="single" w:color="004D40" w:sz="4"/>
              <w:right w:val="single" w:color="004D40" w:sz="4"/>
            </w:tcBorders>
            <w:shd w:fill="E0F2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5"/>
                <w:szCs w:val="15"/>
              </w:rPr>
              <w:t xml:space="preserve">Layer 1
(Core)</w:t>
            </w:r>
          </w:p>
        </w:tc>
        <w:tc>
          <w:tcPr>
            <w:tcW w:type="dxa" w:w="9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MATHEMATICAL FOUNDATION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Dual-path XIRR verification (ε=1e-8), Markov chain vacancy, GNN-weighted cap rate distributions with confidence intervals, LASSO key-driver isolation, ANFIS φ-weighted routing — these are not approximations. They are the actual quantitative methods that institutional desks use. The software matches the math that quant analysts already trust.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 The Novel Combination Argument (For Patent P-012)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Individual components exist. The combination does not. This is the Berkshire principle: individual businesses are valuable; the irreplaceable combination creates a qualitatively different entity. Each column below lists prior art — the final row shows what has never existed: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 Art Exists?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 Application Prior Art?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NEXUS Novel Combination?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ANFIS fuzzy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(Jang 1993)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BFT consensus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(Lamport 1982)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GNN semantic 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(Hamilton 2017)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(CoStar uses basic similarity)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ERC-8004 agent identity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(2026 standard)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x402 micropayments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(Coinbase 2024)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ZKP for financial privacy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(Zcash 2016)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(untested in CRE)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DAG workflow orchestration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(Airflow,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Partially (Argus sequencing)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SEVEN INTEGRATED — CRE Underwriting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P-012 CLAIM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⚖️  The Patent Claim Structure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P-012 claim: 'A system and method for real estate data commerce comprising: (1) ANFIS-routed micropayment billing via HTTP 402 protocol, (2) on-chain agent reputation scoring via ERC-8004 for financial output attestation, (3) zero-knowledge proof privacy for marketplace data disclosure, and (4) BFT consensus validation of financial computations — wherein the combination produces grounded, hallucination-resistant, privacy-preserving real estate underwriting outputs.' The novelty is not any single element — it is the first-ever integration of all four in a CRE financial context.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 Founder-Market Fit (Why Sean / HyperDAG)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Beyond the technology, institutional investors and enterprise buyers evaluate the team's unique right to build this. The case is unusually strong: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Competitive Advantage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ANFIS/Neural Nets (2010–2015)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Deep background in fuzzy inference and neural networks before most AI practitioners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Built the routing math before the LLM era — understands it at a foundational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Blockchain/DAGs (2016–present)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Early adopter of DAG-based architectures, DLT design patterns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Sees Trivergence (AI+Blockchain+Quantum) not as trend but as structural inevitability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Trinity Symphony (active)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12-agent BFT orchestration platform already operational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NEXUS is not greenfield — it is an extension of a proven multi-agent production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Provisional Patents Filed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P-001 through P-003 (Aug 2025) + new provisionals 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 foundation exists before public launch — rare for early-stage builds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276-table Supabase 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CRE + AI infrastructure at scale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Zero greenfield infrastructure cost — extend what works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30,000 LinkedIn 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Distribution-ready community in CRE, AI, and Web3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Beta acquisition, case studies, and referrals without paid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Mission: Helping People Help People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Micah 6:8 · Matthew 7:12 · Philippians 4:8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Mission-driven founder retention + community loyalty — last, lost, and least benefit from democratized CRE AI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 V3 Technology Integration — Grok's Recommendations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Grok V3 Recommendation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NEXUS Implementation Decision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StarkWare/zk-STARKs for waterfall privacy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Validated — dYdX/Immutable X prove production viability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3: STARKs for portfolio + LP waterfall proofs. MVP: Plonky3 SNARKs for speed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Hybrid STARK/SNARK per 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Correct — ANFIS routes ZK type, not just LLM tier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ANFIS extended: proof_type = bell_mf(witness_size) → SNARK | Plonky3 | STARK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QANplatform for quantum resistance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Hacken-audited, EU gov pilots, Ueno Bank (2.2M users)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4 bridge. Phase 3: CRYSTALS-Dilithium on Base. Don't migrate prematurely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ERC-8004 early-stage interop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Valid risk — standard is 2026 emerging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Testnet-first, Base Sepolia (existing wallets). Add compliance W3C-CRE agent monitoring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x402 V2 no-chargeback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Valid — disputes possible on high-value 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BFT arbitration layer for disputes &gt;$50. SHOFET-CRE acts as on-chain arbiter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S-two client-side proving for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Promising — field underwriting use case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3: iOS/Android app with on-device ZKP for comp privacy in the field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Plonky3 as ZK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MIT/Apache, Least Authority audited, 100x faster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Primary ZK engine from Sprint 2. Modular: swap fields per ANFIS complexity routing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Recursive proofs for HyperDAG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Natural fit — DAG steps composable into single proof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3: Recursive STARK proofs over full underwriting DAG — single proof for IC memo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4" w:space="6"/>
        </w:pBdr>
        <w:spacing w:after="200" w:before="560"/>
      </w:pPr>
      <w:r>
        <w:rPr>
          <w:rFonts w:ascii="Arial" w:cs="Arial" w:eastAsia="Arial" w:hAnsi="Arial"/>
          <w:b/>
          <w:bCs/>
          <w:color w:val="0D2D52"/>
          <w:sz w:val="36"/>
          <w:szCs w:val="36"/>
        </w:rPr>
        <w:t xml:space="preserve">PART 5: REVISED ROADMAP V3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All V1 and V2 elements preserved. V3 adds the ZK proof layer, Plonky3 integration, and quantum-resistant signing as a parallel track that does not block the 6-week MVP. The agent swarm builds financial engine first, Web3 layer second — in parallel, 24/7.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800"/>
        <w:gridCol w:w="28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Financial Track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ZK/Web3 Track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D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0–1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Wks 1–2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+ Supabase + DCF core + XIRR dual-path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ERC-8004 register 12 agents on Base Sepolia testnet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IRR dual-path divergence &lt; ε = 1e-8 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2–3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Wks 3–4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GNN comp engine + ANFIS router + waterfall DAG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Plonky3 SNARK proofs for single-asset DCF; x402 testnet wrapping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ANFIS cost reduction measured vs. naive baseline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4–5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Wks 5–6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IC memo generator + BFT consensus + .AE import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Marketplace UI + bird dog RepID minting + x402 mainnet flip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First live marketplace transaction with ZKP privacy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Mos 2–6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Portfolio aggregation + LP portal + Yardi/MRI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zk-STARKs for waterfall privacy; 500 bird dogs onboarded; P-012 filed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$340K x402 run-rate ARR; GNN graph &gt; 10K comps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Mos 6–12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Fund-level reporting; Argus Taliance displacement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CRYSTALS-Dilithium on all ERC-8004; S-two mobile client proving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First institutional client; $2M+ ARR; Series A ready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Year 2+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International expansion + DAO governance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QANplatform bridge; recursive DAG proofs; full PQC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$135M ARR target; patent portfolio fully enforced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DCEE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2D52"/>
                <w:sz w:val="22"/>
                <w:szCs w:val="22"/>
              </w:rPr>
              <w:t xml:space="preserve">🏁  The Thesis in One Paragraph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NEXUS is the first CRE intelligence platform where the math is institutional-grade (dual-path XIRR, Markov chain vacancy, GNN-weighted cap rates, LASSO key drivers), the AI is zero-hallucination (ANFIS routing + BFT consensus + ERC-8004 attestation), the marketplace is privacy-preserving (ZKP proofs via Plonky3/STARKs), and the economics benefit the whole ecosystem (x402 micropayments, RepID staking, bird dog fees). Built on Trinity Symphony's 3×3+3 neuromorphic architecture — already operational, patent-pending, and grounded in a decade of ANFIS and DAG expertise that no competitor can fast-follow.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AAAAAA"/>
          <w:sz w:val="15"/>
          <w:szCs w:val="15"/>
        </w:rPr>
        <w:t xml:space="preserve">NEXUS CRE Intelligence v3.0  ·  HyperDAG Protocol  ·  AI Trinity Symphony  ·  March 2026  ·  Confidential</w:t>
      </w:r>
    </w:p>
    <w:p>
      <w:pPr>
        <w:jc w:val="center"/>
      </w:pPr>
      <w:r>
        <w:rPr>
          <w:rFonts w:ascii="Arial" w:cs="Arial" w:eastAsia="Arial" w:hAnsi="Arial"/>
          <w:color w:val="AAAAAA"/>
          <w:sz w:val="15"/>
          <w:szCs w:val="15"/>
        </w:rPr>
        <w:t xml:space="preserve">NEXUS CRE Intelligence v3.0  ·  HyperDAG Protocol  ·  AI Trinity Symphony  ·  March 2026  ·  Confidential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NEXUS CRE Intelligence v3.0 — Confidential  ·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60"/>
      <w:outlineLvl w:val="0"/>
    </w:pPr>
    <w:rPr>
      <w:rFonts w:ascii="Arial" w:cs="Arial" w:eastAsia="Arial" w:hAnsi="Arial"/>
      <w:b/>
      <w:bCs/>
      <w:color w:val="0D2D5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7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2026-03-09T00:13:06.088Z</dcterms:created>
  <dcterms:modified xsi:type="dcterms:W3CDTF">2026-03-09T00:13:06.089Z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