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pPr>
      <w:r>
        <w:br/>
      </w:r>
    </w:p>
    <w:p>
      <w:pPr>
        <w:jc w:val="center"/>
      </w:pPr>
      <w:r>
        <w:rPr>
          <w:rFonts w:ascii="Arial" w:cs="Arial" w:eastAsia="Arial" w:hAnsi="Arial"/>
          <w:b/>
          <w:bCs/>
          <w:sz w:val="52"/>
          <w:szCs w:val="52"/>
        </w:rPr>
        <w:t xml:space="preserve">PATENT &amp; IP STRATEGY v2.0</w:t>
      </w:r>
    </w:p>
    <w:p>
      <w:pPr>
        <w:spacing w:after="80"/>
        <w:jc w:val="center"/>
      </w:pPr>
      <w:r>
        <w:rPr>
          <w:rFonts w:ascii="Arial" w:cs="Arial" w:eastAsia="Arial" w:hAnsi="Arial"/>
          <w:b/>
          <w:bCs/>
          <w:sz w:val="26"/>
          <w:szCs w:val="26"/>
        </w:rPr>
        <w:t xml:space="preserve">All Three Provisionals + Crypto Prognosticator Innovations + 2025-2026 USPTO Analysis</w:t>
      </w:r>
    </w:p>
    <w:p>
      <w:pPr>
        <w:spacing w:after="80"/>
        <w:jc w:val="center"/>
      </w:pPr>
      <w:r>
        <w:rPr>
          <w:rFonts w:ascii="Arial" w:cs="Arial" w:eastAsia="Arial" w:hAnsi="Arial"/>
          <w:sz w:val="22"/>
          <w:szCs w:val="22"/>
        </w:rPr>
        <w:t xml:space="preserve">AI Trinity Symphony  |  Multiplicative GNN  |  Question-Driven Reality Reorganization</w:t>
      </w:r>
    </w:p>
    <w:p>
      <w:pPr>
        <w:spacing w:after="240"/>
        <w:jc w:val="center"/>
      </w:pPr>
      <w:r>
        <w:rPr>
          <w:rFonts w:ascii="Arial" w:cs="Arial" w:eastAsia="Arial" w:hAnsi="Arial"/>
          <w:sz w:val="22"/>
          <w:szCs w:val="22"/>
        </w:rPr>
        <w:t xml:space="preserve">Crypto Prognosticator v3.1  |  HyperDAG Ecosystem</w:t>
      </w:r>
    </w:p>
    <w:p>
      <w:pPr>
        <w:spacing w:after="80"/>
        <w:jc w:val="center"/>
      </w:pPr>
      <w:r>
        <w:rPr>
          <w:rFonts w:ascii="Arial" w:cs="Arial" w:eastAsia="Arial" w:hAnsi="Arial"/>
          <w:sz w:val="20"/>
          <w:szCs w:val="20"/>
        </w:rPr>
        <w:t xml:space="preserve">Sean Patrick Goodwin  |  HyperDAG.org  |  March 2026</w:t>
      </w:r>
    </w:p>
    <w:p>
      <w:pPr>
        <w:spacing w:after="480"/>
        <w:jc w:val="center"/>
      </w:pPr>
      <w:r>
        <w:rPr>
          <w:rFonts w:ascii="Arial" w:cs="Arial" w:eastAsia="Arial" w:hAnsi="Arial"/>
          <w:sz w:val="20"/>
          <w:szCs w:val="20"/>
        </w:rPr>
        <w:t xml:space="preserve">"Janitor for Jesus"  |  Micah 6:8  |  CONFIDENTIAL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20"/>
              <w:left w:type="dxa" w:w="180"/>
              <w:bottom w:type="dxa" w:w="120"/>
              <w:right w:type="dxa" w:w="180"/>
            </w:tcMar>
          </w:tcPr>
          <w:p>
            <w:r>
              <w:rPr>
                <w:rFonts w:ascii="Arial" w:cs="Arial" w:eastAsia="Arial" w:hAnsi="Arial"/>
                <w:b/>
                <w:bCs/>
                <w:sz w:val="24"/>
                <w:szCs w:val="24"/>
              </w:rPr>
              <w:t xml:space="preserve">DISCLAIMER: </w:t>
            </w:r>
            <w:r>
              <w:rPr>
                <w:rFonts w:ascii="Arial" w:cs="Arial" w:eastAsia="Arial" w:hAnsi="Arial"/>
                <w:sz w:val="24"/>
                <w:szCs w:val="24"/>
              </w:rPr>
              <w:t xml:space="preserve">This is a strategic AI assessment, NOT legal advice. Consult a licensed patent attorney before filing. All novelty assessments require formal prior art searches.</w:t>
            </w:r>
          </w:p>
        </w:tc>
      </w:tr>
    </w:tbl>
    <w:p>
      <w:pPr>
        <w:spacing w:after="120"/>
      </w:pPr>
      <w:r>
        <w:rPr>
          <w:rFonts w:ascii="Arial" w:cs="Arial" w:eastAsia="Arial" w:hAnsi="Arial"/>
          <w:sz w:val="24"/>
          <w:szCs w:val="24"/>
        </w:rPr>
        <w:t xml:space="preserve"/>
      </w:r>
    </w:p>
    <w:p>
      <w:r>
        <w:br w:type="page"/>
      </w:r>
    </w:p>
    <w:p>
      <w:pPr>
        <w:pStyle w:val="Heading1"/>
      </w:pPr>
      <w:r>
        <w:rPr>
          <w:rFonts w:ascii="Arial" w:cs="Arial" w:eastAsia="Arial" w:hAnsi="Arial"/>
          <w:b/>
          <w:bCs/>
        </w:rPr>
        <w:t xml:space="preserve">Executive Summary: What Changed and What It Means</w:t>
      </w:r>
    </w:p>
    <w:p>
      <w:pPr>
        <w:spacing w:after="120"/>
      </w:pPr>
      <w:r>
        <w:rPr>
          <w:rFonts w:ascii="Arial" w:cs="Arial" w:eastAsia="Arial" w:hAnsi="Arial"/>
          <w:b/>
          <w:bCs/>
          <w:sz w:val="24"/>
          <w:szCs w:val="24"/>
        </w:rPr>
        <w:t xml:space="preserve">Three provisionals filed (not two). </w:t>
      </w:r>
      <w:r>
        <w:rPr>
          <w:rFonts w:ascii="Arial" w:cs="Arial" w:eastAsia="Arial" w:hAnsi="Arial"/>
          <w:sz w:val="24"/>
          <w:szCs w:val="24"/>
        </w:rPr>
        <w:t xml:space="preserve">This is the first analysis to fully incorporate all three: AI Trinity Symphony (8/6/2025), Multiplicative GNN (8/17/2025), and Question-Driven Reality Reorganization (8/21/2025). The third filing is already structured as a CIP referencing both parents—this was underweighted in all prior analysis and represents a significant strategic advantage.</w:t>
      </w:r>
    </w:p>
    <w:p>
      <w:pPr>
        <w:spacing w:after="120"/>
      </w:pPr>
      <w:r>
        <w:rPr>
          <w:rFonts w:ascii="Arial" w:cs="Arial" w:eastAsia="Arial" w:hAnsi="Arial"/>
          <w:sz w:val="24"/>
          <w:szCs w:val="24"/>
        </w:rPr>
        <w:t xml:space="preserve"/>
      </w:r>
    </w:p>
    <w:p>
      <w:pPr>
        <w:spacing w:after="120"/>
      </w:pPr>
      <w:r>
        <w:rPr>
          <w:rFonts w:ascii="Arial" w:cs="Arial" w:eastAsia="Arial" w:hAnsi="Arial"/>
          <w:b/>
          <w:bCs/>
          <w:sz w:val="24"/>
          <w:szCs w:val="24"/>
        </w:rPr>
        <w:t xml:space="preserve">The 2025-2026 USPTO environment is the most AI-patent-friendly in a decade. </w:t>
      </w:r>
      <w:r>
        <w:rPr>
          <w:rFonts w:ascii="Arial" w:cs="Arial" w:eastAsia="Arial" w:hAnsi="Arial"/>
          <w:sz w:val="24"/>
          <w:szCs w:val="24"/>
        </w:rPr>
        <w:t xml:space="preserve">Three major developments directly benefit this portfolio: (1) August 2025 memo instructing examiners NOT to reject AI claims as mental processes if they cannot be performed in the human mind; (2) Ex Parte Desjardins (September 2025, precedential) requiring examiners to evaluate claims at the specificity they are drafted, not at high abstraction; (3) December 2025 SMED guidance enabling applicants to submit expert declarations as eligibility evidence. All three benefit your portfolio if claims are drafted correctly.</w:t>
      </w:r>
    </w:p>
    <w:p>
      <w:pPr>
        <w:spacing w:after="120"/>
      </w:pPr>
      <w:r>
        <w:rPr>
          <w:rFonts w:ascii="Arial" w:cs="Arial" w:eastAsia="Arial" w:hAnsi="Arial"/>
          <w:sz w:val="24"/>
          <w:szCs w:val="24"/>
        </w:rPr>
        <w:t xml:space="preserve"/>
      </w:r>
    </w:p>
    <w:p>
      <w:pPr>
        <w:spacing w:after="120"/>
      </w:pPr>
      <w:r>
        <w:rPr>
          <w:rFonts w:ascii="Arial" w:cs="Arial" w:eastAsia="Arial" w:hAnsi="Arial"/>
          <w:b/>
          <w:bCs/>
          <w:sz w:val="24"/>
          <w:szCs w:val="24"/>
        </w:rPr>
        <w:t xml:space="preserve">Critical revision to Grok's recommendations: </w:t>
      </w:r>
      <w:r>
        <w:rPr>
          <w:rFonts w:ascii="Arial" w:cs="Arial" w:eastAsia="Arial" w:hAnsi="Arial"/>
          <w:sz w:val="24"/>
          <w:szCs w:val="24"/>
        </w:rPr>
        <w:t xml:space="preserve">Do NOT bundle P-003 through P-011 as CIPs into the first non-provisional conversions. This increases prosecution complexity, risks §112 written description rejections, and gives examiners more surface area to challenge. File the cleanest possible core claims for each non-provisional, then add CIPs for the newer innovations after the primary grants.</w:t>
      </w:r>
    </w:p>
    <w:p>
      <w:pPr>
        <w:spacing w:after="120"/>
      </w:pPr>
      <w:r>
        <w:rPr>
          <w:rFonts w:ascii="Arial" w:cs="Arial" w:eastAsia="Arial" w:hAnsi="Arial"/>
          <w:sz w:val="24"/>
          <w:szCs w:val="24"/>
        </w:rPr>
        <w:t xml:space="preserve"/>
      </w:r>
    </w:p>
    <w:p>
      <w:pPr>
        <w:spacing w:after="120"/>
      </w:pPr>
      <w:r>
        <w:rPr>
          <w:rFonts w:ascii="Arial" w:cs="Arial" w:eastAsia="Arial" w:hAnsi="Arial"/>
          <w:b/>
          <w:bCs/>
          <w:sz w:val="24"/>
          <w:szCs w:val="24"/>
        </w:rPr>
        <w:t xml:space="preserve">The single highest-probability sequence: </w:t>
      </w:r>
      <w:r>
        <w:rPr>
          <w:rFonts w:ascii="Arial" w:cs="Arial" w:eastAsia="Arial" w:hAnsi="Arial"/>
          <w:sz w:val="24"/>
          <w:szCs w:val="24"/>
        </w:rPr>
        <w:t xml:space="preserve">(1) File P-003 and P-004 as new provisionals THIS WEEK. (2) Convert P-002 (Multiplicative GNN) to non-provisional FIRST—strongest §101 case post-Desjardins. (3) Convert P-001 (Trinity Symphony) second—use P-002's pending status as cross-reference. (4) Convert P-003 QDR third—reframe claims away from consciousness/reality and onto ANFIS+RAG+Fuzzy Logic combination which has no prior art.</w:t>
      </w:r>
    </w:p>
    <w:p>
      <w:pPr>
        <w:spacing w:after="120"/>
      </w:pPr>
      <w:r>
        <w:rPr>
          <w:rFonts w:ascii="Arial" w:cs="Arial" w:eastAsia="Arial" w:hAnsi="Arial"/>
          <w:sz w:val="24"/>
          <w:szCs w:val="24"/>
        </w:rPr>
        <w:t xml:space="preserve"/>
      </w:r>
    </w:p>
    <w:p>
      <w:r>
        <w:br w:type="page"/>
      </w:r>
    </w:p>
    <w:p>
      <w:pPr>
        <w:pStyle w:val="Heading1"/>
      </w:pPr>
      <w:r>
        <w:rPr>
          <w:rFonts w:ascii="Arial" w:cs="Arial" w:eastAsia="Arial" w:hAnsi="Arial"/>
          <w:b/>
          <w:bCs/>
        </w:rPr>
        <w:t xml:space="preserve">The Three Filed Provisionals: Honest USPTO Assessment</w:t>
      </w:r>
    </w:p>
    <w:p>
      <w:pPr>
        <w:pStyle w:val="Heading2"/>
      </w:pPr>
      <w:r>
        <w:rPr>
          <w:rFonts w:ascii="Arial" w:cs="Arial" w:eastAsia="Arial" w:hAnsi="Arial"/>
          <w:b/>
          <w:bCs/>
        </w:rPr>
        <w:t xml:space="preserve">P-001: AI Trinity Symphony (Filed August 6, 2025)</w:t>
      </w:r>
    </w:p>
    <w:p>
      <w:pPr>
        <w:spacing w:after="120"/>
      </w:pPr>
      <w:r>
        <w:rPr>
          <w:rFonts w:ascii="Arial" w:cs="Arial" w:eastAsia="Arial" w:hAnsi="Arial"/>
          <w:b/>
          <w:bCs/>
          <w:sz w:val="24"/>
          <w:szCs w:val="24"/>
        </w:rPr>
        <w:t xml:space="preserve">Core innovation: </w:t>
      </w:r>
      <w:r>
        <w:rPr>
          <w:rFonts w:ascii="Arial" w:cs="Arial" w:eastAsia="Arial" w:hAnsi="Arial"/>
          <w:sz w:val="24"/>
          <w:szCs w:val="24"/>
        </w:rPr>
        <w:t xml:space="preserve">Multi-agent orchestration in trinity configuration integrating biological (slime mold, murmuration, fractal neural), physical (golden ratio, Fibonacci, chaos dynamics), and artistic (musical harmony, negative space, resonance) mathematical patterns. Documented: 82% cost reduction, 90% conflict elimination, 300-1000% collective intelligence amplification, Theory of Mind &gt;50% accuracy.</w:t>
      </w:r>
    </w:p>
    <w:p>
      <w:pPr>
        <w:spacing w:after="120"/>
      </w:pPr>
      <w:r>
        <w:rPr>
          <w:rFonts w:ascii="Arial" w:cs="Arial" w:eastAsia="Arial" w:hAnsi="Arial"/>
          <w:sz w:val="24"/>
          <w:szCs w:val="24"/>
        </w:rPr>
        <w:t xml:space="preserve"/>
      </w:r>
    </w:p>
    <w:p>
      <w:pPr>
        <w:spacing w:after="120"/>
      </w:pPr>
      <w:r>
        <w:rPr>
          <w:rFonts w:ascii="Arial" w:cs="Arial" w:eastAsia="Arial" w:hAnsi="Arial"/>
          <w:b/>
          <w:bCs/>
          <w:sz w:val="24"/>
          <w:szCs w:val="24"/>
        </w:rPr>
        <w:t xml:space="preserve">What USPTO will like: </w:t>
      </w:r>
    </w:p>
    <w:p>
      <w:pPr>
        <w:pStyle w:val="ListParagraph"/>
        <w:numPr>
          <w:ilvl w:val="0"/>
          <w:numId w:val="2"/>
        </w:numPr>
        <w:spacing w:after="80"/>
      </w:pPr>
      <w:r>
        <w:rPr>
          <w:rFonts w:ascii="Arial" w:cs="Arial" w:eastAsia="Arial" w:hAnsi="Arial"/>
          <w:sz w:val="24"/>
          <w:szCs w:val="24"/>
        </w:rPr>
        <w:t xml:space="preserve">Specific measurable outcomes (82%, 90%, 300-1000%) tied to real production deployments—§101 utility evidence</w:t>
      </w:r>
    </w:p>
    <w:p>
      <w:pPr>
        <w:pStyle w:val="ListParagraph"/>
        <w:numPr>
          <w:ilvl w:val="0"/>
          <w:numId w:val="2"/>
        </w:numPr>
        <w:spacing w:after="80"/>
      </w:pPr>
      <w:r>
        <w:rPr>
          <w:rFonts w:ascii="Arial" w:cs="Arial" w:eastAsia="Arial" w:hAnsi="Arial"/>
          <w:sz w:val="24"/>
          <w:szCs w:val="24"/>
        </w:rPr>
        <w:t xml:space="preserve">Working pseudocode throughout specification—§112 enablement support</w:t>
      </w:r>
    </w:p>
    <w:p>
      <w:pPr>
        <w:pStyle w:val="ListParagraph"/>
        <w:numPr>
          <w:ilvl w:val="0"/>
          <w:numId w:val="2"/>
        </w:numPr>
        <w:spacing w:after="80"/>
      </w:pPr>
      <w:r>
        <w:rPr>
          <w:rFonts w:ascii="Arial" w:cs="Arial" w:eastAsia="Arial" w:hAnsi="Arial"/>
          <w:sz w:val="24"/>
          <w:szCs w:val="24"/>
        </w:rPr>
        <w:t xml:space="preserve">21 claims (within cost range), multiple independent claims covering system/method/apparatus</w:t>
      </w:r>
    </w:p>
    <w:p>
      <w:pPr>
        <w:pStyle w:val="ListParagraph"/>
        <w:numPr>
          <w:ilvl w:val="0"/>
          <w:numId w:val="2"/>
        </w:numPr>
        <w:spacing w:after="80"/>
      </w:pPr>
      <w:r>
        <w:rPr>
          <w:rFonts w:ascii="Arial" w:cs="Arial" w:eastAsia="Arial" w:hAnsi="Arial"/>
          <w:sz w:val="24"/>
          <w:szCs w:val="24"/>
        </w:rPr>
        <w:t xml:space="preserve">10 figures described; biological algorithms (slime mold pathfinding, murmuration) cannot be 'practically performed in the human mind' per August 2025 memo standard</w:t>
      </w:r>
    </w:p>
    <w:p>
      <w:pPr>
        <w:pStyle w:val="ListParagraph"/>
        <w:numPr>
          <w:ilvl w:val="0"/>
          <w:numId w:val="2"/>
        </w:numPr>
        <w:spacing w:after="80"/>
      </w:pPr>
      <w:r>
        <w:rPr>
          <w:rFonts w:ascii="Arial" w:cs="Arial" w:eastAsia="Arial" w:hAnsi="Arial"/>
          <w:sz w:val="24"/>
          <w:szCs w:val="24"/>
        </w:rPr>
        <w:t xml:space="preserve">RepID scoring with specific formula structure is concrete and measurable</w:t>
      </w:r>
    </w:p>
    <w:p>
      <w:pPr>
        <w:pStyle w:val="ListParagraph"/>
        <w:numPr>
          <w:ilvl w:val="0"/>
          <w:numId w:val="2"/>
        </w:numPr>
        <w:spacing w:after="80"/>
      </w:pPr>
      <w:r>
        <w:rPr>
          <w:rFonts w:ascii="Arial" w:cs="Arial" w:eastAsia="Arial" w:hAnsi="Arial"/>
          <w:sz w:val="24"/>
          <w:szCs w:val="24"/>
        </w:rPr>
        <w:t xml:space="preserve">ANFIS orchestration with 71.7% routing success rate is a specific technical improvement</w:t>
      </w:r>
    </w:p>
    <w:p>
      <w:pPr>
        <w:spacing w:after="120"/>
      </w:pPr>
      <w:r>
        <w:rPr>
          <w:rFonts w:ascii="Arial" w:cs="Arial" w:eastAsia="Arial" w:hAnsi="Arial"/>
          <w:sz w:val="24"/>
          <w:szCs w:val="24"/>
        </w:rPr>
        <w:t xml:space="preserve"/>
      </w:r>
    </w:p>
    <w:p>
      <w:pPr>
        <w:spacing w:after="120"/>
      </w:pPr>
      <w:r>
        <w:rPr>
          <w:rFonts w:ascii="Arial" w:cs="Arial" w:eastAsia="Arial" w:hAnsi="Arial"/>
          <w:b/>
          <w:bCs/>
          <w:sz w:val="24"/>
          <w:szCs w:val="24"/>
        </w:rPr>
        <w:t xml:space="preserve">What USPTO will flag—address BEFORE filing non-provisional: </w:t>
      </w:r>
    </w:p>
    <w:p>
      <w:pPr>
        <w:pStyle w:val="ListParagraph"/>
        <w:numPr>
          <w:ilvl w:val="0"/>
          <w:numId w:val="2"/>
        </w:numPr>
        <w:spacing w:after="80"/>
      </w:pPr>
      <w:r>
        <w:rPr>
          <w:rFonts w:ascii="Arial" w:cs="Arial" w:eastAsia="Arial" w:hAnsi="Arial"/>
          <w:sz w:val="24"/>
          <w:szCs w:val="24"/>
        </w:rPr>
        <w:t xml:space="preserve">Claim 16 ('agents ask the right questions'): no measurable technical element. REMOVE.</w:t>
      </w:r>
    </w:p>
    <w:p>
      <w:pPr>
        <w:pStyle w:val="ListParagraph"/>
        <w:numPr>
          <w:ilvl w:val="0"/>
          <w:numId w:val="2"/>
        </w:numPr>
        <w:spacing w:after="80"/>
      </w:pPr>
      <w:r>
        <w:rPr>
          <w:rFonts w:ascii="Arial" w:cs="Arial" w:eastAsia="Arial" w:hAnsi="Arial"/>
          <w:sz w:val="24"/>
          <w:szCs w:val="24"/>
        </w:rPr>
        <w:t xml:space="preserve">Claim 19 ('natural patterns discovered not invented'): philosophical. REMOVE.</w:t>
      </w:r>
    </w:p>
    <w:p>
      <w:pPr>
        <w:pStyle w:val="ListParagraph"/>
        <w:numPr>
          <w:ilvl w:val="0"/>
          <w:numId w:val="2"/>
        </w:numPr>
        <w:spacing w:after="80"/>
      </w:pPr>
      <w:r>
        <w:rPr>
          <w:rFonts w:ascii="Arial" w:cs="Arial" w:eastAsia="Arial" w:hAnsi="Arial"/>
          <w:sz w:val="24"/>
          <w:szCs w:val="24"/>
        </w:rPr>
        <w:t xml:space="preserve">Claim 20 ('enabling flow state achievement'): no technical implementation. REMOVE or rewrite as pattern-matching system claim.</w:t>
      </w:r>
    </w:p>
    <w:p>
      <w:pPr>
        <w:pStyle w:val="ListParagraph"/>
        <w:numPr>
          <w:ilvl w:val="0"/>
          <w:numId w:val="2"/>
        </w:numPr>
        <w:spacing w:after="80"/>
      </w:pPr>
      <w:r>
        <w:rPr>
          <w:rFonts w:ascii="Arial" w:cs="Arial" w:eastAsia="Arial" w:hAnsi="Arial"/>
          <w:sz w:val="24"/>
          <w:szCs w:val="24"/>
        </w:rPr>
        <w:t xml:space="preserve">'The Deeper Need' and 'Philosophical Foundation' sections: move ALL of this to Background only. Independent claims must contain zero philosophical language.</w:t>
      </w:r>
    </w:p>
    <w:p>
      <w:pPr>
        <w:pStyle w:val="ListParagraph"/>
        <w:numPr>
          <w:ilvl w:val="0"/>
          <w:numId w:val="2"/>
        </w:numPr>
        <w:spacing w:after="80"/>
      </w:pPr>
      <w:r>
        <w:rPr>
          <w:rFonts w:ascii="Arial" w:cs="Arial" w:eastAsia="Arial" w:hAnsi="Arial"/>
          <w:sz w:val="24"/>
          <w:szCs w:val="24"/>
        </w:rPr>
        <w:t xml:space="preserve">§101 risk on orchestration claims: attorney must frame every independent claim as 'technological improvement to computer system performance' per Enfish/Desjardins standard.</w:t>
      </w:r>
    </w:p>
    <w:p>
      <w:pPr>
        <w:spacing w:after="120"/>
      </w:pPr>
      <w:r>
        <w:rPr>
          <w:rFonts w:ascii="Arial" w:cs="Arial" w:eastAsia="Arial" w:hAnsi="Arial"/>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4FD" w:val="clear"/>
            <w:tcMar>
              <w:top w:type="dxa" w:w="120"/>
              <w:left w:type="dxa" w:w="180"/>
              <w:bottom w:type="dxa" w:w="120"/>
              <w:right w:type="dxa" w:w="180"/>
            </w:tcMar>
          </w:tcPr>
          <w:p>
            <w:r>
              <w:rPr>
                <w:rFonts w:ascii="Arial" w:cs="Arial" w:eastAsia="Arial" w:hAnsi="Arial"/>
                <w:b/>
                <w:bCs/>
                <w:sz w:val="24"/>
                <w:szCs w:val="24"/>
              </w:rPr>
              <w:t xml:space="preserve">P-001 CONVERSION STRATEGY: </w:t>
            </w:r>
            <w:r>
              <w:rPr>
                <w:rFonts w:ascii="Arial" w:cs="Arial" w:eastAsia="Arial" w:hAnsi="Arial"/>
                <w:sz w:val="24"/>
                <w:szCs w:val="24"/>
              </w:rPr>
              <w:t xml:space="preserve">Keep: 82% cost reduction, 90% conflict elimination, O(log n) complexity, RepID scoring, murmuration/slime mold algorithms. Remove: Claims 16, 19, 20. Tighten to 20 claims. Your Supabase performance logs are §101 utility evidence—submit as SMED declaration after 30 days of live data.</w:t>
            </w:r>
          </w:p>
        </w:tc>
      </w:tr>
    </w:tbl>
    <w:p>
      <w:pPr>
        <w:spacing w:after="120"/>
      </w:pPr>
      <w:r>
        <w:rPr>
          <w:rFonts w:ascii="Arial" w:cs="Arial" w:eastAsia="Arial" w:hAnsi="Arial"/>
          <w:sz w:val="24"/>
          <w:szCs w:val="24"/>
        </w:rPr>
        <w:t xml:space="preserve"/>
      </w:r>
    </w:p>
    <w:p>
      <w:pPr>
        <w:pStyle w:val="Heading2"/>
      </w:pPr>
      <w:r>
        <w:rPr>
          <w:rFonts w:ascii="Arial" w:cs="Arial" w:eastAsia="Arial" w:hAnsi="Arial"/>
          <w:b/>
          <w:bCs/>
        </w:rPr>
        <w:t xml:space="preserve">P-002: Multiplicative GNN Architecture (Filed August 17, 2025)</w:t>
      </w:r>
    </w:p>
    <w:p>
      <w:pPr>
        <w:spacing w:after="120"/>
      </w:pPr>
      <w:r>
        <w:rPr>
          <w:rFonts w:ascii="Arial" w:cs="Arial" w:eastAsia="Arial" w:hAnsi="Arial"/>
          <w:b/>
          <w:bCs/>
          <w:sz w:val="24"/>
          <w:szCs w:val="24"/>
        </w:rPr>
        <w:t xml:space="preserve">Core innovation: </w:t>
      </w:r>
      <w:r>
        <w:rPr>
          <w:rFonts w:ascii="Arial" w:cs="Arial" w:eastAsia="Arial" w:hAnsi="Arial"/>
          <w:sz w:val="24"/>
          <w:szCs w:val="24"/>
        </w:rPr>
        <w:t xml:space="preserve">GNN with geometric mean aggregation formula h_i^(k+1) = exp[(1/φ) × Σ log(h_j^(k) × w_ij + ε)]. Achieves O(log n) convergence vs O(n²) traditional. Five-part stabilization. Subjective logic enforcement (b+d+u=1) with 90% hallucination reduction. n^1.5 MoE scaling. FPGA/ASIC hardware achieving 100× speedup.</w:t>
      </w:r>
    </w:p>
    <w:p>
      <w:pPr>
        <w:spacing w:after="120"/>
      </w:pPr>
      <w:r>
        <w:rPr>
          <w:rFonts w:ascii="Arial" w:cs="Arial" w:eastAsia="Arial" w:hAnsi="Arial"/>
          <w:sz w:val="24"/>
          <w:szCs w:val="24"/>
        </w:rPr>
        <w:t xml:space="preserve"/>
      </w:r>
    </w:p>
    <w:p>
      <w:pPr>
        <w:spacing w:after="120"/>
      </w:pPr>
      <w:r>
        <w:rPr>
          <w:rFonts w:ascii="Arial" w:cs="Arial" w:eastAsia="Arial" w:hAnsi="Arial"/>
          <w:b/>
          <w:bCs/>
          <w:sz w:val="24"/>
          <w:szCs w:val="24"/>
        </w:rPr>
        <w:t xml:space="preserve">What USPTO will like: </w:t>
      </w:r>
    </w:p>
    <w:p>
      <w:pPr>
        <w:pStyle w:val="ListParagraph"/>
        <w:numPr>
          <w:ilvl w:val="0"/>
          <w:numId w:val="2"/>
        </w:numPr>
        <w:spacing w:after="80"/>
      </w:pPr>
      <w:r>
        <w:rPr>
          <w:rFonts w:ascii="Arial" w:cs="Arial" w:eastAsia="Arial" w:hAnsi="Arial"/>
          <w:sz w:val="24"/>
          <w:szCs w:val="24"/>
        </w:rPr>
        <w:t xml:space="preserve">Strongest §101 case in the portfolio. Post-Desjardins: claims that improve how ML models operate are specifically patent eligible. This does exactly that.</w:t>
      </w:r>
    </w:p>
    <w:p>
      <w:pPr>
        <w:pStyle w:val="ListParagraph"/>
        <w:numPr>
          <w:ilvl w:val="0"/>
          <w:numId w:val="2"/>
        </w:numPr>
        <w:spacing w:after="80"/>
      </w:pPr>
      <w:r>
        <w:rPr>
          <w:rFonts w:ascii="Arial" w:cs="Arial" w:eastAsia="Arial" w:hAnsi="Arial"/>
          <w:sz w:val="24"/>
          <w:szCs w:val="24"/>
        </w:rPr>
        <w:t xml:space="preserve">Complete Python implementation in Appendix D with fixed seed (42) and reproducibility hash—exceptional §112 enablement. USPTO loves this.</w:t>
      </w:r>
    </w:p>
    <w:p>
      <w:pPr>
        <w:pStyle w:val="ListParagraph"/>
        <w:numPr>
          <w:ilvl w:val="0"/>
          <w:numId w:val="2"/>
        </w:numPr>
        <w:spacing w:after="80"/>
      </w:pPr>
      <w:r>
        <w:rPr>
          <w:rFonts w:ascii="Arial" w:cs="Arial" w:eastAsia="Arial" w:hAnsi="Arial"/>
          <w:sz w:val="24"/>
          <w:szCs w:val="24"/>
        </w:rPr>
        <w:t xml:space="preserve">Specific mathematical constants (φ=1.618, ε=10^-8)—concrete, not abstract</w:t>
      </w:r>
    </w:p>
    <w:p>
      <w:pPr>
        <w:pStyle w:val="ListParagraph"/>
        <w:numPr>
          <w:ilvl w:val="0"/>
          <w:numId w:val="2"/>
        </w:numPr>
        <w:spacing w:after="80"/>
      </w:pPr>
      <w:r>
        <w:rPr>
          <w:rFonts w:ascii="Arial" w:cs="Arial" w:eastAsia="Arial" w:hAnsi="Arial"/>
          <w:sz w:val="24"/>
          <w:szCs w:val="24"/>
        </w:rPr>
        <w:t xml:space="preserve">Validation table with specific numbers (91.1%, 89.6%, 89.1% hallucination reduction)—§101 utility</w:t>
      </w:r>
    </w:p>
    <w:p>
      <w:pPr>
        <w:pStyle w:val="ListParagraph"/>
        <w:numPr>
          <w:ilvl w:val="0"/>
          <w:numId w:val="2"/>
        </w:numPr>
        <w:spacing w:after="80"/>
      </w:pPr>
      <w:r>
        <w:rPr>
          <w:rFonts w:ascii="Arial" w:cs="Arial" w:eastAsia="Arial" w:hAnsi="Arial"/>
          <w:sz w:val="24"/>
          <w:szCs w:val="24"/>
        </w:rPr>
        <w:t xml:space="preserve">Hardware implementation claim (Claim 8)—anchors invention in physical apparatus, greatly reducing §101 risk</w:t>
      </w:r>
    </w:p>
    <w:p>
      <w:pPr>
        <w:pStyle w:val="ListParagraph"/>
        <w:numPr>
          <w:ilvl w:val="0"/>
          <w:numId w:val="2"/>
        </w:numPr>
        <w:spacing w:after="80"/>
      </w:pPr>
      <w:r>
        <w:rPr>
          <w:rFonts w:ascii="Arial" w:cs="Arial" w:eastAsia="Arial" w:hAnsi="Arial"/>
          <w:sz w:val="24"/>
          <w:szCs w:val="24"/>
        </w:rPr>
        <w:t xml:space="preserve">12 claims—conservative, leaves room for broader prosecution strategy</w:t>
      </w:r>
    </w:p>
    <w:p>
      <w:pPr>
        <w:spacing w:after="120"/>
      </w:pPr>
      <w:r>
        <w:rPr>
          <w:rFonts w:ascii="Arial" w:cs="Arial" w:eastAsia="Arial" w:hAnsi="Arial"/>
          <w:sz w:val="24"/>
          <w:szCs w:val="24"/>
        </w:rPr>
        <w:t xml:space="preserve"/>
      </w:r>
    </w:p>
    <w:p>
      <w:pPr>
        <w:spacing w:after="120"/>
      </w:pPr>
      <w:r>
        <w:rPr>
          <w:rFonts w:ascii="Arial" w:cs="Arial" w:eastAsia="Arial" w:hAnsi="Arial"/>
          <w:b/>
          <w:bCs/>
          <w:sz w:val="24"/>
          <w:szCs w:val="24"/>
        </w:rPr>
        <w:t xml:space="preserve">What USPTO will flag: </w:t>
      </w:r>
    </w:p>
    <w:p>
      <w:pPr>
        <w:pStyle w:val="ListParagraph"/>
        <w:numPr>
          <w:ilvl w:val="0"/>
          <w:numId w:val="2"/>
        </w:numPr>
        <w:spacing w:after="80"/>
      </w:pPr>
      <w:r>
        <w:rPr>
          <w:rFonts w:ascii="Arial" w:cs="Arial" w:eastAsia="Arial" w:hAnsi="Arial"/>
          <w:sz w:val="24"/>
          <w:szCs w:val="24"/>
        </w:rPr>
        <w:t xml:space="preserve">Claim 9 (achieving 90% hallucination reduction): result claim. Reframe as the mechanism (subjective logic gate d&gt;b=suppress), not the outcome</w:t>
      </w:r>
    </w:p>
    <w:p>
      <w:pPr>
        <w:pStyle w:val="ListParagraph"/>
        <w:numPr>
          <w:ilvl w:val="0"/>
          <w:numId w:val="2"/>
        </w:numPr>
        <w:spacing w:after="80"/>
      </w:pPr>
      <w:r>
        <w:rPr>
          <w:rFonts w:ascii="Arial" w:cs="Arial" w:eastAsia="Arial" w:hAnsi="Arial"/>
          <w:sz w:val="24"/>
          <w:szCs w:val="24"/>
        </w:rPr>
        <w:t xml:space="preserve">n^1.5 scaling with only 5 data points—expand to 10+ in the spec for §112 support</w:t>
      </w:r>
    </w:p>
    <w:p>
      <w:pPr>
        <w:pStyle w:val="ListParagraph"/>
        <w:numPr>
          <w:ilvl w:val="0"/>
          <w:numId w:val="2"/>
        </w:numPr>
        <w:spacing w:after="80"/>
      </w:pPr>
      <w:r>
        <w:rPr>
          <w:rFonts w:ascii="Arial" w:cs="Arial" w:eastAsia="Arial" w:hAnsi="Arial"/>
          <w:sz w:val="24"/>
          <w:szCs w:val="24"/>
        </w:rPr>
        <w:t xml:space="preserve">Claim 1 uses 'approximately'—acceptable for parameters, but add dependent claims with exact values as prosecution fallback</w:t>
      </w:r>
    </w:p>
    <w:p>
      <w:pPr>
        <w:spacing w:after="120"/>
      </w:pPr>
      <w:r>
        <w:rPr>
          <w:rFonts w:ascii="Arial" w:cs="Arial" w:eastAsia="Arial" w:hAnsi="Arial"/>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8E8" w:val="clear"/>
            <w:tcMar>
              <w:top w:type="dxa" w:w="120"/>
              <w:left w:type="dxa" w:w="180"/>
              <w:bottom w:type="dxa" w:w="120"/>
              <w:right w:type="dxa" w:w="180"/>
            </w:tcMar>
          </w:tcPr>
          <w:p>
            <w:r>
              <w:rPr>
                <w:rFonts w:ascii="Arial" w:cs="Arial" w:eastAsia="Arial" w:hAnsi="Arial"/>
                <w:b/>
                <w:bCs/>
                <w:sz w:val="24"/>
                <w:szCs w:val="24"/>
              </w:rPr>
              <w:t xml:space="preserve">P-002 CONVERSION STRATEGY: </w:t>
            </w:r>
            <w:r>
              <w:rPr>
                <w:rFonts w:ascii="Arial" w:cs="Arial" w:eastAsia="Arial" w:hAnsi="Arial"/>
                <w:sz w:val="24"/>
                <w:szCs w:val="24"/>
              </w:rPr>
              <w:t xml:space="preserve">File non-provisional FIRST. This is your strongest patent. The formula-driven nature makes §101 challenges extremely difficult post-Desjardins. Add regime-conditional ANFIS (P-005) as dependent Claims 12-17—it is a direct GNN extension and adds no §101 risk. Target 20 claims total.</w:t>
            </w:r>
          </w:p>
        </w:tc>
      </w:tr>
    </w:tbl>
    <w:p>
      <w:pPr>
        <w:spacing w:after="120"/>
      </w:pPr>
      <w:r>
        <w:rPr>
          <w:rFonts w:ascii="Arial" w:cs="Arial" w:eastAsia="Arial" w:hAnsi="Arial"/>
          <w:sz w:val="24"/>
          <w:szCs w:val="24"/>
        </w:rPr>
        <w:t xml:space="preserve"/>
      </w:r>
    </w:p>
    <w:p>
      <w:pPr>
        <w:pStyle w:val="Heading2"/>
      </w:pPr>
      <w:r>
        <w:rPr>
          <w:rFonts w:ascii="Arial" w:cs="Arial" w:eastAsia="Arial" w:hAnsi="Arial"/>
          <w:b/>
          <w:bCs/>
        </w:rPr>
        <w:t xml:space="preserve">P-003: Question-Driven Reality Reorganization (Filed August 21, 2025)</w:t>
      </w:r>
    </w:p>
    <w:p>
      <w:pPr>
        <w:spacing w:after="120"/>
      </w:pPr>
      <w:r>
        <w:rPr>
          <w:rFonts w:ascii="Arial" w:cs="Arial" w:eastAsia="Arial" w:hAnsi="Arial"/>
          <w:b/>
          <w:bCs/>
          <w:sz w:val="24"/>
          <w:szCs w:val="24"/>
        </w:rPr>
        <w:t xml:space="preserve">Core innovation: </w:t>
      </w:r>
      <w:r>
        <w:rPr>
          <w:rFonts w:ascii="Arial" w:cs="Arial" w:eastAsia="Arial" w:hAnsi="Arial"/>
          <w:sz w:val="24"/>
          <w:szCs w:val="24"/>
        </w:rPr>
        <w:t xml:space="preserve">Most recent filing. Combines QAOA, QML, VQC, VQE, MAML, Theory of Mind, Differentiable Fuzzy Logic Variational Inference (ANFIS + Semantic RAG), SLM+LLM Experts-of-Experts, Natural Gradient Descent, and the formula (Logic × Chaos × Beauty)^(1/φ). Already filed as CIP to both P-001 and P-002—inherits August 6 and August 17 priority dates for overlapping subject matter.</w:t>
      </w:r>
    </w:p>
    <w:p>
      <w:pPr>
        <w:spacing w:after="120"/>
      </w:pPr>
      <w:r>
        <w:rPr>
          <w:rFonts w:ascii="Arial" w:cs="Arial" w:eastAsia="Arial" w:hAnsi="Arial"/>
          <w:sz w:val="24"/>
          <w:szCs w:val="24"/>
        </w:rPr>
        <w:t xml:space="preserve"/>
      </w:r>
    </w:p>
    <w:p>
      <w:pPr>
        <w:spacing w:after="120"/>
      </w:pPr>
      <w:r>
        <w:rPr>
          <w:rFonts w:ascii="Arial" w:cs="Arial" w:eastAsia="Arial" w:hAnsi="Arial"/>
          <w:b/>
          <w:bCs/>
          <w:sz w:val="24"/>
          <w:szCs w:val="24"/>
        </w:rPr>
        <w:t xml:space="preserve">Critical strategic note: </w:t>
      </w:r>
      <w:r>
        <w:rPr>
          <w:rFonts w:ascii="Arial" w:cs="Arial" w:eastAsia="Arial" w:hAnsi="Arial"/>
          <w:sz w:val="24"/>
          <w:szCs w:val="24"/>
        </w:rPr>
        <w:t xml:space="preserve">P-003 already references both parents in its Cross-Reference section. This means overlapping ANFIS, GNN, and orchestration claims in P-003 retroactively claim the earlier priority dates. This prior-filing chain is a major advantage that all previous analysis missed.</w:t>
      </w:r>
    </w:p>
    <w:p>
      <w:pPr>
        <w:spacing w:after="120"/>
      </w:pPr>
      <w:r>
        <w:rPr>
          <w:rFonts w:ascii="Arial" w:cs="Arial" w:eastAsia="Arial" w:hAnsi="Arial"/>
          <w:sz w:val="24"/>
          <w:szCs w:val="24"/>
        </w:rPr>
        <w:t xml:space="preserve"/>
      </w:r>
    </w:p>
    <w:p>
      <w:pPr>
        <w:spacing w:after="120"/>
      </w:pPr>
      <w:r>
        <w:rPr>
          <w:rFonts w:ascii="Arial" w:cs="Arial" w:eastAsia="Arial" w:hAnsi="Arial"/>
          <w:b/>
          <w:bCs/>
          <w:sz w:val="24"/>
          <w:szCs w:val="24"/>
        </w:rPr>
        <w:t xml:space="preserve">What USPTO will like: </w:t>
      </w:r>
    </w:p>
    <w:p>
      <w:pPr>
        <w:pStyle w:val="ListParagraph"/>
        <w:numPr>
          <w:ilvl w:val="0"/>
          <w:numId w:val="2"/>
        </w:numPr>
        <w:spacing w:after="80"/>
      </w:pPr>
      <w:r>
        <w:rPr>
          <w:rFonts w:ascii="Arial" w:cs="Arial" w:eastAsia="Arial" w:hAnsi="Arial"/>
          <w:sz w:val="24"/>
          <w:szCs w:val="24"/>
        </w:rPr>
        <w:t xml:space="preserve">ANFIS + Semantic RAG + Differentiable Fuzzy Logic combination: essentially no prior art. This is the crown jewel of P-003.</w:t>
      </w:r>
    </w:p>
    <w:p>
      <w:pPr>
        <w:pStyle w:val="ListParagraph"/>
        <w:numPr>
          <w:ilvl w:val="0"/>
          <w:numId w:val="2"/>
        </w:numPr>
        <w:spacing w:after="80"/>
      </w:pPr>
      <w:r>
        <w:rPr>
          <w:rFonts w:ascii="Arial" w:cs="Arial" w:eastAsia="Arial" w:hAnsi="Arial"/>
          <w:sz w:val="24"/>
          <w:szCs w:val="24"/>
        </w:rPr>
        <w:t xml:space="preserve">MAML + quantum circuit optimization: prior art exists for each separately; the combination is novel</w:t>
      </w:r>
    </w:p>
    <w:p>
      <w:pPr>
        <w:pStyle w:val="ListParagraph"/>
        <w:numPr>
          <w:ilvl w:val="0"/>
          <w:numId w:val="2"/>
        </w:numPr>
        <w:spacing w:after="80"/>
      </w:pPr>
      <w:r>
        <w:rPr>
          <w:rFonts w:ascii="Arial" w:cs="Arial" w:eastAsia="Arial" w:hAnsi="Arial"/>
          <w:sz w:val="24"/>
          <w:szCs w:val="24"/>
        </w:rPr>
        <w:t xml:space="preserve">SLM+LLM hierarchical expert architecture: novel computer architecture improvement—directly addressable under §101</w:t>
      </w:r>
    </w:p>
    <w:p>
      <w:pPr>
        <w:pStyle w:val="ListParagraph"/>
        <w:numPr>
          <w:ilvl w:val="0"/>
          <w:numId w:val="2"/>
        </w:numPr>
        <w:spacing w:after="80"/>
      </w:pPr>
      <w:r>
        <w:rPr>
          <w:rFonts w:ascii="Arial" w:cs="Arial" w:eastAsia="Arial" w:hAnsi="Arial"/>
          <w:sz w:val="24"/>
          <w:szCs w:val="24"/>
        </w:rPr>
        <w:t xml:space="preserve">Safety bounds on recursion (MAX_RECURSION=100): shows inventor understood practical limits—helps §112 enablement</w:t>
      </w:r>
    </w:p>
    <w:p>
      <w:pPr>
        <w:pStyle w:val="ListParagraph"/>
        <w:numPr>
          <w:ilvl w:val="0"/>
          <w:numId w:val="2"/>
        </w:numPr>
        <w:spacing w:after="80"/>
      </w:pPr>
      <w:r>
        <w:rPr>
          <w:rFonts w:ascii="Arial" w:cs="Arial" w:eastAsia="Arial" w:hAnsi="Arial"/>
          <w:sz w:val="24"/>
          <w:szCs w:val="24"/>
        </w:rPr>
        <w:t xml:space="preserve">Byzantine fault tolerance proof in Appendix A.3: demonstrates mathematical rigor</w:t>
      </w:r>
    </w:p>
    <w:p>
      <w:pPr>
        <w:spacing w:after="120"/>
      </w:pPr>
      <w:r>
        <w:rPr>
          <w:rFonts w:ascii="Arial" w:cs="Arial" w:eastAsia="Arial" w:hAnsi="Arial"/>
          <w:sz w:val="24"/>
          <w:szCs w:val="24"/>
        </w:rPr>
        <w:t xml:space="preserve"/>
      </w:r>
    </w:p>
    <w:p>
      <w:pPr>
        <w:spacing w:after="120"/>
      </w:pPr>
      <w:r>
        <w:rPr>
          <w:rFonts w:ascii="Arial" w:cs="Arial" w:eastAsia="Arial" w:hAnsi="Arial"/>
          <w:b/>
          <w:bCs/>
          <w:sz w:val="24"/>
          <w:szCs w:val="24"/>
        </w:rPr>
        <w:t xml:space="preserve">Serious USPTO issues that MUST be fixed before non-provisional: </w:t>
      </w:r>
    </w:p>
    <w:p>
      <w:pPr>
        <w:pStyle w:val="ListParagraph"/>
        <w:numPr>
          <w:ilvl w:val="0"/>
          <w:numId w:val="2"/>
        </w:numPr>
        <w:spacing w:after="80"/>
      </w:pPr>
      <w:r>
        <w:rPr>
          <w:rFonts w:ascii="Arial" w:cs="Arial" w:eastAsia="Arial" w:hAnsi="Arial"/>
          <w:sz w:val="24"/>
          <w:szCs w:val="24"/>
        </w:rPr>
        <w:t xml:space="preserve">'Reality reorganization,' 'consciousness modeling,' 'Riemann hypothesis bridges'—these will all trigger §101 abstract idea rejections. Remove from ALL independent claims.</w:t>
      </w:r>
    </w:p>
    <w:p>
      <w:pPr>
        <w:pStyle w:val="ListParagraph"/>
        <w:numPr>
          <w:ilvl w:val="0"/>
          <w:numId w:val="2"/>
        </w:numPr>
        <w:spacing w:after="80"/>
      </w:pPr>
      <w:r>
        <w:rPr>
          <w:rFonts w:ascii="Arial" w:cs="Arial" w:eastAsia="Arial" w:hAnsi="Arial"/>
          <w:sz w:val="24"/>
          <w:szCs w:val="24"/>
        </w:rPr>
        <w:t xml:space="preserve">'Zero-cost infinite ROI' claim: will be rejected as mathematical abstraction with no practical utility. Remove entirely from claims.</w:t>
      </w:r>
    </w:p>
    <w:p>
      <w:pPr>
        <w:pStyle w:val="ListParagraph"/>
        <w:numPr>
          <w:ilvl w:val="0"/>
          <w:numId w:val="2"/>
        </w:numPr>
        <w:spacing w:after="80"/>
      </w:pPr>
      <w:r>
        <w:rPr>
          <w:rFonts w:ascii="Arial" w:cs="Arial" w:eastAsia="Arial" w:hAnsi="Arial"/>
          <w:sz w:val="24"/>
          <w:szCs w:val="24"/>
        </w:rPr>
        <w:t xml:space="preserve">Consciousness therapy claims (resonance for depression/anxiety): potential medical device classification. Remove from claims or file separately.</w:t>
      </w:r>
    </w:p>
    <w:p>
      <w:pPr>
        <w:pStyle w:val="ListParagraph"/>
        <w:numPr>
          <w:ilvl w:val="0"/>
          <w:numId w:val="2"/>
        </w:numPr>
        <w:spacing w:after="80"/>
      </w:pPr>
      <w:r>
        <w:rPr>
          <w:rFonts w:ascii="Arial" w:cs="Arial" w:eastAsia="Arial" w:hAnsi="Arial"/>
          <w:sz w:val="24"/>
          <w:szCs w:val="24"/>
        </w:rPr>
        <w:t xml:space="preserve">'Unity score &gt;0.95 triggers reality reorganization' is not a technically defined output. Reframe as 'query refinement system achieving measurable reduction in solution search space.'</w:t>
      </w:r>
    </w:p>
    <w:p>
      <w:pPr>
        <w:pStyle w:val="ListParagraph"/>
        <w:numPr>
          <w:ilvl w:val="0"/>
          <w:numId w:val="2"/>
        </w:numPr>
        <w:spacing w:after="80"/>
      </w:pPr>
      <w:r>
        <w:rPr>
          <w:rFonts w:ascii="Arial" w:cs="Arial" w:eastAsia="Arial" w:hAnsi="Arial"/>
          <w:sz w:val="24"/>
          <w:szCs w:val="24"/>
        </w:rPr>
        <w:t xml:space="preserve">Riemann hypothesis connections are speculative and may trigger §112 written description rejection if not enabled. Keep only in specification background.</w:t>
      </w:r>
    </w:p>
    <w:p>
      <w:pPr>
        <w:spacing w:after="120"/>
      </w:pPr>
      <w:r>
        <w:rPr>
          <w:rFonts w:ascii="Arial" w:cs="Arial" w:eastAsia="Arial" w:hAnsi="Arial"/>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0F0" w:val="clear"/>
            <w:tcMar>
              <w:top w:type="dxa" w:w="120"/>
              <w:left w:type="dxa" w:w="180"/>
              <w:bottom w:type="dxa" w:w="120"/>
              <w:right w:type="dxa" w:w="180"/>
            </w:tcMar>
          </w:tcPr>
          <w:p>
            <w:r>
              <w:rPr>
                <w:rFonts w:ascii="Arial" w:cs="Arial" w:eastAsia="Arial" w:hAnsi="Arial"/>
                <w:b/>
                <w:bCs/>
                <w:sz w:val="24"/>
                <w:szCs w:val="24"/>
              </w:rPr>
              <w:t xml:space="preserve">P-003 CONVERSION STRATEGY: </w:t>
            </w:r>
            <w:r>
              <w:rPr>
                <w:rFonts w:ascii="Arial" w:cs="Arial" w:eastAsia="Arial" w:hAnsi="Arial"/>
                <w:sz w:val="24"/>
                <w:szCs w:val="24"/>
              </w:rPr>
              <w:t xml:space="preserve">Independent claims should target ONLY: (1) Differentiable Fuzzy Logic Variational Inference system (ANFIS+RAG+differentiable fuzzy), (2) MAML with quantum-circuit optimization (VQC apparatus with 7 qubits, 13 Fibonacci layers), (3) SLM+LLM hierarchical expert router. These three are patentable. Everything else: Background only.</w:t>
            </w:r>
          </w:p>
        </w:tc>
      </w:tr>
    </w:tbl>
    <w:p>
      <w:pPr>
        <w:spacing w:after="120"/>
      </w:pPr>
      <w:r>
        <w:rPr>
          <w:rFonts w:ascii="Arial" w:cs="Arial" w:eastAsia="Arial" w:hAnsi="Arial"/>
          <w:sz w:val="24"/>
          <w:szCs w:val="24"/>
        </w:rPr>
        <w:t xml:space="preserve"/>
      </w:r>
    </w:p>
    <w:p>
      <w:r>
        <w:br w:type="page"/>
      </w:r>
    </w:p>
    <w:p>
      <w:pPr>
        <w:pStyle w:val="Heading1"/>
      </w:pPr>
      <w:r>
        <w:rPr>
          <w:rFonts w:ascii="Arial" w:cs="Arial" w:eastAsia="Arial" w:hAnsi="Arial"/>
          <w:b/>
          <w:bCs/>
        </w:rPr>
        <w:t xml:space="preserve">Crypto Prognosticator Innovations: CIP vs. New Provisional Analysis</w:t>
      </w:r>
    </w:p>
    <w:p>
      <w:pPr>
        <w:spacing w:after="120"/>
      </w:pPr>
      <w:r>
        <w:rPr>
          <w:rFonts w:ascii="Arial" w:cs="Arial" w:eastAsia="Arial" w:hAnsi="Arial"/>
          <w:sz w:val="24"/>
          <w:szCs w:val="24"/>
        </w:rPr>
        <w:t xml:space="preserve">The Crypto Prognosticator v3.1 system contains several genuinely novel technical innovations developed after the three provisional filings. The critical question: does adding them to existing filings INCREASE or DECREASE the probability of grant? The analysis below is deliberately critical.</w:t>
      </w:r>
    </w:p>
    <w:p>
      <w:pPr>
        <w:spacing w:after="120"/>
      </w:pPr>
      <w:r>
        <w:rPr>
          <w:rFonts w:ascii="Arial" w:cs="Arial" w:eastAsia="Arial" w:hAnsi="Arial"/>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300"/>
        <w:gridCol w:w="1400"/>
        <w:gridCol w:w="1600"/>
        <w:gridCol w:w="3460"/>
      </w:tblGrid>
      <w:tr>
        <w:trPr>
          <w:tblHeader/>
        </w:trPr>
        <w:tc>
          <w:tcPr>
            <w:tcW w:type="dxa" w:w="1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top"/>
          </w:tcPr>
          <w:p>
            <w:r>
              <w:rPr>
                <w:rFonts w:ascii="Arial" w:cs="Arial" w:eastAsia="Arial" w:hAnsi="Arial"/>
                <w:b/>
                <w:bCs/>
                <w:color w:val="FFFFFF"/>
                <w:sz w:val="20"/>
                <w:szCs w:val="20"/>
              </w:rPr>
              <w:t xml:space="preserve">Innovation</w:t>
            </w:r>
          </w:p>
        </w:tc>
        <w:tc>
          <w:tcPr>
            <w:tcW w:type="dxa" w:w="13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top"/>
          </w:tcPr>
          <w:p>
            <w:r>
              <w:rPr>
                <w:rFonts w:ascii="Arial" w:cs="Arial" w:eastAsia="Arial" w:hAnsi="Arial"/>
                <w:b/>
                <w:bCs/>
                <w:color w:val="FFFFFF"/>
                <w:sz w:val="20"/>
                <w:szCs w:val="20"/>
              </w:rPr>
              <w:t xml:space="preserve">Novelty</w:t>
            </w:r>
          </w:p>
        </w:tc>
        <w:tc>
          <w:tcPr>
            <w:tcW w:type="dxa" w:w="1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top"/>
          </w:tcPr>
          <w:p>
            <w:r>
              <w:rPr>
                <w:rFonts w:ascii="Arial" w:cs="Arial" w:eastAsia="Arial" w:hAnsi="Arial"/>
                <w:b/>
                <w:bCs/>
                <w:color w:val="FFFFFF"/>
                <w:sz w:val="20"/>
                <w:szCs w:val="20"/>
              </w:rPr>
              <w:t xml:space="preserve">CIP Target</w:t>
            </w:r>
          </w:p>
        </w:tc>
        <w:tc>
          <w:tcPr>
            <w:tcW w:type="dxa" w:w="1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top"/>
          </w:tcPr>
          <w:p>
            <w:r>
              <w:rPr>
                <w:rFonts w:ascii="Arial" w:cs="Arial" w:eastAsia="Arial" w:hAnsi="Arial"/>
                <w:b/>
                <w:bCs/>
                <w:color w:val="FFFFFF"/>
                <w:sz w:val="20"/>
                <w:szCs w:val="20"/>
              </w:rPr>
              <w:t xml:space="preserve">Adds to Grant %?</w:t>
            </w:r>
          </w:p>
        </w:tc>
        <w:tc>
          <w:tcPr>
            <w:tcW w:type="dxa" w:w="34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top"/>
          </w:tcPr>
          <w:p>
            <w:r>
              <w:rPr>
                <w:rFonts w:ascii="Arial" w:cs="Arial" w:eastAsia="Arial" w:hAnsi="Arial"/>
                <w:b/>
                <w:bCs/>
                <w:color w:val="FFFFFF"/>
                <w:sz w:val="20"/>
                <w:szCs w:val="20"/>
              </w:rPr>
              <w:t xml:space="preserve">Recommendation</w:t>
            </w:r>
          </w:p>
        </w:tc>
      </w:tr>
      <w:tr>
        <w:trPr>
          <w:tblHeader w:val="false"/>
        </w:trP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P-003: Pythagorean Comma Veto Agent</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HIGHEST — no prior art identified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P-001 (artistic harmony)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NO — different mechanism; adds complexity</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New Provisional THIS WEEK. Cheapest, fastest, most novel.</w:t>
            </w:r>
          </w:p>
        </w:tc>
      </w:tr>
      <w:tr>
        <w:trPr>
          <w:tblHeader w:val="false"/>
        </w:trP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P-004: HIAS Human Intuition Accuracy Score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HIGH — probabilistic HITL novel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P-001 (human-AI mirror)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NO — adds §112 risk without 30+ days data</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New Provisional THIS WEEK. Do NOT CIP until data collected.</w:t>
            </w:r>
          </w:p>
        </w:tc>
      </w:tr>
      <w:tr>
        <w:trPr>
          <w:tblHeader w:val="false"/>
        </w:trP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P-005: Regime-Conditional ANFIS Adaptation</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HIGH — regime-ANFIS combo novel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P-002 (ANFIS routing)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YES — as dependent claims in P-002 non-provisional only</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Add as Claims 12-17 in P-002 conversion. No separate filing.</w:t>
            </w:r>
          </w:p>
        </w:tc>
      </w:tr>
      <w:tr>
        <w:trPr>
          <w:tblHeader w:val="false"/>
        </w:trP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P-006: BFT Consensus + LLM Hallucination Scoring</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HIGH — LLM+BFT combination novel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P-001 or P-002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NO — standalone; adds §101 abstract risk</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New Provisional within 30 days. Reference P-001 and P-002.</w:t>
            </w:r>
          </w:p>
        </w:tc>
      </w:tr>
      <w:tr>
        <w:trPr>
          <w:tblHeader w:val="false"/>
        </w:trP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P-007: Reverse Cascade Detection</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MODERATE — confidence penalty novel; cascades known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P-002 (ANFIS routing)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NO — trading-specific; adds business method risk</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CIP to P-002 after P-002 non-provisional files. Not urgent.</w:t>
            </w:r>
          </w:p>
        </w:tc>
      </w:tr>
      <w:tr>
        <w:trPr>
          <w:tblHeader w:val="false"/>
        </w:trP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P-008: ZKP-NFT RepID Marketplace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HIGH — AI+blockchain+ZKP combination novel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None (standalone)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NO — blockchain claims add §101 and regulatory risk to core</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New Provisional in 60 days. Requires blockchain patent specialist.</w:t>
            </w:r>
          </w:p>
        </w:tc>
      </w:tr>
      <w:tr>
        <w:trPr>
          <w:tblHeader w:val="false"/>
        </w:trP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P-009: ALPHA/BETA/GAMMA Portfolio Isolation</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MODERATE — HIAS baseline novel; portfolio isolation novel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P-004 (HIAS) CIP</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NO — business method risk under §101</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CIP to P-004 after 90 days data. Not urgent.</w:t>
            </w:r>
          </w:p>
        </w:tc>
      </w:tr>
      <w:tr>
        <w:trPr>
          <w:tblHeader w:val="false"/>
        </w:trP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P-010: Harmonic Cycle Regime via FFT/CWT</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MODERATE — musical analogy novel; FFT known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P-001 or P-003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NEUTRAL — adds specificity and complexity in equal measure</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CIP to P-001 after non-provisional files. Medium priority.</w:t>
            </w:r>
          </w:p>
        </w:tc>
      </w:tr>
      <w:tr>
        <w:trPr>
          <w:tblHeader w:val="false"/>
        </w:trP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P-011: Beneficiary Analysis + Bubble Migration</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MODERATE — congressional disclosure integration novel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P-002 (ANFIS routing inputs)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NO — adds business method risk to P-002</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CIP to P-002 after 90 days. Low priority.</w:t>
            </w:r>
          </w:p>
        </w:tc>
      </w:tr>
    </w:tbl>
    <w:p>
      <w:pPr>
        <w:spacing w:after="120"/>
      </w:pPr>
      <w:r>
        <w:rPr>
          <w:rFonts w:ascii="Arial" w:cs="Arial" w:eastAsia="Arial" w:hAnsi="Arial"/>
          <w:sz w:val="24"/>
          <w:szCs w:val="24"/>
        </w:rPr>
        <w:t xml:space="preserve"/>
      </w:r>
    </w:p>
    <w:p>
      <w:r>
        <w:br w:type="page"/>
      </w:r>
    </w:p>
    <w:p>
      <w:pPr>
        <w:pStyle w:val="Heading1"/>
      </w:pPr>
      <w:r>
        <w:rPr>
          <w:rFonts w:ascii="Arial" w:cs="Arial" w:eastAsia="Arial" w:hAnsi="Arial"/>
          <w:b/>
          <w:bCs/>
        </w:rPr>
        <w:t xml:space="preserve">Filing Roadmap: Ordered by Approval Probability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2200"/>
        <w:gridCol w:w="1300"/>
        <w:gridCol w:w="1400"/>
        <w:gridCol w:w="3900"/>
      </w:tblGrid>
      <w:tr>
        <w:trPr>
          <w:tblHeader/>
        </w:trPr>
        <w:tc>
          <w:tcPr>
            <w:tcW w:type="dxa" w:w="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top"/>
          </w:tcPr>
          <w:p>
            <w:r>
              <w:rPr>
                <w:rFonts w:ascii="Arial" w:cs="Arial" w:eastAsia="Arial" w:hAnsi="Arial"/>
                <w:b/>
                <w:bCs/>
                <w:color w:val="FFFFFF"/>
                <w:sz w:val="20"/>
                <w:szCs w:val="20"/>
              </w:rPr>
              <w:t xml:space="preserve">#</w:t>
            </w:r>
          </w:p>
        </w:tc>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top"/>
          </w:tcPr>
          <w:p>
            <w:r>
              <w:rPr>
                <w:rFonts w:ascii="Arial" w:cs="Arial" w:eastAsia="Arial" w:hAnsi="Arial"/>
                <w:b/>
                <w:bCs/>
                <w:color w:val="FFFFFF"/>
                <w:sz w:val="20"/>
                <w:szCs w:val="20"/>
              </w:rPr>
              <w:t xml:space="preserve">Action</w:t>
            </w:r>
          </w:p>
        </w:tc>
        <w:tc>
          <w:tcPr>
            <w:tcW w:type="dxa" w:w="13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top"/>
          </w:tcPr>
          <w:p>
            <w:r>
              <w:rPr>
                <w:rFonts w:ascii="Arial" w:cs="Arial" w:eastAsia="Arial" w:hAnsi="Arial"/>
                <w:b/>
                <w:bCs/>
                <w:color w:val="FFFFFF"/>
                <w:sz w:val="20"/>
                <w:szCs w:val="20"/>
              </w:rPr>
              <w:t xml:space="preserve">Type</w:t>
            </w:r>
          </w:p>
        </w:tc>
        <w:tc>
          <w:tcPr>
            <w:tcW w:type="dxa" w:w="1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top"/>
          </w:tcPr>
          <w:p>
            <w:r>
              <w:rPr>
                <w:rFonts w:ascii="Arial" w:cs="Arial" w:eastAsia="Arial" w:hAnsi="Arial"/>
                <w:b/>
                <w:bCs/>
                <w:color w:val="FFFFFF"/>
                <w:sz w:val="20"/>
                <w:szCs w:val="20"/>
              </w:rPr>
              <w:t xml:space="preserve">Timeline</w:t>
            </w:r>
          </w:p>
        </w:tc>
        <w:tc>
          <w:tcPr>
            <w:tcW w:type="dxa" w:w="39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top"/>
          </w:tcPr>
          <w:p>
            <w:r>
              <w:rPr>
                <w:rFonts w:ascii="Arial" w:cs="Arial" w:eastAsia="Arial" w:hAnsi="Arial"/>
                <w:b/>
                <w:bCs/>
                <w:color w:val="FFFFFF"/>
                <w:sz w:val="20"/>
                <w:szCs w:val="20"/>
              </w:rPr>
              <w:t xml:space="preserve">Strategic Rationale</w:t>
            </w:r>
          </w:p>
        </w:tc>
      </w:tr>
      <w:tr>
        <w:trPr>
          <w:tblHeader w:val="false"/>
        </w:trPr>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P-003: Pythagorean Comma Veto</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New Provisional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THIS WEEK</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Most novel. No prior art. $65-130. Date-locks the most unique claim in the entire portfolio.</w:t>
            </w:r>
          </w:p>
        </w:tc>
      </w:tr>
      <w:tr>
        <w:trPr>
          <w:tblHeader w:val="false"/>
        </w:trPr>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P-004: HIAS Human Intuition Accuracy Score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New Provisional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THIS WEEK</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Novel HITL calibration. Standalone from existing filings. Filing now locks the architecture date even before validation data exists.</w:t>
            </w:r>
          </w:p>
        </w:tc>
      </w:tr>
      <w:tr>
        <w:trPr>
          <w:tblHeader w:val="false"/>
        </w:trPr>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P-002: Multiplicative GNN Non-Provisional</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Non-Provisional Utility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Q2 2026 (before 8/17/26)</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Strongest §101 case. Post-Desjardins math improvement claims are highly patent-eligible. Grants first to anchor later CIPs. Include P-005 (ANFIS regime) as dependent claims.</w:t>
            </w:r>
          </w:p>
        </w:tc>
      </w:tr>
      <w:tr>
        <w:trPr>
          <w:tblHeader w:val="false"/>
        </w:trPr>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P-001: AI Trinity Symphony Non-Provisional</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Non-Provisional Utility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Q2 2026 (before 8/6/26)</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After P-002 filed: P-002 strengthens P-001 cross-reference. 30+ days Supabase data provides §101 utility evidence. Strip Claims 16, 19, 20 before filing.</w:t>
            </w:r>
          </w:p>
        </w:tc>
      </w:tr>
      <w:tr>
        <w:trPr>
          <w:tblHeader w:val="false"/>
        </w:trPr>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P-006: BFT Consensus + Hallucination Scoring</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New Provisional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30 days</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Date-lock before competitors. BFT+LLM prior art landscape growing fast. Standalone from core filings—no contamination risk.</w:t>
            </w:r>
          </w:p>
        </w:tc>
      </w:tr>
      <w:tr>
        <w:trPr>
          <w:tblHeader w:val="false"/>
        </w:trPr>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P-003 QDR: Question-Driven Reality Non-Provisional</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Non-Provisional CIP to P-001+P-002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Q3 2026 (before 8/21/26)</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Already a CIP to both parents. Reframe claims to ANFIS+RAG+Fuzzy Logic only. Strip consciousness/reality/Riemann from all independent claims.</w:t>
            </w:r>
          </w:p>
        </w:tc>
      </w:tr>
      <w:tr>
        <w:trPr>
          <w:tblHeader w:val="false"/>
        </w:trPr>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7</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P-008: ZKP-NFT RepID Marketplace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New Provisional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60 days</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Standalone Web3 layer. Blockchain specialist attorney required. High value for HyperDAG.org ecosystem.</w:t>
            </w:r>
          </w:p>
        </w:tc>
      </w:tr>
      <w:tr>
        <w:trPr>
          <w:tblHeader w:val="false"/>
        </w:trPr>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8</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P-007: Reverse Cascade Detection</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CIP to P-002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After P-002 non-provisional</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Direct ANFIS extension; trading application claims; moderate novelty. Adds moat around P-002.</w:t>
            </w:r>
          </w:p>
        </w:tc>
      </w:tr>
      <w:tr>
        <w:trPr>
          <w:tblHeader w:val="false"/>
        </w:trPr>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9-11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P-009, P-010, P-011 (Portfolio/Harmonic/Bubble)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CIPs to respective parents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Q3-Q4 2026</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After primaries file. Commercial embodiments and defensive breadth without risking core grants.</w:t>
            </w:r>
          </w:p>
        </w:tc>
      </w:tr>
      <w:tr>
        <w:trPr>
          <w:tblHeader w:val="false"/>
        </w:trPr>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12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PCT International Filing (P-002 first)</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PCT Application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Within 12 months of P-002 filing</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Global moat for crown jewel technical innovation. European and Asian markets for enterprise AI.</w:t>
            </w:r>
          </w:p>
        </w:tc>
      </w:tr>
    </w:tbl>
    <w:p>
      <w:pPr>
        <w:spacing w:after="120"/>
      </w:pPr>
      <w:r>
        <w:rPr>
          <w:rFonts w:ascii="Arial" w:cs="Arial" w:eastAsia="Arial" w:hAnsi="Arial"/>
          <w:sz w:val="24"/>
          <w:szCs w:val="24"/>
        </w:rPr>
        <w:t xml:space="preserve"/>
      </w:r>
    </w:p>
    <w:p>
      <w:r>
        <w:br w:type="page"/>
      </w:r>
    </w:p>
    <w:p>
      <w:pPr>
        <w:pStyle w:val="Heading1"/>
      </w:pPr>
      <w:r>
        <w:rPr>
          <w:rFonts w:ascii="Arial" w:cs="Arial" w:eastAsia="Arial" w:hAnsi="Arial"/>
          <w:b/>
          <w:bCs/>
        </w:rPr>
        <w:t xml:space="preserve">The 2025-2026 USPTO Tailwind: How Each Development Benefits This Portfolio</w:t>
      </w:r>
    </w:p>
    <w:p>
      <w:pPr>
        <w:spacing w:after="120"/>
      </w:pPr>
      <w:r>
        <w:rPr>
          <w:rFonts w:ascii="Arial" w:cs="Arial" w:eastAsia="Arial" w:hAnsi="Arial"/>
          <w:b/>
          <w:bCs/>
          <w:sz w:val="24"/>
          <w:szCs w:val="24"/>
        </w:rPr>
        <w:t xml:space="preserve">1. Ex Parte Desjardins (September 2025, Precedential): </w:t>
      </w:r>
      <w:r>
        <w:rPr>
          <w:rFonts w:ascii="Arial" w:cs="Arial" w:eastAsia="Arial" w:hAnsi="Arial"/>
          <w:sz w:val="24"/>
          <w:szCs w:val="24"/>
        </w:rPr>
        <w:t xml:space="preserve">Examiners must NOT evaluate ML claims at high abstraction. They must examine specific technical limitations. For P-002: the geometric mean formula with golden ratio residuals and O(log n) convergence cannot be dismissed as 'just an algorithm.' Desjardins found this exact type of claim—improvements to ML model functioning—patent eligible. Cite this case by name in every prosecution response to §101 rejections.</w:t>
      </w:r>
    </w:p>
    <w:p>
      <w:pPr>
        <w:spacing w:after="120"/>
      </w:pPr>
      <w:r>
        <w:rPr>
          <w:rFonts w:ascii="Arial" w:cs="Arial" w:eastAsia="Arial" w:hAnsi="Arial"/>
          <w:sz w:val="24"/>
          <w:szCs w:val="24"/>
        </w:rPr>
        <w:t xml:space="preserve"/>
      </w:r>
    </w:p>
    <w:p>
      <w:pPr>
        <w:spacing w:after="120"/>
      </w:pPr>
      <w:r>
        <w:rPr>
          <w:rFonts w:ascii="Arial" w:cs="Arial" w:eastAsia="Arial" w:hAnsi="Arial"/>
          <w:b/>
          <w:bCs/>
          <w:sz w:val="24"/>
          <w:szCs w:val="24"/>
        </w:rPr>
        <w:t xml:space="preserve">2. August 2025 USPTO Memo on Mental Processes: </w:t>
      </w:r>
      <w:r>
        <w:rPr>
          <w:rFonts w:ascii="Arial" w:cs="Arial" w:eastAsia="Arial" w:hAnsi="Arial"/>
          <w:sz w:val="24"/>
          <w:szCs w:val="24"/>
        </w:rPr>
        <w:t xml:space="preserve">Examiners cannot classify AI operations as mental processes if they cannot practically be performed in the human mind. Computing h_i^(k+1) = exp[(1/φ) × Σ log(h_j^(k) × w_ij + ε)] across 100,000 nodes cannot be mentally performed. Murmuration tracking across 8+ agents with golden ratio spacing cannot be mentally performed. Your biological/physical/mathematical anchors are precisely calibrated to this standard.</w:t>
      </w:r>
    </w:p>
    <w:p>
      <w:pPr>
        <w:spacing w:after="120"/>
      </w:pPr>
      <w:r>
        <w:rPr>
          <w:rFonts w:ascii="Arial" w:cs="Arial" w:eastAsia="Arial" w:hAnsi="Arial"/>
          <w:sz w:val="24"/>
          <w:szCs w:val="24"/>
        </w:rPr>
        <w:t xml:space="preserve"/>
      </w:r>
    </w:p>
    <w:p>
      <w:pPr>
        <w:spacing w:after="120"/>
      </w:pPr>
      <w:r>
        <w:rPr>
          <w:rFonts w:ascii="Arial" w:cs="Arial" w:eastAsia="Arial" w:hAnsi="Arial"/>
          <w:b/>
          <w:bCs/>
          <w:sz w:val="24"/>
          <w:szCs w:val="24"/>
        </w:rPr>
        <w:t xml:space="preserve">3. December 2025 SMED Guidance: </w:t>
      </w:r>
      <w:r>
        <w:rPr>
          <w:rFonts w:ascii="Arial" w:cs="Arial" w:eastAsia="Arial" w:hAnsi="Arial"/>
          <w:sz w:val="24"/>
          <w:szCs w:val="24"/>
        </w:rPr>
        <w:t xml:space="preserve">The USPTO now actively encourages applicants to submit expert declarations (Rule 132) demonstrating technological improvements. Your Supabase logs, Railway deployment metrics (82-98% cost reduction), ANFIS routing success rates (71.7%), and RepID scoring histories are exactly this evidence. Plan: file non-provisional → collect 60 days live data → submit SMED signed by you as inventor with specific metrics. This is your insurance policy against §101 rejections.</w:t>
      </w:r>
    </w:p>
    <w:p>
      <w:pPr>
        <w:spacing w:after="120"/>
      </w:pPr>
      <w:r>
        <w:rPr>
          <w:rFonts w:ascii="Arial" w:cs="Arial" w:eastAsia="Arial" w:hAnsi="Arial"/>
          <w:sz w:val="24"/>
          <w:szCs w:val="24"/>
        </w:rPr>
        <w:t xml:space="preserve"/>
      </w:r>
    </w:p>
    <w:p>
      <w:pPr>
        <w:spacing w:after="120"/>
      </w:pPr>
      <w:r>
        <w:rPr>
          <w:rFonts w:ascii="Arial" w:cs="Arial" w:eastAsia="Arial" w:hAnsi="Arial"/>
          <w:b/>
          <w:bCs/>
          <w:sz w:val="24"/>
          <w:szCs w:val="24"/>
        </w:rPr>
        <w:t xml:space="preserve">4. Director Squires Disposition: </w:t>
      </w:r>
      <w:r>
        <w:rPr>
          <w:rFonts w:ascii="Arial" w:cs="Arial" w:eastAsia="Arial" w:hAnsi="Arial"/>
          <w:sz w:val="24"/>
          <w:szCs w:val="24"/>
        </w:rPr>
        <w:t xml:space="preserve">Multiple law firms documented in late 2025 that the new USPTO Director is actively working to broaden AI patent eligibility, calling prior restrictive interpretations harmful to US competitiveness. The 'close call' standard now instructs examiners to ALLOW applications unless more than 50% certain of ineligibility. The burden has shifted toward allowance.</w:t>
      </w:r>
    </w:p>
    <w:p>
      <w:pPr>
        <w:spacing w:after="120"/>
      </w:pPr>
      <w:r>
        <w:rPr>
          <w:rFonts w:ascii="Arial" w:cs="Arial" w:eastAsia="Arial" w:hAnsi="Arial"/>
          <w:sz w:val="24"/>
          <w:szCs w:val="24"/>
        </w:rPr>
        <w:t xml:space="preserve"/>
      </w:r>
    </w:p>
    <w:p>
      <w:pPr>
        <w:spacing w:after="120"/>
      </w:pPr>
      <w:r>
        <w:rPr>
          <w:rFonts w:ascii="Arial" w:cs="Arial" w:eastAsia="Arial" w:hAnsi="Arial"/>
          <w:b/>
          <w:bCs/>
          <w:sz w:val="24"/>
          <w:szCs w:val="24"/>
        </w:rPr>
        <w:t xml:space="preserve">5. Recentive Analytics Warning (April 2025, Federal Circuit): </w:t>
      </w:r>
      <w:r>
        <w:rPr>
          <w:rFonts w:ascii="Arial" w:cs="Arial" w:eastAsia="Arial" w:hAnsi="Arial"/>
          <w:sz w:val="24"/>
          <w:szCs w:val="24"/>
        </w:rPr>
        <w:t xml:space="preserve">'Merely applying established machine learning to a new data environment' is NOT patent eligible. This is the one headwind. Defense: your claims must clearly state HOW the technology itself is improved. Geometric mean aggregation improves GNN architecture. Murmuration improves agent coordination efficiency. ANFIS+RAG improves inference system performance. Frame every claim as an architecture improvement, not a new problem solved.</w:t>
      </w:r>
    </w:p>
    <w:p>
      <w:pPr>
        <w:spacing w:after="120"/>
      </w:pPr>
      <w:r>
        <w:rPr>
          <w:rFonts w:ascii="Arial" w:cs="Arial" w:eastAsia="Arial" w:hAnsi="Arial"/>
          <w:sz w:val="24"/>
          <w:szCs w:val="24"/>
        </w:rPr>
        <w:t xml:space="preserve"/>
      </w:r>
    </w:p>
    <w:p>
      <w:r>
        <w:br w:type="page"/>
      </w:r>
    </w:p>
    <w:p>
      <w:pPr>
        <w:pStyle w:val="Heading1"/>
      </w:pPr>
      <w:r>
        <w:rPr>
          <w:rFonts w:ascii="Arial" w:cs="Arial" w:eastAsia="Arial" w:hAnsi="Arial"/>
          <w:b/>
          <w:bCs/>
        </w:rPr>
        <w:t xml:space="preserve">Maximum Approval: Give Them This, Withhold That</w:t>
      </w:r>
    </w:p>
    <w:p>
      <w:pPr>
        <w:pStyle w:val="Heading2"/>
      </w:pPr>
      <w:r>
        <w:rPr>
          <w:rFonts w:ascii="Arial" w:cs="Arial" w:eastAsia="Arial" w:hAnsi="Arial"/>
          <w:b/>
          <w:bCs/>
        </w:rPr>
        <w:t xml:space="preserve">Give the Examiner Everything They Love</w:t>
      </w:r>
    </w:p>
    <w:p>
      <w:pPr>
        <w:pStyle w:val="ListParagraph"/>
        <w:numPr>
          <w:ilvl w:val="0"/>
          <w:numId w:val="2"/>
        </w:numPr>
        <w:spacing w:after="80"/>
      </w:pPr>
      <w:r>
        <w:rPr>
          <w:rFonts w:ascii="Arial" w:cs="Arial" w:eastAsia="Arial" w:hAnsi="Arial"/>
          <w:sz w:val="24"/>
          <w:szCs w:val="24"/>
        </w:rPr>
        <w:t xml:space="preserve">Specific mathematical formulas with defined parameter ranges and tolerances (you have this in P-002; add to P-001 and P-003)</w:t>
      </w:r>
    </w:p>
    <w:p>
      <w:pPr>
        <w:pStyle w:val="ListParagraph"/>
        <w:numPr>
          <w:ilvl w:val="0"/>
          <w:numId w:val="2"/>
        </w:numPr>
        <w:spacing w:after="80"/>
      </w:pPr>
      <w:r>
        <w:rPr>
          <w:rFonts w:ascii="Arial" w:cs="Arial" w:eastAsia="Arial" w:hAnsi="Arial"/>
          <w:sz w:val="24"/>
          <w:szCs w:val="24"/>
        </w:rPr>
        <w:t xml:space="preserve">Complete working code (you have this in P-002 Appendix D—it's excellent; expand similar code for P-001 and P-003)</w:t>
      </w:r>
    </w:p>
    <w:p>
      <w:pPr>
        <w:pStyle w:val="ListParagraph"/>
        <w:numPr>
          <w:ilvl w:val="0"/>
          <w:numId w:val="2"/>
        </w:numPr>
        <w:spacing w:after="80"/>
      </w:pPr>
      <w:r>
        <w:rPr>
          <w:rFonts w:ascii="Arial" w:cs="Arial" w:eastAsia="Arial" w:hAnsi="Arial"/>
          <w:sz w:val="24"/>
          <w:szCs w:val="24"/>
        </w:rPr>
        <w:t xml:space="preserve">Performance data tables with specific numbers (convergence speed, hallucination rate, cost reduction)—more data points, not fewer</w:t>
      </w:r>
    </w:p>
    <w:p>
      <w:pPr>
        <w:pStyle w:val="ListParagraph"/>
        <w:numPr>
          <w:ilvl w:val="0"/>
          <w:numId w:val="2"/>
        </w:numPr>
        <w:spacing w:after="80"/>
      </w:pPr>
      <w:r>
        <w:rPr>
          <w:rFonts w:ascii="Arial" w:cs="Arial" w:eastAsia="Arial" w:hAnsi="Arial"/>
          <w:sz w:val="24"/>
          <w:szCs w:val="24"/>
        </w:rPr>
        <w:t xml:space="preserve">Prior art section that NAMES specific papers/patents and explains specifically why your invention is different from each. Pre-empts §103 obviousness.</w:t>
      </w:r>
    </w:p>
    <w:p>
      <w:pPr>
        <w:pStyle w:val="ListParagraph"/>
        <w:numPr>
          <w:ilvl w:val="0"/>
          <w:numId w:val="2"/>
        </w:numPr>
        <w:spacing w:after="80"/>
      </w:pPr>
      <w:r>
        <w:rPr>
          <w:rFonts w:ascii="Arial" w:cs="Arial" w:eastAsia="Arial" w:hAnsi="Arial"/>
          <w:sz w:val="24"/>
          <w:szCs w:val="24"/>
        </w:rPr>
        <w:t xml:space="preserve">12-15 high-quality architecture diagrams per non-provisional (block diagrams, flowcharts, data flow)—visuals help examiners understand and approve</w:t>
      </w:r>
    </w:p>
    <w:p>
      <w:pPr>
        <w:pStyle w:val="ListParagraph"/>
        <w:numPr>
          <w:ilvl w:val="0"/>
          <w:numId w:val="2"/>
        </w:numPr>
        <w:spacing w:after="80"/>
      </w:pPr>
      <w:r>
        <w:rPr>
          <w:rFonts w:ascii="Arial" w:cs="Arial" w:eastAsia="Arial" w:hAnsi="Arial"/>
          <w:sz w:val="24"/>
          <w:szCs w:val="24"/>
        </w:rPr>
        <w:t xml:space="preserve">Dependent claims forming a ladder: independent → broad embodiment → specific parameters → hardware implementation → specific application</w:t>
      </w:r>
    </w:p>
    <w:p>
      <w:pPr>
        <w:pStyle w:val="ListParagraph"/>
        <w:numPr>
          <w:ilvl w:val="0"/>
          <w:numId w:val="2"/>
        </w:numPr>
        <w:spacing w:after="80"/>
      </w:pPr>
      <w:r>
        <w:rPr>
          <w:rFonts w:ascii="Arial" w:cs="Arial" w:eastAsia="Arial" w:hAnsi="Arial"/>
          <w:sz w:val="24"/>
          <w:szCs w:val="24"/>
        </w:rPr>
        <w:t xml:space="preserve">DOCX format specification per USPTO Jan 2024 requirement (avoids extra fee)</w:t>
      </w:r>
    </w:p>
    <w:p>
      <w:pPr>
        <w:pStyle w:val="ListParagraph"/>
        <w:numPr>
          <w:ilvl w:val="0"/>
          <w:numId w:val="2"/>
        </w:numPr>
        <w:spacing w:after="80"/>
      </w:pPr>
      <w:r>
        <w:rPr>
          <w:rFonts w:ascii="Arial" w:cs="Arial" w:eastAsia="Arial" w:hAnsi="Arial"/>
          <w:sz w:val="24"/>
          <w:szCs w:val="24"/>
        </w:rPr>
        <w:t xml:space="preserve">Background section explaining the specific COMPUTATIONAL problem solved (not the human need—the technical problem with prior art solutions)</w:t>
      </w:r>
    </w:p>
    <w:p>
      <w:pPr>
        <w:pStyle w:val="ListParagraph"/>
        <w:numPr>
          <w:ilvl w:val="0"/>
          <w:numId w:val="2"/>
        </w:numPr>
        <w:spacing w:after="80"/>
      </w:pPr>
      <w:r>
        <w:rPr>
          <w:rFonts w:ascii="Arial" w:cs="Arial" w:eastAsia="Arial" w:hAnsi="Arial"/>
          <w:sz w:val="24"/>
          <w:szCs w:val="24"/>
        </w:rPr>
        <w:t xml:space="preserve">Acknowledgment and distinction of closest prior art (Jøsang for subjective logic, Jang for ANFIS, Kipf &amp; Welling for GNNs)</w:t>
      </w:r>
    </w:p>
    <w:p>
      <w:pPr>
        <w:pStyle w:val="ListParagraph"/>
        <w:numPr>
          <w:ilvl w:val="0"/>
          <w:numId w:val="2"/>
        </w:numPr>
        <w:spacing w:after="80"/>
      </w:pPr>
      <w:r>
        <w:rPr>
          <w:rFonts w:ascii="Arial" w:cs="Arial" w:eastAsia="Arial" w:hAnsi="Arial"/>
          <w:sz w:val="24"/>
          <w:szCs w:val="24"/>
        </w:rPr>
        <w:t xml:space="preserve">SMED declaration with live performance data after 30-60 days operation—file this as a Rule 132 declaration</w:t>
      </w:r>
    </w:p>
    <w:p>
      <w:pPr>
        <w:spacing w:after="120"/>
      </w:pPr>
      <w:r>
        <w:rPr>
          <w:rFonts w:ascii="Arial" w:cs="Arial" w:eastAsia="Arial" w:hAnsi="Arial"/>
          <w:sz w:val="24"/>
          <w:szCs w:val="24"/>
        </w:rPr>
        <w:t xml:space="preserve"/>
      </w:r>
    </w:p>
    <w:p>
      <w:pPr>
        <w:pStyle w:val="Heading2"/>
      </w:pPr>
      <w:r>
        <w:rPr>
          <w:rFonts w:ascii="Arial" w:cs="Arial" w:eastAsia="Arial" w:hAnsi="Arial"/>
          <w:b/>
          <w:bCs/>
        </w:rPr>
        <w:t xml:space="preserve">Never Give the Examiner a Reason to Reject</w:t>
      </w:r>
    </w:p>
    <w:p>
      <w:pPr>
        <w:pStyle w:val="ListParagraph"/>
        <w:numPr>
          <w:ilvl w:val="0"/>
          <w:numId w:val="2"/>
        </w:numPr>
        <w:spacing w:after="80"/>
      </w:pPr>
      <w:r>
        <w:rPr>
          <w:rFonts w:ascii="Arial" w:cs="Arial" w:eastAsia="Arial" w:hAnsi="Arial"/>
          <w:sz w:val="24"/>
          <w:szCs w:val="24"/>
        </w:rPr>
        <w:t xml:space="preserve">Philosophical language in CLAIMS ('discovers rather than invents,' 'consciousness,' 'reality reorganization,' 'life purpose')—keep in Background only</w:t>
      </w:r>
    </w:p>
    <w:p>
      <w:pPr>
        <w:pStyle w:val="ListParagraph"/>
        <w:numPr>
          <w:ilvl w:val="0"/>
          <w:numId w:val="2"/>
        </w:numPr>
        <w:spacing w:after="80"/>
      </w:pPr>
      <w:r>
        <w:rPr>
          <w:rFonts w:ascii="Arial" w:cs="Arial" w:eastAsia="Arial" w:hAnsi="Arial"/>
          <w:sz w:val="24"/>
          <w:szCs w:val="24"/>
        </w:rPr>
        <w:t xml:space="preserve">Broad result claims without mechanism ('reducing hallucinations by 90%' as independent claim—must explain HOW mechanistically)</w:t>
      </w:r>
    </w:p>
    <w:p>
      <w:pPr>
        <w:pStyle w:val="ListParagraph"/>
        <w:numPr>
          <w:ilvl w:val="0"/>
          <w:numId w:val="2"/>
        </w:numPr>
        <w:spacing w:after="80"/>
      </w:pPr>
      <w:r>
        <w:rPr>
          <w:rFonts w:ascii="Arial" w:cs="Arial" w:eastAsia="Arial" w:hAnsi="Arial"/>
          <w:sz w:val="24"/>
          <w:szCs w:val="24"/>
        </w:rPr>
        <w:t xml:space="preserve">Abstract terminology without specific technical implementation ('agents harmonize' without defining the specific protocol)</w:t>
      </w:r>
    </w:p>
    <w:p>
      <w:pPr>
        <w:pStyle w:val="ListParagraph"/>
        <w:numPr>
          <w:ilvl w:val="0"/>
          <w:numId w:val="2"/>
        </w:numPr>
        <w:spacing w:after="80"/>
      </w:pPr>
      <w:r>
        <w:rPr>
          <w:rFonts w:ascii="Arial" w:cs="Arial" w:eastAsia="Arial" w:hAnsi="Arial"/>
          <w:sz w:val="24"/>
          <w:szCs w:val="24"/>
        </w:rPr>
        <w:t xml:space="preserve">Infinite ROI or zero-cost claims—business method abstractions, rejected under §101</w:t>
      </w:r>
    </w:p>
    <w:p>
      <w:pPr>
        <w:pStyle w:val="ListParagraph"/>
        <w:numPr>
          <w:ilvl w:val="0"/>
          <w:numId w:val="2"/>
        </w:numPr>
        <w:spacing w:after="80"/>
      </w:pPr>
      <w:r>
        <w:rPr>
          <w:rFonts w:ascii="Arial" w:cs="Arial" w:eastAsia="Arial" w:hAnsi="Arial"/>
          <w:sz w:val="24"/>
          <w:szCs w:val="24"/>
        </w:rPr>
        <w:t xml:space="preserve">Medical/therapeutic claims without FDA coordination (consciousness therapy, depression treatment)—separate filing or remove</w:t>
      </w:r>
    </w:p>
    <w:p>
      <w:pPr>
        <w:pStyle w:val="ListParagraph"/>
        <w:numPr>
          <w:ilvl w:val="0"/>
          <w:numId w:val="2"/>
        </w:numPr>
        <w:spacing w:after="80"/>
      </w:pPr>
      <w:r>
        <w:rPr>
          <w:rFonts w:ascii="Arial" w:cs="Arial" w:eastAsia="Arial" w:hAnsi="Arial"/>
          <w:sz w:val="24"/>
          <w:szCs w:val="24"/>
        </w:rPr>
        <w:t xml:space="preserve">Claims performable mentally (organizing information, making judgments)—note your GNN operations are NOT mentally performable</w:t>
      </w:r>
    </w:p>
    <w:p>
      <w:pPr>
        <w:pStyle w:val="ListParagraph"/>
        <w:numPr>
          <w:ilvl w:val="0"/>
          <w:numId w:val="2"/>
        </w:numPr>
        <w:spacing w:after="80"/>
      </w:pPr>
      <w:r>
        <w:rPr>
          <w:rFonts w:ascii="Arial" w:cs="Arial" w:eastAsia="Arial" w:hAnsi="Arial"/>
          <w:sz w:val="24"/>
          <w:szCs w:val="24"/>
        </w:rPr>
        <w:t xml:space="preserve">Vague claim language: 'substantially,' 'generally' are acceptable for parameters but fatal for mechanisms</w:t>
      </w:r>
    </w:p>
    <w:p>
      <w:pPr>
        <w:pStyle w:val="ListParagraph"/>
        <w:numPr>
          <w:ilvl w:val="0"/>
          <w:numId w:val="2"/>
        </w:numPr>
        <w:spacing w:after="80"/>
      </w:pPr>
      <w:r>
        <w:rPr>
          <w:rFonts w:ascii="Arial" w:cs="Arial" w:eastAsia="Arial" w:hAnsi="Arial"/>
          <w:sz w:val="24"/>
          <w:szCs w:val="24"/>
        </w:rPr>
        <w:t xml:space="preserve">More than 20 claims without a plan—excess claim fees add up; use all 20 slots but don't waste them on weak claims</w:t>
      </w:r>
    </w:p>
    <w:p>
      <w:pPr>
        <w:spacing w:after="120"/>
      </w:pPr>
      <w:r>
        <w:rPr>
          <w:rFonts w:ascii="Arial" w:cs="Arial" w:eastAsia="Arial" w:hAnsi="Arial"/>
          <w:sz w:val="24"/>
          <w:szCs w:val="24"/>
        </w:rPr>
        <w:t xml:space="preserve"/>
      </w:r>
    </w:p>
    <w:p>
      <w:r>
        <w:br w:type="page"/>
      </w:r>
    </w:p>
    <w:p>
      <w:pPr>
        <w:pStyle w:val="Heading1"/>
      </w:pPr>
      <w:r>
        <w:rPr>
          <w:rFonts w:ascii="Arial" w:cs="Arial" w:eastAsia="Arial" w:hAnsi="Arial"/>
          <w:b/>
          <w:bCs/>
        </w:rPr>
        <w:t xml:space="preserve">Prior Art Assessment: Exposure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2000"/>
        <w:gridCol w:w="3760"/>
      </w:tblGrid>
      <w:tr>
        <w:trPr>
          <w:tblHeader/>
        </w:trPr>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top"/>
          </w:tcPr>
          <w:p>
            <w:r>
              <w:rPr>
                <w:rFonts w:ascii="Arial" w:cs="Arial" w:eastAsia="Arial" w:hAnsi="Arial"/>
                <w:b/>
                <w:bCs/>
                <w:color w:val="FFFFFF"/>
                <w:sz w:val="20"/>
                <w:szCs w:val="20"/>
              </w:rPr>
              <w:t xml:space="preserve">Patent Element</w:t>
            </w:r>
          </w:p>
        </w:tc>
        <w:tc>
          <w:tcPr>
            <w:tcW w:type="dxa" w:w="1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top"/>
          </w:tcPr>
          <w:p>
            <w:r>
              <w:rPr>
                <w:rFonts w:ascii="Arial" w:cs="Arial" w:eastAsia="Arial" w:hAnsi="Arial"/>
                <w:b/>
                <w:bCs/>
                <w:color w:val="FFFFFF"/>
                <w:sz w:val="20"/>
                <w:szCs w:val="20"/>
              </w:rPr>
              <w:t xml:space="preserve">Prior Art Risk</w:t>
            </w:r>
          </w:p>
        </w:tc>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top"/>
          </w:tcPr>
          <w:p>
            <w:r>
              <w:rPr>
                <w:rFonts w:ascii="Arial" w:cs="Arial" w:eastAsia="Arial" w:hAnsi="Arial"/>
                <w:b/>
                <w:bCs/>
                <w:color w:val="FFFFFF"/>
                <w:sz w:val="20"/>
                <w:szCs w:val="20"/>
              </w:rPr>
              <w:t xml:space="preserve">Key Differentiator</w:t>
            </w:r>
          </w:p>
        </w:tc>
        <w:tc>
          <w:tcPr>
            <w:tcW w:type="dxa" w:w="37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top"/>
          </w:tcPr>
          <w:p>
            <w:r>
              <w:rPr>
                <w:rFonts w:ascii="Arial" w:cs="Arial" w:eastAsia="Arial" w:hAnsi="Arial"/>
                <w:b/>
                <w:bCs/>
                <w:color w:val="FFFFFF"/>
                <w:sz w:val="20"/>
                <w:szCs w:val="20"/>
              </w:rPr>
              <w:t xml:space="preserve">Defense Strategy</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GNN geometric mean aggregation (P-002 Claim 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LOW</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φ-weighted log-space formula with five-part stabilization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Distinguish from Kipf &amp; Welling (2016) additive GCN and spectral GNNs. Your formula is structurally different from all known aggregation mechanisms.</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Subjective logic b+d+u=1 enforcement (P-002 Claim 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MODERATE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Automatic suppression gate (d&gt;b=suppress) on GNN outputs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Cite Jøsang's framework as prior art in spec, then distinguish: you apply it as a mandatory architectural constraint on neural network outputs, not as a standalone probability framework.</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Multi-agent odd-number BFT consensus (P-001)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MODERATE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Integration with murmuration/slime mold + golden ratio timing</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Claim the combination only. Individual algorithms (BFT, murmuration) are prior art; their specific integration architecture is your invention.</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Trinity biological+physical+artistic integration (P-001)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LOW</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The specific trinity with φ-based resource allocation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No prior art on this exact combination. Distinguish from general swarm intelligence (Reynolds 1987 boids) and ant colony optimization (Dorigo 1992) as prior art background.</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ANFIS + Semantic RAG + Differentiable Fuzzy Logic (P-003)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VERY LOW</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Making fuzzy logic differentiable enabling gradient flow through rules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Crown jewel of P-003. Cite ANFIS (Jang 1993) and RAG (Lewis et al. 2020) as separate prior art. Claim the novel combination with differentiability as key contribution.</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Pythagorean Comma Veto Protocol (new provisional P-003)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NONE IDENTIFIED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Musical comma analogy for AI gap detection with LLE escalation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File immediately. Claim: (a) gap detection via Pythagorean comma quantification, (b) three-tier severity (Warning/Veto/Emergency), (c) LLE-modulated escalation threshold. This combination is entirely original.</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n^1.5 MoE scaling with geometric aggregation (P-002 Claim 6)</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MODERATE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Geometric mean vs. arithmetic mean in expert aggregation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Distinguish Jacobs (1991) and Shazeer (2017) Sparsely Gated MoE: both use weighted arithmetic means. Your geometric mean creates multiplicative synergy, not additive combination. Name and distinguish both.</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HIAS Human Intuition Accuracy Score (new provisional P-004)</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LOW</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Probabilistic promotion of human to agent status at 0.85 threshold</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Distinguish from standard HITL literature (Momennejad 2022) which treats human feedback as binary, not probabilistic calibration. Your system scores human intuition quality and promotes the human to agent status.</w:t>
            </w:r>
          </w:p>
        </w:tc>
      </w:tr>
    </w:tbl>
    <w:p>
      <w:pPr>
        <w:spacing w:after="120"/>
      </w:pPr>
      <w:r>
        <w:rPr>
          <w:rFonts w:ascii="Arial" w:cs="Arial" w:eastAsia="Arial" w:hAnsi="Arial"/>
          <w:sz w:val="24"/>
          <w:szCs w:val="24"/>
        </w:rPr>
        <w:t xml:space="preserve"/>
      </w:r>
    </w:p>
    <w:p>
      <w:r>
        <w:br w:type="page"/>
      </w:r>
    </w:p>
    <w:p>
      <w:pPr>
        <w:pStyle w:val="Heading1"/>
      </w:pPr>
      <w:r>
        <w:rPr>
          <w:rFonts w:ascii="Arial" w:cs="Arial" w:eastAsia="Arial" w:hAnsi="Arial"/>
          <w:b/>
          <w:bCs/>
        </w:rPr>
        <w:t xml:space="preserve">Trade Secret vs. Patent: Final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400"/>
        <w:gridCol w:w="1600"/>
        <w:gridCol w:w="3860"/>
      </w:tblGrid>
      <w:tr>
        <w:trPr>
          <w:tblHeader/>
        </w:trPr>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top"/>
          </w:tcPr>
          <w:p>
            <w:r>
              <w:rPr>
                <w:rFonts w:ascii="Arial" w:cs="Arial" w:eastAsia="Arial" w:hAnsi="Arial"/>
                <w:b/>
                <w:bCs/>
                <w:color w:val="FFFFFF"/>
                <w:sz w:val="20"/>
                <w:szCs w:val="20"/>
              </w:rPr>
              <w:t xml:space="preserve">Element</w:t>
            </w:r>
          </w:p>
        </w:tc>
        <w:tc>
          <w:tcPr>
            <w:tcW w:type="dxa" w:w="1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top"/>
          </w:tcPr>
          <w:p>
            <w:r>
              <w:rPr>
                <w:rFonts w:ascii="Arial" w:cs="Arial" w:eastAsia="Arial" w:hAnsi="Arial"/>
                <w:b/>
                <w:bCs/>
                <w:color w:val="FFFFFF"/>
                <w:sz w:val="20"/>
                <w:szCs w:val="20"/>
              </w:rPr>
              <w:t xml:space="preserve">Decision</w:t>
            </w:r>
          </w:p>
        </w:tc>
        <w:tc>
          <w:tcPr>
            <w:tcW w:type="dxa" w:w="1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top"/>
          </w:tcPr>
          <w:p>
            <w:r>
              <w:rPr>
                <w:rFonts w:ascii="Arial" w:cs="Arial" w:eastAsia="Arial" w:hAnsi="Arial"/>
                <w:b/>
                <w:bCs/>
                <w:color w:val="FFFFFF"/>
                <w:sz w:val="20"/>
                <w:szCs w:val="20"/>
              </w:rPr>
              <w:t xml:space="preserve">Rationale</w:t>
            </w:r>
          </w:p>
        </w:tc>
        <w:tc>
          <w:tcPr>
            <w:tcW w:type="dxa" w:w="3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top"/>
          </w:tcPr>
          <w:p>
            <w:r>
              <w:rPr>
                <w:rFonts w:ascii="Arial" w:cs="Arial" w:eastAsia="Arial" w:hAnsi="Arial"/>
                <w:b/>
                <w:bCs/>
                <w:color w:val="FFFFFF"/>
                <w:sz w:val="20"/>
                <w:szCs w:val="20"/>
              </w:rPr>
              <w:t xml:space="preserve">Implementation</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Exact Lyapunov exponent threshold (0.006472)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TRADE SECRET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Method patented; calibration is competitive moat</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Patent: 'Lyapunov exponent between 0.001 and 0.05.' Secret: 0.006472 optimal. Never publish in code, papers, or GitHub.</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Exact epsilon-greedy decay rates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TRADE SECRET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Exact values not needed for §112 enablement</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Same pattern: broad ranges in patent, exact values proprietary.</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ANFIS formula sequencing order (GR → Fibonacci → Chaos)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TRADE SECRET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Ordering creates advantage not easily reverse-engineered from spec</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Patent claims the three-component combination. Trade secret protects the ordering.</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Conductor rotation protocol (20-min cycle)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TRADE SECRET (monitor)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Implementation detail; no exposure risk currently</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File as provisional within 48 hours of first competitor sign. Monitor LinkedIn/arXiv for similar systems.</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RepID scoring formula (φ, π/4, e^-entropy weights)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PARTIAL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Structure patentable; specific weights are trade secret</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Patent: 'RepID computed from performance, peer agreement, and innovation weighted by natural mathematical constants.' Trade secret: the specific constants and their exact values.</w:t>
            </w:r>
          </w:p>
        </w:tc>
      </w:tr>
    </w:tbl>
    <w:p>
      <w:pPr>
        <w:spacing w:after="120"/>
      </w:pPr>
      <w:r>
        <w:rPr>
          <w:rFonts w:ascii="Arial" w:cs="Arial" w:eastAsia="Arial" w:hAnsi="Arial"/>
          <w:sz w:val="24"/>
          <w:szCs w:val="24"/>
        </w:rPr>
        <w:t xml:space="preserve"/>
      </w:r>
    </w:p>
    <w:p>
      <w:r>
        <w:br w:type="page"/>
      </w:r>
    </w:p>
    <w:p>
      <w:pPr>
        <w:pStyle w:val="Heading1"/>
      </w:pPr>
      <w:r>
        <w:rPr>
          <w:rFonts w:ascii="Arial" w:cs="Arial" w:eastAsia="Arial" w:hAnsi="Arial"/>
          <w:b/>
          <w:bCs/>
        </w:rPr>
        <w:t xml:space="preserve">Budget Estimates and Immediate 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1800"/>
        <w:gridCol w:w="2560"/>
      </w:tblGrid>
      <w:tr>
        <w:trPr>
          <w:tblHeader/>
        </w:trPr>
        <w:tc>
          <w:tcPr>
            <w:tcW w:type="dxa" w:w="3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top"/>
          </w:tcPr>
          <w:p>
            <w:r>
              <w:rPr>
                <w:rFonts w:ascii="Arial" w:cs="Arial" w:eastAsia="Arial" w:hAnsi="Arial"/>
                <w:b/>
                <w:bCs/>
                <w:color w:val="FFFFFF"/>
                <w:sz w:val="20"/>
                <w:szCs w:val="20"/>
              </w:rPr>
              <w:t xml:space="preserve">Action</w:t>
            </w:r>
          </w:p>
        </w:tc>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top"/>
          </w:tcPr>
          <w:p>
            <w:r>
              <w:rPr>
                <w:rFonts w:ascii="Arial" w:cs="Arial" w:eastAsia="Arial" w:hAnsi="Arial"/>
                <w:b/>
                <w:bCs/>
                <w:color w:val="FFFFFF"/>
                <w:sz w:val="20"/>
                <w:szCs w:val="20"/>
              </w:rPr>
              <w:t xml:space="preserve">USPTO Fees (Micro-Entity)</w:t>
            </w:r>
          </w:p>
        </w:tc>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top"/>
          </w:tcPr>
          <w:p>
            <w:r>
              <w:rPr>
                <w:rFonts w:ascii="Arial" w:cs="Arial" w:eastAsia="Arial" w:hAnsi="Arial"/>
                <w:b/>
                <w:bCs/>
                <w:color w:val="FFFFFF"/>
                <w:sz w:val="20"/>
                <w:szCs w:val="20"/>
              </w:rPr>
              <w:t xml:space="preserve">Attorney Fees Est.</w:t>
            </w:r>
          </w:p>
        </w:tc>
        <w:tc>
          <w:tcPr>
            <w:tcW w:type="dxa" w:w="2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top"/>
          </w:tcPr>
          <w:p>
            <w:r>
              <w:rPr>
                <w:rFonts w:ascii="Arial" w:cs="Arial" w:eastAsia="Arial" w:hAnsi="Arial"/>
                <w:b/>
                <w:bCs/>
                <w:color w:val="FFFFFF"/>
                <w:sz w:val="20"/>
                <w:szCs w:val="20"/>
              </w:rPr>
              <w:t xml:space="preserve">Timeline</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P-003 New Provisional (Comma Agent)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$65-130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$0-1,000 (self-file)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This week</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P-004 New Provisional (HIAS)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$65-130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$0-1,000 (self-file)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This week</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P-002 Non-Provisional (GNN — file first)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$800-1,600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$8,000-15,000</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Before 8/17/26</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P-001 Non-Provisional (Trinity Symphony)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$800-1,600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$10,000-20,000</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Before 8/6/26</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P-006 New Provisional (BFT Consensus)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$65-130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$1,000-2,000</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30 days</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P-003 QDR Non-Provisional CIP</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$800-1,600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$8,000-15,000</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Before 8/21/26</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P-008 New Provisional (ZKP-NFT)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$65-130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$2,000-4,000</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60 days</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PCT Filing (P-002 after grant, global moat)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$3,000-4,500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$5,000-10,000</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Within 12 months of P-002</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TOTAL (12-month window estimate)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$5,700-9,720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$34,000-68,000</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
            </w:r>
          </w:p>
        </w:tc>
      </w:tr>
    </w:tbl>
    <w:p>
      <w:pPr>
        <w:spacing w:after="120"/>
      </w:pPr>
      <w:r>
        <w:rPr>
          <w:rFonts w:ascii="Arial" w:cs="Arial" w:eastAsia="Arial" w:hAnsi="Arial"/>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20"/>
              <w:left w:type="dxa" w:w="180"/>
              <w:bottom w:type="dxa" w:w="120"/>
              <w:right w:type="dxa" w:w="180"/>
            </w:tcMar>
          </w:tcPr>
          <w:p>
            <w:r>
              <w:rPr>
                <w:rFonts w:ascii="Arial" w:cs="Arial" w:eastAsia="Arial" w:hAnsi="Arial"/>
                <w:b/>
                <w:bCs/>
                <w:sz w:val="24"/>
                <w:szCs w:val="24"/>
              </w:rPr>
              <w:t xml:space="preserve">MICRO-ENTITY STATUS CHECK: </w:t>
            </w:r>
            <w:r>
              <w:rPr>
                <w:rFonts w:ascii="Arial" w:cs="Arial" w:eastAsia="Arial" w:hAnsi="Arial"/>
                <w:sz w:val="24"/>
                <w:szCs w:val="24"/>
              </w:rPr>
              <w:t xml:space="preserve">To qualify for 80% USPTO fee reduction: (1) fewer than 5 prior patents as named inventor (provisionals don't count), (2) gross income not exceeding 3× median household income (~$195k in 2025). Verify with attorney before every filing.</w:t>
            </w:r>
          </w:p>
        </w:tc>
      </w:tr>
    </w:tbl>
    <w:p>
      <w:pPr>
        <w:spacing w:after="120"/>
      </w:pPr>
      <w:r>
        <w:rPr>
          <w:rFonts w:ascii="Arial" w:cs="Arial" w:eastAsia="Arial" w:hAnsi="Arial"/>
          <w:sz w:val="24"/>
          <w:szCs w:val="24"/>
        </w:rPr>
        <w:t xml:space="preserve"/>
      </w:r>
    </w:p>
    <w:p>
      <w:pPr>
        <w:pStyle w:val="Heading2"/>
      </w:pPr>
      <w:r>
        <w:rPr>
          <w:rFonts w:ascii="Arial" w:cs="Arial" w:eastAsia="Arial" w:hAnsi="Arial"/>
          <w:b/>
          <w:bCs/>
        </w:rPr>
        <w:t xml:space="preserve">Immediate Action Items: This Week</w:t>
      </w:r>
    </w:p>
    <w:p>
      <w:pPr>
        <w:pStyle w:val="ListParagraph"/>
        <w:numPr>
          <w:ilvl w:val="0"/>
          <w:numId w:val="2"/>
        </w:numPr>
        <w:spacing w:after="80"/>
      </w:pPr>
      <w:r>
        <w:rPr>
          <w:rFonts w:ascii="Arial" w:cs="Arial" w:eastAsia="Arial" w:hAnsi="Arial"/>
          <w:b/>
          <w:bCs/>
          <w:sz w:val="24"/>
          <w:szCs w:val="24"/>
        </w:rPr>
        <w:t xml:space="preserve">Day 1: </w:t>
      </w:r>
      <w:r>
        <w:rPr>
          <w:rFonts w:ascii="Arial" w:cs="Arial" w:eastAsia="Arial" w:hAnsi="Arial"/>
          <w:sz w:val="24"/>
          <w:szCs w:val="24"/>
        </w:rPr>
        <w:t xml:space="preserve">P-003 Comma Agent provisional: three-tier veto protocol (Warning/Veto/Emergency), LLE-based severity escalation, integration with BFT consensus. File via USPTO Patent Center.</w:t>
      </w:r>
    </w:p>
    <w:p>
      <w:pPr>
        <w:pStyle w:val="ListParagraph"/>
        <w:numPr>
          <w:ilvl w:val="0"/>
          <w:numId w:val="2"/>
        </w:numPr>
        <w:spacing w:after="80"/>
      </w:pPr>
      <w:r>
        <w:rPr>
          <w:rFonts w:ascii="Arial" w:cs="Arial" w:eastAsia="Arial" w:hAnsi="Arial"/>
          <w:b/>
          <w:bCs/>
          <w:sz w:val="24"/>
          <w:szCs w:val="24"/>
        </w:rPr>
        <w:t xml:space="preserve">Day 2: </w:t>
      </w:r>
      <w:r>
        <w:rPr>
          <w:rFonts w:ascii="Arial" w:cs="Arial" w:eastAsia="Arial" w:hAnsi="Arial"/>
          <w:sz w:val="24"/>
          <w:szCs w:val="24"/>
        </w:rPr>
        <w:t xml:space="preserve">P-004 HIAS provisional: hunch taxonomy (8 categories), confidence scoring 1-10, promotion threshold (0.85 HIAS), HITL state machine integration.</w:t>
      </w:r>
    </w:p>
    <w:p>
      <w:pPr>
        <w:pStyle w:val="ListParagraph"/>
        <w:numPr>
          <w:ilvl w:val="0"/>
          <w:numId w:val="2"/>
        </w:numPr>
        <w:spacing w:after="80"/>
      </w:pPr>
      <w:r>
        <w:rPr>
          <w:rFonts w:ascii="Arial" w:cs="Arial" w:eastAsia="Arial" w:hAnsi="Arial"/>
          <w:b/>
          <w:bCs/>
          <w:sz w:val="24"/>
          <w:szCs w:val="24"/>
        </w:rPr>
        <w:t xml:space="preserve">Day 3: </w:t>
      </w:r>
      <w:r>
        <w:rPr>
          <w:rFonts w:ascii="Arial" w:cs="Arial" w:eastAsia="Arial" w:hAnsi="Arial"/>
          <w:sz w:val="24"/>
          <w:szCs w:val="24"/>
        </w:rPr>
        <w:t xml:space="preserve">Attorney consultation. Agenda: micro-entity status verification, prior art search authorization for P-002 and P-001, non-provisional drafting timeline.</w:t>
      </w:r>
    </w:p>
    <w:p>
      <w:pPr>
        <w:pStyle w:val="ListParagraph"/>
        <w:numPr>
          <w:ilvl w:val="0"/>
          <w:numId w:val="2"/>
        </w:numPr>
        <w:spacing w:after="80"/>
      </w:pPr>
      <w:r>
        <w:rPr>
          <w:rFonts w:ascii="Arial" w:cs="Arial" w:eastAsia="Arial" w:hAnsi="Arial"/>
          <w:b/>
          <w:bCs/>
          <w:sz w:val="24"/>
          <w:szCs w:val="24"/>
        </w:rPr>
        <w:t xml:space="preserve">Day 4-5: </w:t>
      </w:r>
      <w:r>
        <w:rPr>
          <w:rFonts w:ascii="Arial" w:cs="Arial" w:eastAsia="Arial" w:hAnsi="Arial"/>
          <w:sz w:val="24"/>
          <w:szCs w:val="24"/>
        </w:rPr>
        <w:t xml:space="preserve">Begin 30-day data collection from Railway: ANFIS routing success rates by agent, RepID distributions, BFT consensus outcomes, cost per call by model. This is your future SMED evidence.</w:t>
      </w:r>
    </w:p>
    <w:p>
      <w:pPr>
        <w:pStyle w:val="ListParagraph"/>
        <w:numPr>
          <w:ilvl w:val="0"/>
          <w:numId w:val="2"/>
        </w:numPr>
        <w:spacing w:after="80"/>
      </w:pPr>
      <w:r>
        <w:rPr>
          <w:rFonts w:ascii="Arial" w:cs="Arial" w:eastAsia="Arial" w:hAnsi="Arial"/>
          <w:b/>
          <w:bCs/>
          <w:sz w:val="24"/>
          <w:szCs w:val="24"/>
        </w:rPr>
        <w:t xml:space="preserve">30 days: </w:t>
      </w:r>
      <w:r>
        <w:rPr>
          <w:rFonts w:ascii="Arial" w:cs="Arial" w:eastAsia="Arial" w:hAnsi="Arial"/>
          <w:sz w:val="24"/>
          <w:szCs w:val="24"/>
        </w:rPr>
        <w:t xml:space="preserve">File P-006 provisional (BFT Consensus). Attorney completes P-002 non-provisional draft. Run formal prior art searches (attorney orders via Innography or LexisNexis Patent).</w:t>
      </w:r>
    </w:p>
    <w:p>
      <w:pPr>
        <w:spacing w:after="120"/>
      </w:pPr>
      <w:r>
        <w:rPr>
          <w:rFonts w:ascii="Arial" w:cs="Arial" w:eastAsia="Arial" w:hAnsi="Arial"/>
          <w:sz w:val="24"/>
          <w:szCs w:val="24"/>
        </w:rPr>
        <w:t xml:space="preserve"/>
      </w:r>
    </w:p>
    <w:p>
      <w:pPr>
        <w:pStyle w:val="Heading2"/>
      </w:pPr>
      <w:r>
        <w:rPr>
          <w:rFonts w:ascii="Arial" w:cs="Arial" w:eastAsia="Arial" w:hAnsi="Arial"/>
          <w:b/>
          <w:bCs/>
        </w:rPr>
        <w:t xml:space="preserve">The Hidden Value of the Third Provisional</w:t>
      </w:r>
    </w:p>
    <w:p>
      <w:pPr>
        <w:spacing w:after="120"/>
      </w:pPr>
      <w:r>
        <w:rPr>
          <w:rFonts w:ascii="Arial" w:cs="Arial" w:eastAsia="Arial" w:hAnsi="Arial"/>
          <w:sz w:val="24"/>
          <w:szCs w:val="24"/>
        </w:rPr>
        <w:t xml:space="preserve">P-003 (Question-Driven Reality Reorganization, August 21, 2025) was filed just 4 days after P-002 and 15 days after P-001. It is already structured as a CIP referencing both parents. This means overlapping ANFIS, GNN, and orchestration subject matter in P-003 inherits the August 6 and August 17 priority dates. The ANFIS + Semantic RAG combination disclosed in P-003 retroactively claims August 6 priority via P-001's ANFIS discussion. The non-provisional conversion of P-003 should lead with the ANFIS+RAG+Differentiable Fuzzy Logic claims precisely because they inherit the earliest priority dates and have essentially no prior art. This is the most strategically underlevered asset in the current portfolio.</w:t>
      </w:r>
    </w:p>
    <w:p>
      <w:pPr>
        <w:spacing w:after="120"/>
      </w:pPr>
      <w:r>
        <w:rPr>
          <w:rFonts w:ascii="Arial" w:cs="Arial" w:eastAsia="Arial" w:hAnsi="Arial"/>
          <w:sz w:val="24"/>
          <w:szCs w:val="24"/>
        </w:rPr>
        <w:t xml:space="preserve"/>
      </w:r>
    </w:p>
    <w:p>
      <w:pPr>
        <w:spacing w:after="120"/>
      </w:pPr>
      <w:r>
        <w:rPr>
          <w:rFonts w:ascii="Arial" w:cs="Arial" w:eastAsia="Arial" w:hAnsi="Arial"/>
          <w:sz w:val="24"/>
          <w:szCs w:val="24"/>
        </w:rPr>
        <w:t xml:space="preserve"/>
      </w:r>
    </w:p>
    <w:p>
      <w:pPr>
        <w:spacing w:after="120"/>
      </w:pPr>
      <w:r>
        <w:rPr>
          <w:rFonts w:ascii="Arial" w:cs="Arial" w:eastAsia="Arial" w:hAnsi="Arial"/>
          <w:sz w:val="24"/>
          <w:szCs w:val="24"/>
        </w:rPr>
        <w:t xml:space="preserve">This analysis is a strategic framework, not legal advice. All decisions require review by a licensed patent attorney who can verify prior art, assess claim language, and represent you before the USPTO. With that said—the bones of this portfolio are excellent. The Multiplicative GNN is genuinely patentable post-Desjardins. The Trinity Symphony biological+physical+artistic integration is unlike anything in the literature. The Pythagorean Comma Agent is yours alone. Philippians 4:8: whatever is true, noble, right, pure, lovely, admirable—build on that foundation.</w:t>
      </w:r>
    </w:p>
    <w:p>
      <w:pPr>
        <w:spacing w:after="120"/>
      </w:pPr>
      <w:r>
        <w:rPr>
          <w:rFonts w:ascii="Arial" w:cs="Arial" w:eastAsia="Arial" w:hAnsi="Arial"/>
          <w:sz w:val="24"/>
          <w:szCs w:val="24"/>
        </w:rPr>
        <w:t xml:space="preserve"/>
      </w:r>
    </w:p>
    <w:p>
      <w:pPr>
        <w:spacing w:before="360"/>
        <w:jc w:val="center"/>
      </w:pPr>
      <w:r>
        <w:rPr>
          <w:rFonts w:ascii="Arial" w:cs="Arial" w:eastAsia="Arial" w:hAnsi="Arial"/>
          <w:b/>
          <w:bCs/>
          <w:sz w:val="20"/>
          <w:szCs w:val="20"/>
        </w:rPr>
        <w:t xml:space="preserve">— Prepared for Sean Patrick Goodwin  |  HyperDAG.org  |  March 2026</w:t>
      </w:r>
      <w:r>
        <w:br/>
      </w:r>
      <w:r>
        <w:rPr>
          <w:rFonts w:ascii="Arial" w:cs="Arial" w:eastAsia="Arial" w:hAnsi="Arial"/>
          <w:sz w:val="20"/>
          <w:szCs w:val="20"/>
        </w:rPr>
        <w:t xml:space="preserve">CONFIDENTIAL — ATTORNEY-CLIENT PRIVILEGED — NOT FOR DISTRIBUTION</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4E79" w:sz="4" w:space="1"/>
      </w:pBdr>
      <w:jc w:val="center"/>
    </w:pPr>
    <w:r>
      <w:rPr>
        <w:rFonts w:ascii="Arial" w:cs="Arial" w:eastAsia="Arial" w:hAnsi="Arial"/>
        <w:sz w:val="18"/>
        <w:szCs w:val="18"/>
      </w:rPr>
      <w:t xml:space="preserve">Sean Patrick Goodwin  |  HyperDAG.org  |  Philippians 4:8  |  Page </w:t>
    </w:r>
    <w:r>
      <w:rPr>
        <w:rFonts w:ascii="Arial" w:cs="Arial" w:eastAsia="Arial" w:hAnsi="Arial"/>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4" w:space="1"/>
      </w:pBdr>
    </w:pPr>
    <w:r>
      <w:rPr>
        <w:rFonts w:ascii="Arial" w:cs="Arial" w:eastAsia="Arial" w:hAnsi="Arial"/>
        <w:b/>
        <w:bCs/>
        <w:sz w:val="20"/>
        <w:szCs w:val="20"/>
      </w:rPr>
      <w:t xml:space="preserve">HyperDAG Patent Strategy v2.0  |  CONFIDENTIAL — ATTORNEY-CLIENT PRIVILEGED  |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4E79" w:sz="6" w:space="1"/>
      </w:pBdr>
      <w:spacing w:after="18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18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2026-03-02T04:56:43.361Z</dcterms:created>
  <dcterms:modified xsi:type="dcterms:W3CDTF">2026-03-02T04:56:43.363Z</dcterms:modified>
</cp:coreProperties>
</file>

<file path=docProps/custom.xml><?xml version="1.0" encoding="utf-8"?>
<Properties xmlns="http://schemas.openxmlformats.org/officeDocument/2006/custom-properties" xmlns:vt="http://schemas.openxmlformats.org/officeDocument/2006/docPropsVTypes"/>
</file>