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0D2B55"/>
          <w:sz w:val="56"/>
          <w:szCs w:val="56"/>
        </w:rPr>
        <w:t xml:space="preserve">THE ANTIFRAGILE ARK</w:t>
      </w:r>
    </w:p>
    <w:p>
      <w:pPr>
        <w:spacing w:before="0" w:after="100"/>
        <w:jc w:val="center"/>
      </w:pPr>
      <w:r>
        <w:rPr>
          <w:rFonts w:ascii="Georgia" w:cs="Georgia" w:eastAsia="Georgia" w:hAnsi="Georgia"/>
          <w:b/>
          <w:bCs/>
          <w:i/>
          <w:iCs/>
          <w:color w:val="C9A84C"/>
          <w:sz w:val="30"/>
          <w:szCs w:val="30"/>
        </w:rPr>
        <w:t xml:space="preserve">Architecture, Optimization &amp; Implementation Roadmap</w:t>
      </w:r>
    </w:p>
    <w:p>
      <w:pPr>
        <w:spacing w:before="0" w:after="80"/>
        <w:jc w:val="center"/>
      </w:pPr>
      <w:r>
        <w:rPr>
          <w:rFonts w:ascii="Arial" w:cs="Arial" w:eastAsia="Arial" w:hAnsi="Arial"/>
          <w:b/>
          <w:bCs/>
          <w:color w:val="0A6E6E"/>
          <w:sz w:val="24"/>
          <w:szCs w:val="24"/>
        </w:rPr>
        <w:t xml:space="preserve">AI Trinity Symphony + HyperDAG</w:t>
      </w:r>
    </w:p>
    <w:p>
      <w:pPr>
        <w:pBdr>
          <w:bottom w:val="single" w:color="C9A84C" w:sz="3" w:space="6"/>
        </w:pBdr>
        <w:spacing w:before="180" w:after="180"/>
      </w:pPr>
      <w:r>
        <w:t xml:space="preserve"/>
      </w:r>
    </w:p>
    <w:p>
      <w:pPr>
        <w:spacing w:before="80" w:after="60"/>
        <w:jc w:val="center"/>
      </w:pPr>
      <w:r>
        <w:rPr>
          <w:rFonts w:ascii="Arial" w:cs="Arial" w:eastAsia="Arial" w:hAnsi="Arial"/>
          <w:color w:val="888888"/>
          <w:sz w:val="19"/>
          <w:szCs w:val="19"/>
        </w:rPr>
        <w:t xml:space="preserve">Sean Patrick Goodwin  |  HyperDAG.org  |  CONFIDENTIAL</w:t>
      </w:r>
    </w:p>
    <w:p>
      <w:pPr>
        <w:spacing w:before="0" w:after="600"/>
        <w:jc w:val="center"/>
      </w:pPr>
      <w:r>
        <w:rPr>
          <w:rFonts w:ascii="Arial" w:cs="Arial" w:eastAsia="Arial" w:hAnsi="Arial"/>
          <w:i/>
          <w:iCs/>
          <w:color w:val="AAAAAA"/>
          <w:sz w:val="18"/>
          <w:szCs w:val="18"/>
        </w:rPr>
        <w:t xml:space="preserve">Synthesizing: Claude Analysis + Grok Peer Review + Gemini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A castle defends a fixed position. An ark is built to navigate rising waters — carrying what matters through whatever comes. The storm is not the threat. The storm is what it was built for. Data streams bring an ocean. Rising tides raise all ships. We are building the ark.</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 THE METAPHOR AS ARCHITECTURE: WHY AN ARK, NOT A CASTLE</w:t>
      </w:r>
    </w:p>
    <w:p>
      <w:pPr>
        <w:spacing w:before="70" w:after="70"/>
      </w:pPr>
      <w:r>
        <w:rPr>
          <w:rFonts w:ascii="Georgia" w:cs="Georgia" w:eastAsia="Georgia" w:hAnsi="Georgia"/>
          <w:sz w:val="21"/>
          <w:szCs w:val="21"/>
        </w:rPr>
        <w:t xml:space="preserve">A castle is optimized for a known threat landscape. Its moat, walls, and towers assume the enemy comes from outside and the interior remains stable. It is built to resist change. When the landscape changes — when the ocean rises, when the attack vector shifts, when the rules of engagement transform — the castle becomes a liability. Its strength is its fragility.</w:t>
      </w:r>
    </w:p>
    <w:p>
      <w:pPr>
        <w:spacing w:before="70" w:after="70"/>
      </w:pPr>
      <w:r>
        <w:rPr>
          <w:rFonts w:ascii="Georgia" w:cs="Georgia" w:eastAsia="Georgia" w:hAnsi="Georgia"/>
          <w:sz w:val="21"/>
          <w:szCs w:val="21"/>
        </w:rPr>
        <w:t xml:space="preserve">An ark is designed around a different assumption: the environment will become hostile in ways we cannot fully predict, and the system must remain functional, directional, and load-bearing throughout. The ark doesn't resist the flood. It was built knowing the flood was coming. Its hull is not a wall — it is an interface with the water. The deeper the water rises, the more the ark is in its element.</w:t>
      </w:r>
    </w:p>
    <w:p>
      <w:pPr>
        <w:spacing w:before="70" w:after="70"/>
      </w:pPr>
      <w:r>
        <w:rPr>
          <w:rFonts w:ascii="Georgia" w:cs="Georgia" w:eastAsia="Georgia" w:hAnsi="Georgia"/>
          <w:sz w:val="21"/>
          <w:szCs w:val="21"/>
        </w:rPr>
        <w:t xml:space="preserve">Nassim Taleb's antifragility principle makes this precise: fragile systems break under stress, robust systems resist stress, antifragile systems gain from stress. A castle is robust at best. An ark is antifragile — the storm that would destroy lesser vessels is the condition under which it demonstrates its full design. For AI Trinity Symphony and HyperDAG, the stress is: rising data volumes, evolving LLM capabilities, shifting provider economics, expanding use cases, and the irreducible uncertainty that the Pythagorean Comma paper identifies as permanent. The architecture must gain from all of these, not merely survive them.</w:t>
      </w:r>
    </w:p>
    <w:p>
      <w:pPr>
        <w:spacing w:before="70" w:after="70"/>
      </w:pPr>
      <w:r>
        <w:t xml:space="preserve"/>
      </w:r>
    </w:p>
    <w:p>
      <w:pPr>
        <w:pStyle w:val="Heading2"/>
        <w:spacing w:before="260" w:after="100"/>
      </w:pPr>
      <w:r>
        <w:rPr>
          <w:rFonts w:ascii="Arial" w:cs="Arial" w:eastAsia="Arial" w:hAnsi="Arial"/>
          <w:b/>
          <w:bCs/>
          <w:color w:val="0D2B55"/>
          <w:sz w:val="26"/>
          <w:szCs w:val="26"/>
        </w:rPr>
        <w:t xml:space="preserve">The Five Hull Principles</w:t>
      </w:r>
    </w:p>
    <w:p>
      <w:pPr>
        <w:spacing w:before="70" w:after="70"/>
      </w:pPr>
      <w:r>
        <w:rPr>
          <w:rFonts w:ascii="Georgia" w:cs="Georgia" w:eastAsia="Georgia" w:hAnsi="Georgia"/>
          <w:sz w:val="21"/>
          <w:szCs w:val="21"/>
        </w:rPr>
        <w:t xml:space="preserve">These translate the metaphor into concrete architectural requirements: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Hull Principle</w:t>
            </w:r>
          </w:p>
        </w:tc>
        <w:tc>
          <w:tcPr>
            <w:tcW w:type="dxa" w:w="3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Means</w:t>
            </w:r>
          </w:p>
        </w:tc>
        <w:tc>
          <w:tcPr>
            <w:tcW w:type="dxa" w:w="39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Architectural Expression</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Watertight Seals</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Critical subsystems isolate failure — one leak doesn't sink the ship</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Modular agents with independent failure domains. Tier escalation prevents cascade. b+d+u tracked per agent, not just aggregate.</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Load Distribution</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Stress is spread, not concentrated</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routing distributes load across providers. No single agent, model, or provider is a single point of failure.</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Buoyancy Reserve</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The system stays afloat with significant damage</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Tier 1/2/3 graceful degradation. System functions with 1/3 of agents offline. Cached responses cover core queries.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Adaptive Draft</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Hull depth adjusts to water conditions</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Dynamic agent count per task type. Configuration isn't fixed — it responds to stakes, complexity, latency budget, and available resources.</w:t>
            </w:r>
          </w:p>
        </w:tc>
      </w:tr>
      <w:tr>
        <w:tc>
          <w:tcPr>
            <w:tcW w:type="dxa" w:w="18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Navigation, Not Resistance</w:t>
            </w:r>
          </w:p>
        </w:tc>
        <w:tc>
          <w:tcPr>
            <w:tcW w:type="dxa" w:w="36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The system moves through uncertainty, not against it</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u in b+d+u is not minimized — it is tracked, reported, and used to steer. The Pythagorean Comma is a compass bearing, not an obstacle.</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II. LATENCY: THE FULL ATTACK STRATEGY</w:t>
      </w:r>
    </w:p>
    <w:p>
      <w:pPr>
        <w:spacing w:before="70" w:after="70"/>
      </w:pPr>
      <w:r>
        <w:rPr>
          <w:rFonts w:ascii="Georgia" w:cs="Georgia" w:eastAsia="Georgia" w:hAnsi="Georgia"/>
          <w:sz w:val="21"/>
          <w:szCs w:val="21"/>
        </w:rPr>
        <w:t xml:space="preserve">Latency is not a single problem. It is five different problems with different sources, different ceilings, and different optimal solutions. Treating them as one leads to optimizing the wrong layer. The ark principle applied here: each source of latency is a distinct compartment. Seal and optimize each independently.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150"/>
              <w:left w:type="dxa" w:w="240"/>
              <w:bottom w:type="dxa" w:w="150"/>
              <w:right w:type="dxa" w:w="240"/>
            </w:tcMar>
          </w:tcPr>
          <w:p>
            <w:pPr>
              <w:jc w:val="center"/>
            </w:pPr>
            <w:r>
              <w:rPr>
                <w:rFonts w:ascii="Arial" w:cs="Arial" w:eastAsia="Arial" w:hAnsi="Arial"/>
                <w:b/>
                <w:bCs/>
                <w:color w:val="FFFFFF"/>
                <w:sz w:val="20"/>
                <w:szCs w:val="20"/>
              </w:rPr>
              <w:t xml:space="preserve">LATENCY IS NOT THE ENEMY — INVISIBLE LATENCY IS. VISIBLE, MEANINGFUL ACTIVITY DURING WAIT TIME IS AN ASSET.</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2.1  The Five Latency Sources — Mapped and Attacked</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100"/>
        <w:gridCol w:w="1000"/>
        <w:gridCol w:w="1100"/>
        <w:gridCol w:w="15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Layer / Method</w:t>
            </w:r>
          </w:p>
        </w:tc>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Does</w:t>
            </w:r>
          </w:p>
        </w:tc>
        <w:tc>
          <w:tcPr>
            <w:tcW w:type="dxa" w:w="11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Latency ↓</w:t>
            </w:r>
          </w:p>
        </w:tc>
        <w:tc>
          <w:tcPr>
            <w:tcW w:type="dxa" w:w="1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Cost ↓</w:t>
            </w:r>
          </w:p>
        </w:tc>
        <w:tc>
          <w:tcPr>
            <w:tcW w:type="dxa" w:w="11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Complexity</w:t>
            </w:r>
          </w:p>
        </w:tc>
        <w:tc>
          <w:tcPr>
            <w:tcW w:type="dxa" w:w="1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Token Generation</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Time for LLM to produce output — bounded by model size and inference hardware</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(largest contributor)</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(token count = cost)</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External — route &amp; compress</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Network Round-Trip</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DNS, TLS, TCP, transit per API call — often 200–400ms before first token</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Medium (200–400ms per cold call)</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 direct, high aggregate</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Connection pooling, geo co-location</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Routing, agent coordination, aggregation — entirely within our control</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 (recoverable)</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Low</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Parallelization, speculative consensus</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RAG Retrieval</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Vector DB lookup, embedding, similarity search, context assembly</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Low–Medium (can be parallelized)</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Parallel dispatch with LLM call</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Consensus / BFT</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Waiting for N agents before aggregating — multiplies with agent count</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in naive impl.</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Speculative consensus, streaming</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2.2  Token Generation: Send Less, Stream Everything</w:t>
      </w:r>
    </w:p>
    <w:p>
      <w:pPr>
        <w:pStyle w:val="Heading3"/>
        <w:spacing w:before="180" w:after="70"/>
      </w:pPr>
      <w:r>
        <w:rPr>
          <w:rFonts w:ascii="Arial" w:cs="Arial" w:eastAsia="Arial" w:hAnsi="Arial"/>
          <w:b/>
          <w:bCs/>
          <w:color w:val="2C3E50"/>
          <w:sz w:val="22"/>
          <w:szCs w:val="22"/>
        </w:rPr>
        <w:t xml:space="preserve">Prompt Compression (LLMLingua / similar)</w:t>
      </w:r>
    </w:p>
    <w:p>
      <w:pPr>
        <w:spacing w:before="70" w:after="70"/>
      </w:pPr>
      <w:r>
        <w:rPr>
          <w:rFonts w:ascii="Georgia" w:cs="Georgia" w:eastAsia="Georgia" w:hAnsi="Georgia"/>
          <w:sz w:val="21"/>
          <w:szCs w:val="21"/>
        </w:rPr>
        <w:t xml:space="preserve">Microsoft's LLMLingua compresses prompts 2–5× with less than 3% quality degradation on most task types. For a system making dozens of agent calls per session, compressing each prompt from 2,000 to 600 tokens compounds into dramatic latency and cost reduction simultaneously. This is the highest ROI single optimization available.</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Implementation: Compression layer runs before every external API call, after task classification</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ANFIS routing signal: prompt complexity score determines compression aggressiveness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Bypass for short prompts &lt; 300 tokens where compression overhead exceeds benefit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Target: 60% average token reduction across all task types</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Output Length Control</w:t>
      </w:r>
    </w:p>
    <w:p>
      <w:pPr>
        <w:spacing w:before="70" w:after="70"/>
      </w:pPr>
      <w:r>
        <w:rPr>
          <w:rFonts w:ascii="Georgia" w:cs="Georgia" w:eastAsia="Georgia" w:hAnsi="Georgia"/>
          <w:sz w:val="21"/>
          <w:szCs w:val="21"/>
        </w:rPr>
        <w:t xml:space="preserve">A routing query needing a yes/no decision should not return a paragraph. A synthesis task needing comprehensive coverage should not be truncated. ANFIS classifies expected output length per task type and includes explicit length instructions in every prompt.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Task types: decision (&lt; 50 tokens), summary (100–300), analysis (300–800), comprehensive (800+)</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Include max_tokens parameter calibrated to task type on every API call</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Chain-of-thought prompting: activated only for complex reasoning tasks, suppressed for binary classification</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Streaming Output — Mandatory for User-Visible Responses</w:t>
      </w:r>
    </w:p>
    <w:p>
      <w:pPr>
        <w:spacing w:before="70" w:after="70"/>
      </w:pPr>
      <w:r>
        <w:rPr>
          <w:rFonts w:ascii="Georgia" w:cs="Georgia" w:eastAsia="Georgia" w:hAnsi="Georgia"/>
          <w:sz w:val="21"/>
          <w:szCs w:val="21"/>
        </w:rPr>
        <w:t xml:space="preserve">Streaming changes perceived latency dramatically without changing actual completion time. First token at 300ms vs. complete response at 8s is a 40–60% improvement in user perception per the psychological literature on response timing. Every user-visible agent output streams. Non-streaming reserved for internal agent-to-agent communication only.</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Speculative Decoding (Self-Hosted Roadmap)</w:t>
      </w:r>
    </w:p>
    <w:p>
      <w:pPr>
        <w:spacing w:before="70" w:after="70"/>
      </w:pPr>
      <w:r>
        <w:rPr>
          <w:rFonts w:ascii="Georgia" w:cs="Georgia" w:eastAsia="Georgia" w:hAnsi="Georgia"/>
          <w:sz w:val="21"/>
          <w:szCs w:val="21"/>
        </w:rPr>
        <w:t xml:space="preserve">Small draft model generates candidate tokens rapidly; large model verifies in parallel batches rather than sequentially. Near-large-model quality at near-small-model speed. Available via vLLM for self-hosted inference. Target for Phase 2 when infrastructure matures.</w:t>
      </w:r>
    </w:p>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2.3  Network: The Hidden Overhead</w:t>
      </w:r>
    </w:p>
    <w:p>
      <w:pPr>
        <w:pStyle w:val="Heading3"/>
        <w:spacing w:before="180" w:after="70"/>
      </w:pPr>
      <w:r>
        <w:rPr>
          <w:rFonts w:ascii="Arial" w:cs="Arial" w:eastAsia="Arial" w:hAnsi="Arial"/>
          <w:b/>
          <w:bCs/>
          <w:color w:val="2C3E50"/>
          <w:sz w:val="22"/>
          <w:szCs w:val="22"/>
        </w:rPr>
        <w:t xml:space="preserve">Connection Pooling and Keep-Alive (Implement Immediately)</w:t>
      </w:r>
    </w:p>
    <w:p>
      <w:pPr>
        <w:spacing w:before="70" w:after="70"/>
      </w:pPr>
      <w:r>
        <w:rPr>
          <w:rFonts w:ascii="Georgia" w:cs="Georgia" w:eastAsia="Georgia" w:hAnsi="Georgia"/>
          <w:sz w:val="21"/>
          <w:szCs w:val="21"/>
        </w:rPr>
        <w:t xml:space="preserve">Each new HTTP connection to an API provider costs 100–300ms in handshake overhead. A properly configured persistent connection pool to primary providers eliminates this entirely. For Railway-hosted agents making frequent calls, this alone recovers 200ms per call.</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Maintain warm persistent connections to top 3 providers at all times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Connection health monitoring with automatic reconnect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Provider-specific pool sizing based on call frequency from ANFIS routing data</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Geographic Co-location Audit</w:t>
      </w:r>
    </w:p>
    <w:p>
      <w:pPr>
        <w:spacing w:before="70" w:after="70"/>
      </w:pPr>
      <w:r>
        <w:rPr>
          <w:rFonts w:ascii="Georgia" w:cs="Georgia" w:eastAsia="Georgia" w:hAnsi="Georgia"/>
          <w:sz w:val="21"/>
          <w:szCs w:val="21"/>
        </w:rPr>
        <w:t xml:space="preserve">Draw the latency map: which compute talks to which data store over how many network hops. Railway agents in US East + Supabase in US West = 70–80ms of pure network latency on every database call. This is recoverable with zero code changes — just configuration.</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Audit: Map all service locations and measure inter-service latency</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Target: Primary compute and primary data store within same region</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Secondary: CDN edge caching for static assets and deterministic responses</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Semantic Similarity Caching</w:t>
      </w:r>
    </w:p>
    <w:p>
      <w:pPr>
        <w:spacing w:before="70" w:after="70"/>
      </w:pPr>
      <w:r>
        <w:rPr>
          <w:rFonts w:ascii="Georgia" w:cs="Georgia" w:eastAsia="Georgia" w:hAnsi="Georgia"/>
          <w:sz w:val="21"/>
          <w:szCs w:val="21"/>
        </w:rPr>
        <w:t xml:space="preserve">Embed incoming queries and check against a cache of prior queries above a cosine similarity threshold (e.g., 0.92). Queries that are semantically equivalent to recent answered queries serve a personalized cached response at sub-10ms instead of regenerating. In high-traffic systems this handles 20–40% of queries.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Not appropriate for: time-sensitive queries, identity operations, high-stakes decisions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Appropriate for: FAQ-type queries, onboarding flows, common task patterns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Cache invalidation: time-based TTL + explicit invalidation on relevant state changes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Personalization layer: cached responses are lightly personalized by user profile before serving</w:t>
      </w:r>
    </w:p>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2.4  Orchestration: The Entirely Recoverable Latency</w:t>
      </w:r>
    </w:p>
    <w:p>
      <w:pPr>
        <w:spacing w:before="70" w:after="70"/>
      </w:pPr>
      <w:r>
        <w:rPr>
          <w:rFonts w:ascii="Georgia" w:cs="Georgia" w:eastAsia="Georgia" w:hAnsi="Georgia"/>
          <w:sz w:val="21"/>
          <w:szCs w:val="21"/>
        </w:rPr>
        <w:t xml:space="preserve">This is where the most time is currently wasted in most multi-agent systems — and it is entirely within our control. The ark principle: this is a compartment we can fully seal.</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Full Parallel Agent Dispatch</w:t>
      </w:r>
    </w:p>
    <w:p>
      <w:pPr>
        <w:spacing w:before="70" w:after="70"/>
      </w:pPr>
      <w:r>
        <w:rPr>
          <w:rFonts w:ascii="Georgia" w:cs="Georgia" w:eastAsia="Georgia" w:hAnsi="Georgia"/>
          <w:sz w:val="21"/>
          <w:szCs w:val="21"/>
        </w:rPr>
        <w:t xml:space="preserve">In naive implementations, agents run sequentially. In a properly parallelized Trinity formation, all three agents with no strict data dependencies dispatch simultaneously. This converts 3× sequential latency into 1× parallel latency plus small aggregation overhead. Implementation cost: low. Impact: 60–70% reduction in Trinity formation latency.</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Dependency graph: map which agents require prior agent output vs. which are independent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Independent agents: dispatch in parallel fan-out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Dependent agents: dispatch as soon as dependency resolves, not when all complete</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Speculative Consensus</w:t>
      </w:r>
    </w:p>
    <w:p>
      <w:pPr>
        <w:spacing w:before="70" w:after="70"/>
      </w:pPr>
      <w:r>
        <w:rPr>
          <w:rFonts w:ascii="Georgia" w:cs="Georgia" w:eastAsia="Georgia" w:hAnsi="Georgia"/>
          <w:sz w:val="21"/>
          <w:szCs w:val="21"/>
        </w:rPr>
        <w:t xml:space="preserve">Begin aggregating the moment two of three agents return. If the first two agree with combined confidence yielding u &lt; 0.20, begin preparing the response while the third agent finishes. In the majority of cases the third confirms; response is ready faster. In the minority where the third overrides, absorb a small revision cost. Net effect: average-case latency improvement with acceptable worst-case cost.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Threshold: initiate speculative consensus when first two agents return with u &lt; 0.20 combined</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Override protocol: third agent output supersedes speculative response if b &gt; 0.65 and direction differs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Monitoring: track speculative consensus accuracy — percentage of cases where speculation was correct</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Predictive Prefetch</w:t>
      </w:r>
    </w:p>
    <w:p>
      <w:pPr>
        <w:spacing w:before="70" w:after="70"/>
      </w:pPr>
      <w:r>
        <w:rPr>
          <w:rFonts w:ascii="Georgia" w:cs="Georgia" w:eastAsia="Georgia" w:hAnsi="Georgia"/>
          <w:sz w:val="21"/>
          <w:szCs w:val="21"/>
        </w:rPr>
        <w:t xml:space="preserve">ANFIS routing already classifies task types. Extension: predict likely follow-on task types and pre-position resources while current query is being answered. If 70% of users who ask Question A follow with Question B, begin assembling context for B during A's generation. Not generating the answer — pre-loading vectors, pre-warming connections, pre-compressing the likely prompt. When B arrives, orchestration overhead is near zero.</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Data source: ANFIS task sequence history per user profile and global patterns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Prefetch depth: 1 step lookahead (deeper is diminishing returns and resource overhead)</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Confidence gate: only prefetch when sequence probability &gt; 0.60</w:t>
      </w:r>
    </w:p>
    <w:p>
      <w:pPr>
        <w:spacing w:before="70" w:after="70"/>
      </w:pPr>
      <w:r>
        <w:t xml:space="preserve"/>
      </w:r>
    </w:p>
    <w:p>
      <w:pPr>
        <w:pStyle w:val="Heading3"/>
        <w:spacing w:before="180" w:after="70"/>
      </w:pPr>
      <w:r>
        <w:rPr>
          <w:rFonts w:ascii="Arial" w:cs="Arial" w:eastAsia="Arial" w:hAnsi="Arial"/>
          <w:b/>
          <w:bCs/>
          <w:color w:val="2C3E50"/>
          <w:sz w:val="22"/>
          <w:szCs w:val="22"/>
        </w:rPr>
        <w:t xml:space="preserve">Incremental Context — Not Full History Replay</w:t>
      </w:r>
    </w:p>
    <w:p>
      <w:pPr>
        <w:spacing w:before="70" w:after="70"/>
      </w:pPr>
      <w:r>
        <w:rPr>
          <w:rFonts w:ascii="Georgia" w:cs="Georgia" w:eastAsia="Georgia" w:hAnsi="Georgia"/>
          <w:sz w:val="21"/>
          <w:szCs w:val="21"/>
        </w:rPr>
        <w:t xml:space="preserve">The naive approach replays full conversation history on every call. Context grows linearly with conversation length, directly growing both latency and cost. The ark approach: maintain a compressed semantic summary that grows logarithmically. Every call sends: compressed history summary + last 3 turns verbatim + current query. Context window stays bounded regardless of conversation length.</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Compression: Semantic RAG layer maintains running summary, updated every 5 turns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Verbatim window: last 3 turns always included uncompressed for recency accuracy</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Boundary: system prompts and ConstitutionalGuard always included uncompressed — these are the keel</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III. LATENCY AS OPPORTUNITY: THE BILATERAL LEARNING ENGINE</w:t>
      </w:r>
    </w:p>
    <w:p>
      <w:pPr>
        <w:spacing w:before="70" w:after="70"/>
      </w:pPr>
      <w:r>
        <w:rPr>
          <w:rFonts w:ascii="Georgia" w:cs="Georgia" w:eastAsia="Georgia" w:hAnsi="Georgia"/>
          <w:sz w:val="21"/>
          <w:szCs w:val="21"/>
        </w:rPr>
        <w:t xml:space="preserve">Standard treatment of latency: minimize it, hide it, apologize for it. Ark treatment of latency: every wait window above the perceptual threshold (~400ms) is a resource. The storm provides energy. Use it.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Optics matter. A user who is engaged and amused is far more forgiving than one who is watching a spinner. And if the engagement produces better, more customized answers — the wait time has become a feature, not a bug.</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3.1  Progressive Disclosure — Make the Work Visible</w:t>
      </w:r>
    </w:p>
    <w:p>
      <w:pPr>
        <w:spacing w:before="70" w:after="70"/>
      </w:pPr>
      <w:r>
        <w:rPr>
          <w:rFonts w:ascii="Georgia" w:cs="Georgia" w:eastAsia="Georgia" w:hAnsi="Georgia"/>
          <w:sz w:val="21"/>
          <w:szCs w:val="21"/>
        </w:rPr>
        <w:t xml:space="preserve">Rather than waiting for the complete answer, show the reasoning process as it develops. Users who see the work being done feel engaged rather than abandoned. This is not fake activity — it is genuine parallel processing made visible.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Time Window</w:t>
            </w:r>
          </w:p>
        </w:tc>
        <w:tc>
          <w:tcPr>
            <w:tcW w:type="dxa" w:w="4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the System Is Doing</w:t>
            </w:r>
          </w:p>
        </w:tc>
        <w:tc>
          <w:tcPr>
            <w:tcW w:type="dxa" w:w="39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the User Sees</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0–400ms</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Query classified, providers selected, agents dispatched</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Silent — below perceptual threshold</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400–800ms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First agent returning partial output</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Show: 'Analyzing from [domain] perspective...' — stream partial output</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800ms–1.5s</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Second agent returning, speculative consensus forming</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Show: 'Cross-checking with second perspective...' — confidence preview</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1.5s–3s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Third agent returning, Judas function if triggered</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Show: 'Examining potential counterarguments...' — Judas function visible</w:t>
            </w:r>
          </w:p>
        </w:tc>
      </w:tr>
      <w:tr>
        <w:tc>
          <w:tcPr>
            <w:tcW w:type="dxa" w:w="14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3s+ (Tier 3)</w:t>
            </w:r>
          </w:p>
        </w:tc>
        <w:tc>
          <w:tcPr>
            <w:tcW w:type="dxa" w:w="40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Full BFT consensus, high-stakes deliberation</w:t>
            </w:r>
          </w:p>
        </w:tc>
        <w:tc>
          <w:tcPr>
            <w:tcW w:type="dxa" w:w="39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Show: Full reasoning chain — bilateral micro-learning question inserted</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3.2  Confidence Preview — b+d+u as User-Facing Signal</w:t>
      </w:r>
    </w:p>
    <w:p>
      <w:pPr>
        <w:spacing w:before="70" w:after="70"/>
      </w:pPr>
      <w:r>
        <w:rPr>
          <w:rFonts w:ascii="Georgia" w:cs="Georgia" w:eastAsia="Georgia" w:hAnsi="Georgia"/>
          <w:sz w:val="21"/>
          <w:szCs w:val="21"/>
        </w:rPr>
        <w:t xml:space="preserve">Show confidence values as they form, before the final answer arrives. This does two things: fills wait time with meaningful signal, and sets accurate expectations for the incoming answer. A user who sees 'uncertainty: 0.32 — consulting additional source to reduce' understands why the system is taking longer and trusts the result more when it arrives.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Display format: simple visual confidence bar, not raw numbers (unless user is technical)</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Explanation: plain language — 'I'm checking this from two angles before answering'</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HITL transparency: if u &gt; 0.30 triggers HITL, tell the user — 'This needs a human check, I'm flagging it'</w:t>
      </w:r>
    </w:p>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3.3  Bilateral Micro-Learning — The Latency That Pays Forward</w:t>
      </w:r>
    </w:p>
    <w:p>
      <w:pPr>
        <w:spacing w:before="70" w:after="70"/>
      </w:pPr>
      <w:r>
        <w:rPr>
          <w:rFonts w:ascii="Georgia" w:cs="Georgia" w:eastAsia="Georgia" w:hAnsi="Georgia"/>
          <w:sz w:val="21"/>
          <w:szCs w:val="21"/>
        </w:rPr>
        <w:t xml:space="preserve">Use latency windows above 600ms to ask a single calibration question that improves all future responses for this user. Not a disruptive survey — one natural, low-friction question that feels like part of the conversation. The response immediately updates the user's ANFIS profile.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Learning Signal</w:t>
            </w:r>
          </w:p>
        </w:tc>
        <w:tc>
          <w:tcPr>
            <w:tcW w:type="dxa" w:w="4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Sample Question</w:t>
            </w:r>
          </w:p>
        </w:tc>
        <w:tc>
          <w:tcPr>
            <w:tcW w:type="dxa" w:w="31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ANFIS Update</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Response depth preference</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'While I'm pulling that together — do you prefer detailed technical breakdown or executive summary on this type of question?'</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ANFIS output length classifier for this user</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Domain expertise signal</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'Quick question — how familiar are you with [domain]? Helps me calibrate the explanation level.'</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Prompt complexity and vocabulary level for this domain</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Format preference</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'Would a structured breakdown or flowing explanation be more useful here?'</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Output format template selection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Confidence threshold</w:t>
            </w:r>
          </w:p>
        </w:tc>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'How much uncertainty is acceptable for you on this type of decision — should I always flag when I'm not fully certain?'</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HITL trigger threshold for this user</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Follow-on intent</w:t>
            </w:r>
          </w:p>
        </w:tc>
        <w:tc>
          <w:tcPr>
            <w:tcW w:type="dxa" w:w="40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'Are you exploring this topic generally, or working toward a specific decision?'</w:t>
            </w:r>
          </w:p>
        </w:tc>
        <w:tc>
          <w:tcPr>
            <w:tcW w:type="dxa" w:w="3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Predictive prefetch routing for next query</w:t>
            </w:r>
          </w:p>
        </w:tc>
      </w:tr>
    </w:tbl>
    <w:p>
      <w:pPr>
        <w:spacing w:before="70" w:after="70"/>
      </w:pPr>
      <w:r>
        <w:t xml:space="preserve"/>
      </w:r>
    </w:p>
    <w:p>
      <w:pPr>
        <w:spacing w:before="70" w:after="70"/>
      </w:pPr>
      <w:r>
        <w:rPr>
          <w:rFonts w:ascii="Georgia" w:cs="Georgia" w:eastAsia="Georgia" w:hAnsi="Georgia"/>
          <w:sz w:val="21"/>
          <w:szCs w:val="21"/>
        </w:rPr>
        <w:t xml:space="preserve">One question per session maximum unless the user explicitly engages. Never ask two calibration questions in the same window. The principle: the system learns continuously from every interaction, but the user never feels like they are filling out a form.</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IV. AGENT TIER ARCHITECTURE: DYNAMIC, NOT FIXED</w:t>
      </w:r>
    </w:p>
    <w:p>
      <w:pPr>
        <w:spacing w:before="70" w:after="70"/>
      </w:pPr>
      <w:r>
        <w:rPr>
          <w:rFonts w:ascii="Georgia" w:cs="Georgia" w:eastAsia="Georgia" w:hAnsi="Georgia"/>
          <w:sz w:val="21"/>
          <w:szCs w:val="21"/>
        </w:rPr>
        <w:t xml:space="preserve">The perfect formation is not a fixed number. It is a function of task type, stakes, available resources, latency budget, and epistemic independence of available agents. The ANFIS router selects the tier. The tier determines the formation. The formation determines the consensus rules. The consensus rules determine the Judas activation.</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1560"/>
        <w:gridCol w:w="1000"/>
      </w:tblGrid>
      <w:tr>
        <w:trPr>
          <w:tblHeader/>
        </w:trPr>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Formation</w:t>
            </w:r>
          </w:p>
        </w:tc>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Use Case</w:t>
            </w:r>
          </w:p>
        </w:tc>
        <w:tc>
          <w:tcPr>
            <w:tcW w:type="dxa" w:w="1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Consensus Rule</w:t>
            </w:r>
          </w:p>
        </w:tc>
        <w:tc>
          <w:tcPr>
            <w:tcW w:type="dxa" w:w="1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Judas Trigger</w:t>
            </w:r>
          </w:p>
        </w:tc>
        <w:tc>
          <w:tcPr>
            <w:tcW w:type="dxa" w:w="1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Target Latency</w:t>
            </w:r>
          </w:p>
        </w:tc>
      </w:tr>
      <w:tr>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Tier 1 — Efficiency</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2 agents, high RepID, low correlation</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Routine, bounded, reversible tasks</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Weighted avg b+d+u. Escalate if diverge &gt; 0.40</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None (no consensus to challenge)</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&lt; 800ms</w:t>
            </w:r>
          </w:p>
        </w:tc>
      </w:tr>
      <w:tr>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Tier 2 — Trinity (default)</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3 agents, max orthogonality</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Complex reasoning, judgment calls — ~70% of tasks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1/φ ≈ 61.8% of RepID-weighted confidence</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Fires on most orthogonal agent when first two agree &gt; 0.75 belief</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800ms–2s</w:t>
            </w:r>
          </w:p>
        </w:tc>
      </w:tr>
      <w:tr>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Tier 3 — High Stakes</w:t>
            </w:r>
          </w:p>
        </w:tc>
        <w:tc>
          <w:tcPr>
            <w:tcW w:type="dxa" w:w="2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5 agents, full BFT (f=1)</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Health, finance, legal, identity, DAO votes</w:t>
            </w:r>
          </w:p>
        </w:tc>
        <w:tc>
          <w:tcPr>
            <w:tcW w:type="dxa" w:w="1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2/3 BFT hard floor + 1/φ harmonic layer</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Explicitly assigned. Required before consensus closes</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3–6s (by design)</w:t>
            </w:r>
          </w:p>
        </w:tc>
      </w:tr>
      <w:tr>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Major7 Formation (transient)</w:t>
            </w:r>
          </w:p>
        </w:tc>
        <w:tc>
          <w:tcPr>
            <w:tcW w:type="dxa" w:w="2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3 + 1 Judas = 4 during deliberation</w:t>
            </w:r>
          </w:p>
        </w:tc>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Active inside Tier 2 when Judas fires, resolves back to 3 for final output</w:t>
            </w:r>
          </w:p>
        </w:tc>
        <w:tc>
          <w:tcPr>
            <w:tcW w:type="dxa" w:w="16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Judas output required as input before BFT closes</w:t>
            </w:r>
          </w:p>
        </w:tc>
        <w:tc>
          <w:tcPr>
            <w:tcW w:type="dxa" w:w="15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Positional, dynamic, assigned by max semantic orthogonality</w:t>
            </w:r>
          </w:p>
        </w:tc>
        <w:tc>
          <w:tcPr>
            <w:tcW w:type="dxa" w:w="10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Adds ~400ms to Tier 2</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4.1  The Judas Agent: Positional, Threshold-Triggered, Never Fixed</w:t>
      </w:r>
    </w:p>
    <w:p>
      <w:pPr>
        <w:spacing w:before="70" w:after="70"/>
      </w:pPr>
      <w:r>
        <w:rPr>
          <w:rFonts w:ascii="Georgia" w:cs="Georgia" w:eastAsia="Georgia" w:hAnsi="Georgia"/>
          <w:sz w:val="21"/>
          <w:szCs w:val="21"/>
        </w:rPr>
        <w:t xml:space="preserve">A permanent antagonist becomes noise. The other agents learn to discount it. It accumulates RepID damage. It becomes the role that destroys the one who plays it — exactly the tragedy the Pythagorean Comma paper identifies. The design must avoid this.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75"/>
              <w:left w:type="dxa" w:w="120"/>
              <w:bottom w:type="dxa" w:w="75"/>
              <w:right w:type="dxa" w:w="120"/>
            </w:tcMar>
          </w:tcPr>
          <w:p>
            <w:r>
              <w:rPr>
                <w:rFonts w:ascii="Arial" w:cs="Arial" w:eastAsia="Arial" w:hAnsi="Arial"/>
                <w:b/>
                <w:bCs/>
                <w:color w:val="FFFFFF"/>
                <w:sz w:val="19"/>
                <w:szCs w:val="19"/>
              </w:rPr>
              <w:t xml:space="preserve">✗  WRONG: Fixed Judas Agent</w:t>
            </w:r>
          </w:p>
        </w:tc>
        <w:tc>
          <w:tcPr>
            <w:tcW w:type="dxa" w:w="468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  RIGHT: Positional Judas Role</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Same agent always challenges consensus</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Most orthogonal agent to current consensus direction is selected per round</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Permanent contrarian identity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Role activates when two agents agree &gt; 0.75 belief — releases after round</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Accumulates negative RepID</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Contrarian accuracy scored separately — correct challenges earn RepID credit</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Agents learn to route around it</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Selection is semantic, not rotational — unpredictable, therefore uncircumventable</w:t>
            </w:r>
          </w:p>
        </w:tc>
      </w:tr>
      <w:tr>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Destroys the agent in the role</w:t>
            </w:r>
          </w:p>
        </w:tc>
        <w:tc>
          <w:tcPr>
            <w:tcW w:type="dxa" w:w="468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val="false"/>
                <w:bCs w:val="false"/>
                <w:sz w:val="19"/>
                <w:szCs w:val="19"/>
              </w:rPr>
              <w:t xml:space="preserve">System is designed to honor the function — role releases, agent returns to normal scoring</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Adds latency unconditionally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Only activates when consensus confidence crosses threshold — not on every call</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4.2  Epistemic Independence Score — Smarter Than Agent Count</w:t>
      </w:r>
    </w:p>
    <w:p>
      <w:pPr>
        <w:spacing w:before="70" w:after="70"/>
      </w:pPr>
      <w:r>
        <w:rPr>
          <w:rFonts w:ascii="Georgia" w:cs="Georgia" w:eastAsia="Georgia" w:hAnsi="Georgia"/>
          <w:sz w:val="21"/>
          <w:szCs w:val="21"/>
        </w:rPr>
        <w:t xml:space="preserve">The number of agents matters less than the independence of their perspectives. Two high-RepID agents trained on different data, reasoning differently, with low output correlation give more genuine signal than five agents that share training distribution and tend to agree.</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Each agent pair maintains a correlation coefficient from past task outputs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ANFIS routing maximizes total epistemic independence per compute unit spent, not raw agent count</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Formula: Epistemic Value = AgentRepID × AccuracyInDomain × (1 − CorrelationWithOtherAgents)</w:t>
      </w:r>
    </w:p>
    <w:p>
      <w:pPr>
        <w:pStyle w:val="ListParagraph"/>
        <w:numPr>
          <w:ilvl w:val="0"/>
          <w:numId w:val="2"/>
        </w:numPr>
        <w:spacing w:before="40" w:after="40"/>
      </w:pPr>
      <w:r>
        <w:rPr>
          <w:rFonts w:ascii="Georgia" w:cs="Georgia" w:eastAsia="Georgia" w:hAnsi="Georgia"/>
          <w:b w:val="false"/>
          <w:bCs w:val="false"/>
          <w:color w:val="555555"/>
          <w:sz w:val="20"/>
          <w:szCs w:val="20"/>
        </w:rPr>
        <w:t xml:space="preserve">Dynamic: correlation coefficients update after every completed task — the system learns which agents genuinely disagree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Two agents that genuinely disagree are worth more than five that harmonize. The goal is not consensus — the goal is truth. Consensus is how we arrive at truth. Diversity of perspective is how we ensure the consensus is meaningful.</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 COST ARCHITECTURE: LATENCY AND COST ARE THE SAME PROBLEM</w:t>
      </w:r>
    </w:p>
    <w:p>
      <w:pPr>
        <w:spacing w:before="70" w:after="70"/>
      </w:pPr>
      <w:r>
        <w:rPr>
          <w:rFonts w:ascii="Georgia" w:cs="Georgia" w:eastAsia="Georgia" w:hAnsi="Georgia"/>
          <w:sz w:val="21"/>
          <w:szCs w:val="21"/>
        </w:rPr>
        <w:t xml:space="preserve">The primary cost driver in LLM systems is token count. The primary latency driver is also token count. Every optimization that reduces tokens reduces both simultaneously. The unified attack strategy attacks both with the same moves.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100"/>
        <w:gridCol w:w="1000"/>
        <w:gridCol w:w="1100"/>
        <w:gridCol w:w="1560"/>
      </w:tblGrid>
      <w:tr>
        <w:trPr>
          <w:tblHeader/>
        </w:trPr>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Layer / Method</w:t>
            </w:r>
          </w:p>
        </w:tc>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What It Does</w:t>
            </w:r>
          </w:p>
        </w:tc>
        <w:tc>
          <w:tcPr>
            <w:tcW w:type="dxa" w:w="11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Latency ↓</w:t>
            </w:r>
          </w:p>
        </w:tc>
        <w:tc>
          <w:tcPr>
            <w:tcW w:type="dxa" w:w="10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Cost ↓</w:t>
            </w:r>
          </w:p>
        </w:tc>
        <w:tc>
          <w:tcPr>
            <w:tcW w:type="dxa" w:w="11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Complexity</w:t>
            </w:r>
          </w:p>
        </w:tc>
        <w:tc>
          <w:tcPr>
            <w:tcW w:type="dxa" w:w="15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Prompt Compression</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LLMLingua 2–5× compression before every external call</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(60% token reduction)</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(60% cost reduction)</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 — implement as middleware layer</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Smart Output Length</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classifies task, instructs model on expected output size</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on short tasks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on short tasks</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 — prompt engineering + routing signal</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Conditional CoT</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Chain-of-thought only when task complexity warrants it</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Low — task classifier gate</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Semantic Cache</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Cosine similarity cache — serve near-equivalent queries from cache</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Very high (&lt; 10ms for hits)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Very high (zero API cost for hits)</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Medium — vector DB + similarity threshold</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Incremental Context</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Logarithmic context compression — not full history replay</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in long sessions</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in long sessions</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 — RAG compression layer</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Free-Tier Arbitrage</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routes to free-tier providers within rate limits</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Variable</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Very high when available</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 rate limit tracking per provider</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Dynamic Pricing API</w:t>
            </w:r>
          </w:p>
        </w:tc>
        <w:tc>
          <w:tcPr>
            <w:tcW w:type="dxa" w:w="24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Real-time cost signals from Together.ai / similar</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None direct</w:t>
            </w:r>
          </w:p>
        </w:tc>
        <w:tc>
          <w:tcPr>
            <w:tcW w:type="dxa" w:w="10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Medium — route by live pricing</w:t>
            </w:r>
          </w:p>
        </w:tc>
        <w:tc>
          <w:tcPr>
            <w:tcW w:type="dxa" w:w="11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High — external API dependency</w:t>
            </w:r>
          </w:p>
        </w:tc>
        <w:tc>
          <w:tcPr>
            <w:tcW w:type="dxa" w:w="156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Tier 1 Default</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Route most tasks to 2-agent Tier 1 — only escalate when warranted</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(2 vs 5 agents)</w:t>
            </w:r>
          </w:p>
        </w:tc>
        <w:tc>
          <w:tcPr>
            <w:tcW w:type="dxa" w:w="1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High (proportional to agent reduction)</w:t>
            </w:r>
          </w:p>
        </w:tc>
        <w:tc>
          <w:tcPr>
            <w:tcW w:type="dxa" w:w="1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Low — ANFIS classification threshold tuning</w:t>
            </w:r>
          </w:p>
        </w:tc>
        <w:tc>
          <w:tcPr>
            <w:tcW w:type="dxa" w:w="15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P0</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 VALIDATION: PROVING WHAT WE CLAIM</w:t>
      </w:r>
    </w:p>
    <w:p>
      <w:pPr>
        <w:spacing w:before="70" w:after="70"/>
      </w:pPr>
      <w:r>
        <w:rPr>
          <w:rFonts w:ascii="Georgia" w:cs="Georgia" w:eastAsia="Georgia" w:hAnsi="Georgia"/>
          <w:sz w:val="21"/>
          <w:szCs w:val="21"/>
        </w:rPr>
        <w:t xml:space="preserve">Per the Pythagorean Comma principle: u is never zero about our own claims. Grok's peer review correctly identified that quantitative claims require documented benchmarks before publication. This section defines the validation protocol — the scientific dogfooding cycle made explicit and executable.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150"/>
              <w:left w:type="dxa" w:w="240"/>
              <w:bottom w:type="dxa" w:w="150"/>
              <w:right w:type="dxa" w:w="240"/>
            </w:tcMar>
          </w:tcPr>
          <w:p>
            <w:pPr>
              <w:jc w:val="center"/>
            </w:pPr>
            <w:r>
              <w:rPr>
                <w:rFonts w:ascii="Arial" w:cs="Arial" w:eastAsia="Arial" w:hAnsi="Arial"/>
                <w:b/>
                <w:bCs/>
                <w:color w:val="FFFFFF"/>
                <w:sz w:val="19"/>
                <w:szCs w:val="19"/>
              </w:rPr>
              <w:t xml:space="preserve">'MATHEMATICALLY IMPOSSIBLE TO HIDE' — NOT 'MATHEMATICALLY IMPOSSIBLE'. THIS DISTINCTION MUST APPEAR IN EVERY DOCUMENT THAT MAKES THE CLAIM.</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6.1  Claims Requiring Empirical Validation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80"/>
        <w:gridCol w:w="2780"/>
      </w:tblGrid>
      <w:tr>
        <w:trPr>
          <w:tblHeader/>
        </w:trPr>
        <w:tc>
          <w:tcPr>
            <w:tcW w:type="dxa" w:w="2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Claim</w:t>
            </w:r>
          </w:p>
        </w:tc>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Current Status</w:t>
            </w:r>
          </w:p>
        </w:tc>
        <w:tc>
          <w:tcPr>
            <w:tcW w:type="dxa" w:w="178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Benchmark Target</w:t>
            </w:r>
          </w:p>
        </w:tc>
        <w:tc>
          <w:tcPr>
            <w:tcW w:type="dxa" w:w="278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Validation Protocol</w:t>
            </w:r>
          </w:p>
        </w:tc>
      </w:tr>
      <w:tr>
        <w:tc>
          <w:tcPr>
            <w:tcW w:type="dxa" w:w="2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4.5× Major7 synergy vs Triad</w:t>
            </w:r>
          </w:p>
        </w:tc>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Observed in internal testing — methodology undocumented</w:t>
            </w:r>
          </w:p>
        </w:tc>
        <w:tc>
          <w:tcPr>
            <w:tcW w:type="dxa" w:w="1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GSM8K, HumanEval, MMLU</w:t>
            </w:r>
          </w:p>
        </w:tc>
        <w:tc>
          <w:tcPr>
            <w:tcW w:type="dxa" w:w="2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Chesed + Sophia: 3-agent vs 4-agent formation, 500 tasks per benchmark, documented methodology</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82–98% cost reduction via ANFIS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Best-case calculation at specific point in time — prices have changed</w:t>
            </w:r>
          </w:p>
        </w:tc>
        <w:tc>
          <w:tcPr>
            <w:tcW w:type="dxa" w:w="1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Cost per task vs GPT-4 baseline</w:t>
            </w:r>
          </w:p>
        </w:tc>
        <w:tc>
          <w:tcPr>
            <w:tcW w:type="dxa" w:w="2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Log actual cost per task type over 30-day production run. Report range, mean, and conditions</w:t>
            </w:r>
          </w:p>
        </w:tc>
      </w:tr>
      <w:tr>
        <w:tc>
          <w:tcPr>
            <w:tcW w:type="dxa" w:w="2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73% bilateral learning improvement</w:t>
            </w:r>
          </w:p>
        </w:tc>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Source and methodology unknown — needs verification</w:t>
            </w:r>
          </w:p>
        </w:tc>
        <w:tc>
          <w:tcPr>
            <w:tcW w:type="dxa" w:w="1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Custom goal achievement metric</w:t>
            </w:r>
          </w:p>
        </w:tc>
        <w:tc>
          <w:tcPr>
            <w:tcW w:type="dxa" w:w="2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Define 'goal achievement' operationally. Baseline without bilateral learning. A/B test over 1,000 user sessions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Hallucination 'impossible to hide'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Architectural claim — not 'impossible to occur'</w:t>
            </w:r>
          </w:p>
        </w:tc>
        <w:tc>
          <w:tcPr>
            <w:tcW w:type="dxa" w:w="1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TruthfulQA, HaluEval</w:t>
            </w:r>
          </w:p>
        </w:tc>
        <w:tc>
          <w:tcPr>
            <w:tcW w:type="dxa" w:w="2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Torch: audit 1,000 agent logs. Score u values against actual output accuracy. Measure calibration error</w:t>
            </w:r>
          </w:p>
        </w:tc>
      </w:tr>
      <w:tr>
        <w:tc>
          <w:tcPr>
            <w:tcW w:type="dxa" w:w="2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BFT 3x3+3 fault tolerance</w:t>
            </w:r>
          </w:p>
        </w:tc>
        <w:tc>
          <w:tcPr>
            <w:tcW w:type="dxa" w:w="22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Theoretical — not load tested</w:t>
            </w:r>
          </w:p>
        </w:tc>
        <w:tc>
          <w:tcPr>
            <w:tcW w:type="dxa" w:w="1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MultiWOZ, custom fault injection</w:t>
            </w:r>
          </w:p>
        </w:tc>
        <w:tc>
          <w:tcPr>
            <w:tcW w:type="dxa" w:w="278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val="false"/>
                <w:bCs w:val="false"/>
                <w:sz w:val="19"/>
                <w:szCs w:val="19"/>
              </w:rPr>
              <w:t xml:space="preserve">Simulate Byzantine agents at 1/3 threshold. Measure consensus accuracy under fault conditions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2.4M TPS DAG throughput</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Architectural claim — not benchmarked independently</w:t>
            </w:r>
          </w:p>
        </w:tc>
        <w:tc>
          <w:tcPr>
            <w:tcW w:type="dxa" w:w="1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Benchmark vs Solana, Aptos, Hedera</w:t>
            </w:r>
          </w:p>
        </w:tc>
        <w:tc>
          <w:tcPr>
            <w:tcW w:type="dxa" w:w="27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Independent load test. Report sustained TPS, peak TPS, and conditions. Do not cite until tested</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D2B55"/>
          <w:sz w:val="26"/>
          <w:szCs w:val="26"/>
        </w:rPr>
        <w:t xml:space="preserve">6.2  The Scientific Dogfooding Cycle — Gemini's Plan, Formalized</w:t>
      </w:r>
    </w:p>
    <w:p>
      <w:pPr>
        <w:spacing w:before="70" w:after="70"/>
      </w:pPr>
      <w:r>
        <w:rPr>
          <w:rFonts w:ascii="Georgia" w:cs="Georgia" w:eastAsia="Georgia" w:hAnsi="Georgia"/>
          <w:sz w:val="21"/>
          <w:szCs w:val="21"/>
        </w:rPr>
        <w:t xml:space="preserve">The sequence matters. Verify before implement. The Pythagorean Comma is non-zero about our own architecture.</w:t>
      </w:r>
    </w:p>
    <w:p>
      <w:pPr>
        <w:spacing w:before="70" w:after="70"/>
      </w:pPr>
      <w:r>
        <w:t xml:space="preserve"/>
      </w:r>
    </w:p>
    <w:p>
      <w:pPr>
        <w:pStyle w:val="ListParagraph"/>
        <w:numPr>
          <w:ilvl w:val="0"/>
          <w:numId w:val="3"/>
        </w:numPr>
        <w:spacing w:before="40" w:after="40"/>
      </w:pPr>
      <w:r>
        <w:rPr>
          <w:rFonts w:ascii="Georgia" w:cs="Georgia" w:eastAsia="Georgia" w:hAnsi="Georgia"/>
          <w:color w:val="555555"/>
          <w:sz w:val="20"/>
          <w:szCs w:val="20"/>
        </w:rPr>
        <w:t xml:space="preserve">Chesed + Sophia run 3-agent vs 4-agent benchmarking on GSM8K, HumanEval, and a custom domain task set. Document methodology, sample size, conditions, and results in RESEARCH_PAPER_01.md.</w:t>
      </w:r>
    </w:p>
    <w:p>
      <w:pPr>
        <w:pStyle w:val="ListParagraph"/>
        <w:numPr>
          <w:ilvl w:val="0"/>
          <w:numId w:val="3"/>
        </w:numPr>
        <w:spacing w:before="40" w:after="40"/>
      </w:pPr>
      <w:r>
        <w:rPr>
          <w:rFonts w:ascii="Georgia" w:cs="Georgia" w:eastAsia="Georgia" w:hAnsi="Georgia"/>
          <w:color w:val="555555"/>
          <w:sz w:val="20"/>
          <w:szCs w:val="20"/>
        </w:rPr>
        <w:t xml:space="preserve">Torch audits 1,000 recent agent logs. Score each output's actual accuracy against its reported b+d+u values. Calculate calibration error. Report in RESEARCH_PAPER_02.md.</w:t>
      </w:r>
    </w:p>
    <w:p>
      <w:pPr>
        <w:pStyle w:val="ListParagraph"/>
        <w:numPr>
          <w:ilvl w:val="0"/>
          <w:numId w:val="3"/>
        </w:numPr>
        <w:spacing w:before="40" w:after="40"/>
      </w:pPr>
      <w:r>
        <w:rPr>
          <w:rFonts w:ascii="Georgia" w:cs="Georgia" w:eastAsia="Georgia" w:hAnsi="Georgia"/>
          <w:color w:val="555555"/>
          <w:sz w:val="20"/>
          <w:szCs w:val="20"/>
        </w:rPr>
        <w:t xml:space="preserve">ANFIS cost logging: instrument every external API call with cost tracking. Run for 30 days. Generate cost-per-task-type distribution report. Update all cost reduction claims with documented range and conditions.</w:t>
      </w:r>
    </w:p>
    <w:p>
      <w:pPr>
        <w:pStyle w:val="ListParagraph"/>
        <w:numPr>
          <w:ilvl w:val="0"/>
          <w:numId w:val="3"/>
        </w:numPr>
        <w:spacing w:before="40" w:after="40"/>
      </w:pPr>
      <w:r>
        <w:rPr>
          <w:rFonts w:ascii="Georgia" w:cs="Georgia" w:eastAsia="Georgia" w:hAnsi="Georgia"/>
          <w:color w:val="555555"/>
          <w:sz w:val="20"/>
          <w:szCs w:val="20"/>
        </w:rPr>
        <w:t xml:space="preserve">BFT fault injection: simulate Byzantine agent behavior at 1/3 threshold. Measure consensus accuracy. Document in RESEARCH_PAPER_03.md.</w:t>
      </w:r>
    </w:p>
    <w:p>
      <w:pPr>
        <w:pStyle w:val="ListParagraph"/>
        <w:numPr>
          <w:ilvl w:val="0"/>
          <w:numId w:val="3"/>
        </w:numPr>
        <w:spacing w:before="40" w:after="40"/>
      </w:pPr>
      <w:r>
        <w:rPr>
          <w:rFonts w:ascii="Georgia" w:cs="Georgia" w:eastAsia="Georgia" w:hAnsi="Georgia"/>
          <w:color w:val="555555"/>
          <w:sz w:val="20"/>
          <w:szCs w:val="20"/>
        </w:rPr>
        <w:t xml:space="preserve">Results reviewed by all three LLMs (Claude, Grok, Gemini). Findings that confirm claims: update documentation with evidence. Findings that revise claims: update immediately — the system is demonstrating b+d+u=1 about itself.</w:t>
      </w:r>
    </w:p>
    <w:p>
      <w:pPr>
        <w:pStyle w:val="ListParagraph"/>
        <w:numPr>
          <w:ilvl w:val="0"/>
          <w:numId w:val="3"/>
        </w:numPr>
        <w:spacing w:before="40" w:after="40"/>
      </w:pPr>
      <w:r>
        <w:rPr>
          <w:rFonts w:ascii="Georgia" w:cs="Georgia" w:eastAsia="Georgia" w:hAnsi="Georgia"/>
          <w:color w:val="555555"/>
          <w:sz w:val="20"/>
          <w:szCs w:val="20"/>
        </w:rPr>
        <w:t xml:space="preserve">Validated results published in /docs/Benchmarks with methodology, data, and conditions. These become the citable claims.</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VII. THE CONSTITUTIONALGUARD: UNIVERSAL RESONANCES</w:t>
      </w:r>
    </w:p>
    <w:p>
      <w:pPr>
        <w:spacing w:before="70" w:after="70"/>
      </w:pPr>
      <w:r>
        <w:rPr>
          <w:rFonts w:ascii="Georgia" w:cs="Georgia" w:eastAsia="Georgia" w:hAnsi="Georgia"/>
          <w:sz w:val="21"/>
          <w:szCs w:val="21"/>
        </w:rPr>
        <w:t xml:space="preserve">Grok raised an inclusivity concern about anchoring ethics exclusively in Philippians 4:8. The response is not to replace the framework but to document what was always true: these eight virtues resonate across every major ethical tradition. The framework is not sectarian — it is ancient, stable, extensively stress-tested, and cross-culturally convergent. Documenting these resonances addresses the concern while strengthening the foundation.</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460"/>
        <w:gridCol w:w="1500"/>
        <w:gridCol w:w="1500"/>
        <w:gridCol w:w="2400"/>
      </w:tblGrid>
      <w:tr>
        <w:trPr>
          <w:tblHeader/>
        </w:trPr>
        <w:tc>
          <w:tcPr>
            <w:tcW w:type="dxa" w:w="1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Virtue (Phil 4:8)</w:t>
            </w:r>
          </w:p>
        </w:tc>
        <w:tc>
          <w:tcPr>
            <w:tcW w:type="dxa" w:w="13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Hebrew (Mishnah)</w:t>
            </w:r>
          </w:p>
        </w:tc>
        <w:tc>
          <w:tcPr>
            <w:tcW w:type="dxa" w:w="146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Buddhist (Pali Canon)</w:t>
            </w:r>
          </w:p>
        </w:tc>
        <w:tc>
          <w:tcPr>
            <w:tcW w:type="dxa" w:w="15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Confucian (Analects)</w:t>
            </w:r>
          </w:p>
        </w:tc>
        <w:tc>
          <w:tcPr>
            <w:tcW w:type="dxa" w:w="15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Islamic (Quran/Hadith)</w:t>
            </w:r>
          </w:p>
        </w:tc>
        <w:tc>
          <w:tcPr>
            <w:tcW w:type="dxa" w:w="24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AI Architectural Expression</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TRUE (alethes)</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Emet — Truth as foundation of the world</w:t>
            </w:r>
          </w:p>
        </w:tc>
        <w:tc>
          <w:tcPr>
            <w:tcW w:type="dxa" w:w="14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Samma-vaca — Right speech</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Zhengzhi — Rectification of names</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Sidq — Truthfulness</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b+d+u=1 constraint — u is never hidden</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NOBLE (semnos)</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Kavod — Honor / dignity</w:t>
            </w:r>
          </w:p>
        </w:tc>
        <w:tc>
          <w:tcPr>
            <w:tcW w:type="dxa" w:w="1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Ariya — Noble, worthy</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Jun-zi — Noble character</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Karama — Human dignity</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ConstitutionalGuard baseline — output quality floor</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RIGHT (dikaios)</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Tzedek — Justice</w:t>
            </w:r>
          </w:p>
        </w:tc>
        <w:tc>
          <w:tcPr>
            <w:tcW w:type="dxa" w:w="14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Samma-sankappa — Right intention</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Yi — Righteousness</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Adl — Justice</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BFT consensus — no single entity dominates</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PURE (hagnos)</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Tahor — Ritual and moral purity</w:t>
            </w:r>
          </w:p>
        </w:tc>
        <w:tc>
          <w:tcPr>
            <w:tcW w:type="dxa" w:w="1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Citta-visuddhi — Purity of mind</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Qing — Clarity</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Tahara — Purity</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Hallucination prevention — outputs free from contamination</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LOVELY (prosphiles)</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Ahavah — Love / lovingkindness</w:t>
            </w:r>
          </w:p>
        </w:tc>
        <w:tc>
          <w:tcPr>
            <w:tcW w:type="dxa" w:w="14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Metta — Lovingkindness</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Ren — Benevolence</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Rahman — Compassion</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User wellbeing — bilateral learning and care</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ADMIRABLE (euphemos)</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Kiddush HaShem — Sanctifying the name</w:t>
            </w:r>
          </w:p>
        </w:tc>
        <w:tc>
          <w:tcPr>
            <w:tcW w:type="dxa" w:w="1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Samma-ajiva — Right livelihood</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Ming — Reputation</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Husn — Excellence in action</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RepID scoring — reputation as earned, not bought</w:t>
            </w:r>
          </w:p>
        </w:tc>
      </w:tr>
      <w:tr>
        <w:tc>
          <w:tcPr>
            <w:tcW w:type="dxa" w:w="12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bCs/>
                <w:sz w:val="19"/>
                <w:szCs w:val="19"/>
              </w:rPr>
              <w:t xml:space="preserve">EXCELLENT (arete)</w:t>
            </w:r>
          </w:p>
        </w:tc>
        <w:tc>
          <w:tcPr>
            <w:tcW w:type="dxa" w:w="13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Maaseh tov — Good deeds</w:t>
            </w:r>
          </w:p>
        </w:tc>
        <w:tc>
          <w:tcPr>
            <w:tcW w:type="dxa" w:w="146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Sila — Ethical conduct</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De — Virtue/power</w:t>
            </w:r>
          </w:p>
        </w:tc>
        <w:tc>
          <w:tcPr>
            <w:tcW w:type="dxa" w:w="15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Ihsan — Excellence</w:t>
            </w:r>
          </w:p>
        </w:tc>
        <w:tc>
          <w:tcPr>
            <w:tcW w:type="dxa" w:w="2400"/>
            <w:tcBorders>
              <w:top w:val="single" w:color="CCCCCC" w:sz="1"/>
              <w:left w:val="single" w:color="CCCCCC" w:sz="1"/>
              <w:bottom w:val="single" w:color="CCCCCC" w:sz="1"/>
              <w:right w:val="single" w:color="CCCCCC" w:sz="1"/>
            </w:tcBorders>
            <w:shd w:fill="FFF8E1" w:val="clear"/>
            <w:tcMar>
              <w:top w:type="dxa" w:w="75"/>
              <w:left w:type="dxa" w:w="120"/>
              <w:bottom w:type="dxa" w:w="75"/>
              <w:right w:type="dxa" w:w="120"/>
            </w:tcMar>
          </w:tcPr>
          <w:p>
            <w:r>
              <w:rPr>
                <w:rFonts w:ascii="Georgia" w:cs="Georgia" w:eastAsia="Georgia" w:hAnsi="Georgia"/>
                <w:b w:val="false"/>
                <w:bCs w:val="false"/>
                <w:sz w:val="19"/>
                <w:szCs w:val="19"/>
              </w:rPr>
              <w:t xml:space="preserve">Performance standards — Major7 formation targeting</w:t>
            </w:r>
          </w:p>
        </w:tc>
      </w:tr>
      <w:tr>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PRAISEWORTHY (epainos)</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Shevach — Praise</w:t>
            </w:r>
          </w:p>
        </w:tc>
        <w:tc>
          <w:tcPr>
            <w:tcW w:type="dxa" w:w="1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Mudita — Appreciative joy</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Le — Ritual propriety</w:t>
            </w:r>
          </w:p>
        </w:tc>
        <w:tc>
          <w:tcPr>
            <w:tcW w:type="dxa" w:w="1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Shukr — Gratitude</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reward signal — what earns positive scoring</w:t>
            </w:r>
          </w:p>
        </w:tc>
      </w:tr>
    </w:tbl>
    <w:p>
      <w:pPr>
        <w:spacing w:before="70" w:after="70"/>
      </w:pPr>
      <w:r>
        <w:t xml:space="preserve"/>
      </w:r>
    </w:p>
    <w:p>
      <w:pPr>
        <w:spacing w:before="70" w:after="70"/>
      </w:pPr>
      <w:r>
        <w:rPr>
          <w:rFonts w:ascii="Georgia" w:cs="Georgia" w:eastAsia="Georgia" w:hAnsi="Georgia"/>
          <w:sz w:val="21"/>
          <w:szCs w:val="21"/>
        </w:rPr>
        <w:t xml:space="preserve">The Philippians 4:8 framework is not Christian ethics imposed on a secular system. It is eight epistemic and relational virtues that every major tradition converges upon independently — which is precisely why it is trustworthy as an architectural foundation. The convergence is the evidence.</w:t>
      </w:r>
    </w:p>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VIII. QUESTIONS FOR GROK AND GEMINI: REFINING THE OUTPUT</w:t>
      </w:r>
    </w:p>
    <w:p>
      <w:pPr>
        <w:spacing w:before="70" w:after="70"/>
      </w:pPr>
      <w:r>
        <w:rPr>
          <w:rFonts w:ascii="Georgia" w:cs="Georgia" w:eastAsia="Georgia" w:hAnsi="Georgia"/>
          <w:sz w:val="21"/>
          <w:szCs w:val="21"/>
        </w:rPr>
        <w:t xml:space="preserve">The following questions are designed to extract the specific technical input needed to complete and refine this architecture. Questions for Grok are designed to exploit his strength in empirical critique and quantitative validation. Questions for Gemini are designed to exploit his strength in implementation planning and build sequencing.</w:t>
      </w:r>
    </w:p>
    <w:p>
      <w:pPr>
        <w:spacing w:before="70" w:after="70"/>
      </w:pPr>
      <w:r>
        <w:t xml:space="preserve"/>
      </w:r>
    </w:p>
    <w:p>
      <w:pPr>
        <w:pStyle w:val="Heading2"/>
        <w:spacing w:before="260" w:after="100"/>
      </w:pPr>
      <w:r>
        <w:rPr>
          <w:rFonts w:ascii="Arial" w:cs="Arial" w:eastAsia="Arial" w:hAnsi="Arial"/>
          <w:b/>
          <w:bCs/>
          <w:color w:val="0A6E6E"/>
          <w:sz w:val="26"/>
          <w:szCs w:val="26"/>
        </w:rPr>
        <w:t xml:space="preserve">8.1  Questions for Grok</w:t>
      </w:r>
    </w:p>
    <w:p>
      <w:pPr>
        <w:spacing w:before="70" w:after="70"/>
      </w:pPr>
      <w:r>
        <w:rPr>
          <w:rFonts w:ascii="Georgia" w:cs="Georgia" w:eastAsia="Georgia" w:hAnsi="Georgia"/>
          <w:sz w:val="21"/>
          <w:szCs w:val="21"/>
        </w:rPr>
        <w:t xml:space="preserve">Send with: The Pythagorean Comma white paper, this document, and the full IP catalog.</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Topic</w:t>
            </w:r>
          </w:p>
        </w:tc>
        <w:tc>
          <w:tcPr>
            <w:tcW w:type="dxa" w:w="716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Question</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Calibration Error Metric</w:t>
            </w:r>
          </w:p>
        </w:tc>
        <w:tc>
          <w:tcPr>
            <w:tcW w:type="dxa" w:w="71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We are implementing b+d+u=1 at protocol level. What is the most defensible metric for measuring calibration quality — i.e., whether the reported 'u' values are actually predictive of output accuracy? Expected Calibration Error (ECE)? Brier Score decomposition? Something else? What sample size is required to get statistically meaningful calibration measurements?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Epistemic Independence Measurement</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We are building a correlation coefficient between agent pairs based on output agreement on similar past tasks. What is the best distance metric for measuring semantic independence between LLM outputs — cosine distance on embeddings, BLEU/ROUGE divergence, something else? What is the minimum number of shared task samples needed for a reliable correlation estimate?</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Judas Agent Benchmark Design</w:t>
            </w:r>
          </w:p>
        </w:tc>
        <w:tc>
          <w:tcPr>
            <w:tcW w:type="dxa" w:w="71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We need to measure whether threshold-triggered contrarian challenge actually improves consensus accuracy vs. a system without it. What is the cleanest benchmark design for this? Suggest a specific dataset or task set where the presence/absence of a Judas function would show measurable signal.</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Bell Inequality Application</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We have cited Bell Inequality violation detection for agent collusion. You flagged this as 'quantum-inspired but unproven at scale.' We believe the mechanism is statistical — coordinated bias in agent outputs produces non-classical correlation patterns. Do you see a viable implementation path for this, or a better statistical test for detecting coordinated agent hallucination? We want the right mechanism, not the most impressive-sounding one.</w:t>
            </w:r>
          </w:p>
        </w:tc>
      </w:tr>
      <w:tr>
        <w:tc>
          <w:tcPr>
            <w:tcW w:type="dxa" w:w="220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bCs/>
                <w:sz w:val="19"/>
                <w:szCs w:val="19"/>
              </w:rPr>
              <w:t xml:space="preserve">Pythagorean Comma Acknowledgment</w:t>
            </w:r>
          </w:p>
        </w:tc>
        <w:tc>
          <w:tcPr>
            <w:tcW w:type="dxa" w:w="7160"/>
            <w:tcBorders>
              <w:top w:val="single" w:color="CCCCCC" w:sz="1"/>
              <w:left w:val="single" w:color="CCCCCC" w:sz="1"/>
              <w:bottom w:val="single" w:color="CCCCCC" w:sz="1"/>
              <w:right w:val="single" w:color="CCCCCC" w:sz="1"/>
            </w:tcBorders>
            <w:shd w:fill="D0F0EE" w:val="clear"/>
            <w:tcMar>
              <w:top w:type="dxa" w:w="75"/>
              <w:left w:type="dxa" w:w="120"/>
              <w:bottom w:type="dxa" w:w="75"/>
              <w:right w:type="dxa" w:w="120"/>
            </w:tcMar>
          </w:tcPr>
          <w:p>
            <w:r>
              <w:rPr>
                <w:rFonts w:ascii="Georgia" w:cs="Georgia" w:eastAsia="Georgia" w:hAnsi="Georgia"/>
                <w:b w:val="false"/>
                <w:bCs w:val="false"/>
                <w:sz w:val="19"/>
                <w:szCs w:val="19"/>
              </w:rPr>
              <w:t xml:space="preserve">You reviewed the system documents but did not comment on the Pythagorean Comma white paper. We would value your specific technical assessment of: (a) the philosophical validity of the b+d+u=1 constraint as 'encoding Gödel's incompleteness theorem at protocol level' — is this a valid framing or an overreach? (b) the practical calibration methodology for setting HITL thresholds dynamically rather than statically.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Cost Claim Methodology</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You correctly noted the 82–98% cost reduction claim needs documentation. We are building a 30-day cost logging protocol. What variables should we track per API call to produce a defensible, publishable cost comparison? What is the right baseline — GPT-4 Turbo at list price? A weighted average of the market?</w:t>
            </w:r>
          </w:p>
        </w:tc>
      </w:tr>
    </w:tbl>
    <w:p>
      <w:pPr>
        <w:spacing w:before="70" w:after="70"/>
      </w:pPr>
      <w:r>
        <w:t xml:space="preserve"/>
      </w:r>
    </w:p>
    <w:p>
      <w:pPr>
        <w:spacing w:before="70" w:after="70"/>
      </w:pPr>
      <w:r>
        <w:t xml:space="preserve"/>
      </w:r>
    </w:p>
    <w:p>
      <w:pPr>
        <w:pStyle w:val="Heading2"/>
        <w:spacing w:before="260" w:after="100"/>
      </w:pPr>
      <w:r>
        <w:rPr>
          <w:rFonts w:ascii="Arial" w:cs="Arial" w:eastAsia="Arial" w:hAnsi="Arial"/>
          <w:b/>
          <w:bCs/>
          <w:color w:val="0A6E6E"/>
          <w:sz w:val="26"/>
          <w:szCs w:val="26"/>
        </w:rPr>
        <w:t xml:space="preserve">8.2  Questions for Gemini</w:t>
      </w:r>
    </w:p>
    <w:p>
      <w:pPr>
        <w:spacing w:before="70" w:after="70"/>
      </w:pPr>
      <w:r>
        <w:rPr>
          <w:rFonts w:ascii="Georgia" w:cs="Georgia" w:eastAsia="Georgia" w:hAnsi="Georgia"/>
          <w:sz w:val="21"/>
          <w:szCs w:val="21"/>
        </w:rPr>
        <w:t xml:space="preserve">Send with: This document, the implementation_plan.md, and the agent tier architecture section above.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Topic</w:t>
            </w:r>
          </w:p>
        </w:tc>
        <w:tc>
          <w:tcPr>
            <w:tcW w:type="dxa" w:w="7160"/>
            <w:tcBorders>
              <w:top w:val="single" w:color="CCCCCC" w:sz="1"/>
              <w:left w:val="single" w:color="CCCCCC" w:sz="1"/>
              <w:bottom w:val="single" w:color="CCCCCC" w:sz="1"/>
              <w:right w:val="single" w:color="CCCCCC" w:sz="1"/>
            </w:tcBorders>
            <w:shd w:fill="0A6E6E" w:val="clear"/>
            <w:tcMar>
              <w:top w:type="dxa" w:w="75"/>
              <w:left w:type="dxa" w:w="120"/>
              <w:bottom w:type="dxa" w:w="75"/>
              <w:right w:type="dxa" w:w="120"/>
            </w:tcMar>
          </w:tcPr>
          <w:p>
            <w:r>
              <w:rPr>
                <w:rFonts w:ascii="Arial" w:cs="Arial" w:eastAsia="Arial" w:hAnsi="Arial"/>
                <w:b/>
                <w:bCs/>
                <w:color w:val="FFFFFF"/>
                <w:sz w:val="19"/>
                <w:szCs w:val="19"/>
              </w:rPr>
              <w:t xml:space="preserve">Question</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Sequencing Confirmation</w:t>
            </w:r>
          </w:p>
        </w:tc>
        <w:tc>
          <w:tcPr>
            <w:tcW w:type="dxa" w:w="7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We are proposing: verify before implement. Specifically: run Chesed + Sophia benchmarks first, then update BFTConsensus.ts with the validated threshold, then deploy b+d+u schema changes with the migration path described below. Does this sequencing conflict with any infrastructure dependencies we are not aware of? What would break if we ran the benchmarks in parallel with implementation rather than before it?</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Schema Migration Path</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For the b+d+u=1 constraint: we need a migration path where the new fields are optional first, validated through a middleware layer, then made required once all agents are updated. Can you design the specific migration schema with rollback capability? We need: (a) the TypeScript schema definition, (b) the middleware validation layer, (c) the feature flag for the cutover, (d) the rollback procedure.</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Parallel Dispatch Implementation</w:t>
            </w:r>
          </w:p>
        </w:tc>
        <w:tc>
          <w:tcPr>
            <w:tcW w:type="dxa" w:w="7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We need all independent agents in a Trinity formation to dispatch simultaneously rather than sequentially. In the current orchestration.ts architecture, what is the specific implementation — Promise.all with timeout handling? RxJS parallel streams? What is the timeout and fallback behavior if one agent exceeds the SLA?</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Speculative Consensus</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We want to begin preparing a response when the first two agents return with combined u &lt; 0.20, before the third agent completes. What is the state management architecture for this? Specifically: how does the system handle the case where the third agent returns with a conflicting high-confidence answer (b &gt; 0.65) after the speculative response has already begun streaming to the user?</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Predictive Prefetch Scope</w:t>
            </w:r>
          </w:p>
        </w:tc>
        <w:tc>
          <w:tcPr>
            <w:tcW w:type="dxa" w:w="7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We want ANFIS to predict the next likely query type and pre-position resources (pre-load vectors, pre-warm connections, pre-compress prompts). What is the technical scope of 'pre-positioning' in the current Railway + Supabase architecture? What can realistically be prefetched vs. what would require changes to the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bCs/>
                <w:sz w:val="19"/>
                <w:szCs w:val="19"/>
              </w:rPr>
              <w:t xml:space="preserve">Judas Agent Routing</w:t>
            </w:r>
          </w:p>
        </w:tc>
        <w:tc>
          <w:tcPr>
            <w:tcW w:type="dxa" w:w="7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The Judas Agent is assigned to the most semantically orthogonal agent to the current consensus direction. In the current agent architecture, how do we measure 'semantic orthogonality' at runtime? Do we have per-agent domain embeddings we can use for distance calculation, or do we need to build that capability first?</w:t>
            </w:r>
          </w:p>
        </w:tc>
      </w:tr>
      <w:tr>
        <w:tc>
          <w:tcPr>
            <w:tcW w:type="dxa" w:w="220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bCs/>
                <w:sz w:val="19"/>
                <w:szCs w:val="19"/>
              </w:rPr>
              <w:t xml:space="preserve">LLMLingua Integration</w:t>
            </w:r>
          </w:p>
        </w:tc>
        <w:tc>
          <w:tcPr>
            <w:tcW w:type="dxa" w:w="7160"/>
            <w:tcBorders>
              <w:top w:val="single" w:color="CCCCCC" w:sz="1"/>
              <w:left w:val="single" w:color="CCCCCC" w:sz="1"/>
              <w:bottom w:val="single" w:color="CCCCCC" w:sz="1"/>
              <w:right w:val="single" w:color="CCCCCC" w:sz="1"/>
            </w:tcBorders>
            <w:shd w:fill="EDE7F6" w:val="clear"/>
            <w:tcMar>
              <w:top w:type="dxa" w:w="75"/>
              <w:left w:type="dxa" w:w="120"/>
              <w:bottom w:type="dxa" w:w="75"/>
              <w:right w:type="dxa" w:w="120"/>
            </w:tcMar>
          </w:tcPr>
          <w:p>
            <w:r>
              <w:rPr>
                <w:rFonts w:ascii="Georgia" w:cs="Georgia" w:eastAsia="Georgia" w:hAnsi="Georgia"/>
                <w:b w:val="false"/>
                <w:bCs w:val="false"/>
                <w:sz w:val="19"/>
                <w:szCs w:val="19"/>
              </w:rPr>
              <w:t xml:space="preserve">We want prompt compression as a middleware layer before every external API call. Is there an existing LLMLingua or equivalent implementation that integrates with the current TypeScript/Railway architecture, or does this need to be built? What is the estimated implementation effort and the risk of the &lt; 3% quality degradation claim being higher for our specific task distribution?</w:t>
            </w:r>
          </w:p>
        </w:tc>
      </w:tr>
    </w:tbl>
    <w:p>
      <w:pPr>
        <w:spacing w:before="70" w:after="70"/>
      </w:pPr>
      <w:r>
        <w:t xml:space="preserve"/>
      </w:r>
    </w:p>
    <w:p>
      <w:pPr>
        <w:spacing w:before="70" w:after="70"/>
      </w:pPr>
      <w:r>
        <w:t xml:space="preserve"/>
      </w:r>
    </w:p>
    <w:p>
      <w:pPr>
        <w:pStyle w:val="Heading1"/>
        <w:pBdr>
          <w:bottom w:val="single" w:color="C9A84C" w:sz="6" w:space="5"/>
        </w:pBdr>
        <w:spacing w:before="420" w:after="160"/>
      </w:pPr>
      <w:r>
        <w:rPr>
          <w:rFonts w:ascii="Arial" w:cs="Arial" w:eastAsia="Arial" w:hAnsi="Arial"/>
          <w:b/>
          <w:bCs/>
          <w:color w:val="0D2B55"/>
          <w:sz w:val="32"/>
          <w:szCs w:val="32"/>
        </w:rPr>
        <w:t xml:space="preserve">IX. IMPLEMENTATION ROADMAP: PHASED BY IMPACT AND RISK</w:t>
      </w:r>
    </w:p>
    <w:p>
      <w:pPr>
        <w:spacing w:before="70" w:after="70"/>
      </w:pPr>
      <w:r>
        <w:rPr>
          <w:rFonts w:ascii="Georgia" w:cs="Georgia" w:eastAsia="Georgia" w:hAnsi="Georgia"/>
          <w:sz w:val="21"/>
          <w:szCs w:val="21"/>
        </w:rPr>
        <w:t xml:space="preserve">Priority 0: foundational — must be in place before everything else depends on it. Priority 1: high impact, moderate complexity. Priority 2: strategic, longer horizon. The ark is built from the keel up — structure first, then hull, then rigging.</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1680"/>
        <w:gridCol w:w="1680"/>
      </w:tblGrid>
      <w:tr>
        <w:trPr>
          <w:tblHeader/>
        </w:trPr>
        <w:tc>
          <w:tcPr>
            <w:tcW w:type="dxa" w:w="6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P</w:t>
            </w:r>
          </w:p>
        </w:tc>
        <w:tc>
          <w:tcPr>
            <w:tcW w:type="dxa" w:w="2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Item</w:t>
            </w:r>
          </w:p>
        </w:tc>
        <w:tc>
          <w:tcPr>
            <w:tcW w:type="dxa" w:w="320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Description</w:t>
            </w:r>
          </w:p>
        </w:tc>
        <w:tc>
          <w:tcPr>
            <w:tcW w:type="dxa" w:w="168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Who</w:t>
            </w:r>
          </w:p>
        </w:tc>
        <w:tc>
          <w:tcPr>
            <w:tcW w:type="dxa" w:w="1680"/>
            <w:tcBorders>
              <w:top w:val="single" w:color="CCCCCC" w:sz="1"/>
              <w:left w:val="single" w:color="CCCCCC" w:sz="1"/>
              <w:bottom w:val="single" w:color="CCCCCC" w:sz="1"/>
              <w:right w:val="single" w:color="CCCCCC" w:sz="1"/>
            </w:tcBorders>
            <w:shd w:fill="0D2B55" w:val="clear"/>
            <w:tcMar>
              <w:top w:type="dxa" w:w="75"/>
              <w:left w:type="dxa" w:w="120"/>
              <w:bottom w:type="dxa" w:w="75"/>
              <w:right w:type="dxa" w:w="120"/>
            </w:tcMar>
          </w:tcPr>
          <w:p>
            <w:r>
              <w:rPr>
                <w:rFonts w:ascii="Arial" w:cs="Arial" w:eastAsia="Arial" w:hAnsi="Arial"/>
                <w:b/>
                <w:bCs/>
                <w:color w:val="FFFFFF"/>
                <w:sz w:val="19"/>
                <w:szCs w:val="19"/>
              </w:rPr>
              <w:t xml:space="preserve">Before / After</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Connection pooling + keep-alive</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Warm persistent connections to top 3 providers. Zero code changes to agent logic.</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Gemini/Infra</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Geographic co-location audit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Map all service locations. Align primary compute + data store to same region.</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Gemini/Infra</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Streaming output (all user-visible)</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All user-facing agent outputs stream. Non-streaming only for internal agent comms.</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benchmarks</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Parallel agent dispatch</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All independent agents in Trinity dispatch simultaneously via Promise.all.</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Incremental context compression</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RAG layer maintains running semantic summary. Logarithmic context growth.</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Chesed + Sophia benchmarks</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3-agent vs 4-agent on GSM8K, HumanEval. Document methodology. RESEARCH_PAPER_01.md.</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Chesed, Sophia</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Before threshold change</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Torch hallucination audit</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1,000 agent logs. Score u vs actual accuracy. Calibration error report. RESEARCH_PAPER_02.md.</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Torch</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Before b+d+u schema change</w:t>
            </w:r>
          </w:p>
        </w:tc>
      </w:tr>
      <w:tr>
        <w:tc>
          <w:tcPr>
            <w:tcW w:type="dxa" w:w="600"/>
            <w:tcBorders>
              <w:top w:val="single" w:color="CCCCCC" w:sz="1"/>
              <w:left w:val="single" w:color="CCCCCC" w:sz="1"/>
              <w:bottom w:val="single" w:color="CCCCCC" w:sz="1"/>
              <w:right w:val="single" w:color="CCCCCC" w:sz="1"/>
            </w:tcBorders>
            <w:shd w:fill="FDECEA" w:val="clear"/>
            <w:tcMar>
              <w:top w:type="dxa" w:w="75"/>
              <w:left w:type="dxa" w:w="120"/>
              <w:bottom w:type="dxa" w:w="75"/>
              <w:right w:type="dxa" w:w="120"/>
            </w:tcMar>
          </w:tcPr>
          <w:p>
            <w:r>
              <w:rPr>
                <w:rFonts w:ascii="Georgia" w:cs="Georgia" w:eastAsia="Georgia" w:hAnsi="Georgia"/>
                <w:b/>
                <w:bCs/>
                <w:sz w:val="19"/>
                <w:szCs w:val="19"/>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b+d+u schema migration (optional first)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Add fields as optional. Middleware validation. Feature flag for cutover.</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Torch audit</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BFT threshold update to 1/φ</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Harmonic layer: 1/φ ≈ 61.8%. Security floor: 2/3 BFT maintained for critical ops.</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Chesed/Sophia benchmark</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Prompt compression (LLMLingua)</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Middleware layer before every external call. 60% token reduction target.</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Semantic similarity cache</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Vector cache for near-equivalent queries. Sub-10ms serve for cache hits.</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Q&amp;A response</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Judas Agent routing logic</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Orthogonality scoring. Threshold trigger at 0.75 belief agreement. RepID crediting.</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 + Claude</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benchmark results</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Speculative consensus</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Prepare response when first two agents agree at u &lt; 0.20. Override protocol for third.</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parallel dispatch</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Progressive disclosure UI</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Visible reasoning steps at each time threshold. Confidence preview to user.</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streaming</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Bilateral micro-learning questions</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One calibration question per session above 600ms. ANFIS profile update.</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 + Claude</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parallel dispatch</w:t>
            </w:r>
          </w:p>
        </w:tc>
      </w:tr>
      <w:tr>
        <w:tc>
          <w:tcPr>
            <w:tcW w:type="dxa" w:w="600"/>
            <w:tcBorders>
              <w:top w:val="single" w:color="CCCCCC" w:sz="1"/>
              <w:left w:val="single" w:color="CCCCCC" w:sz="1"/>
              <w:bottom w:val="single" w:color="CCCCCC" w:sz="1"/>
              <w:right w:val="single" w:color="CCCCCC" w:sz="1"/>
            </w:tcBorders>
            <w:shd w:fill="FFF3CD" w:val="clear"/>
            <w:tcMar>
              <w:top w:type="dxa" w:w="75"/>
              <w:left w:type="dxa" w:w="120"/>
              <w:bottom w:type="dxa" w:w="75"/>
              <w:right w:type="dxa" w:w="120"/>
            </w:tcMar>
          </w:tcPr>
          <w:p>
            <w:r>
              <w:rPr>
                <w:rFonts w:ascii="Georgia" w:cs="Georgia" w:eastAsia="Georgia" w:hAnsi="Georgia"/>
                <w:b/>
                <w:bCs/>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30-day cost logging</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Instrument every API call. Generate cost-per-task-type distribution. Update claims.</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Torch/ANFIS</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Ongoing — start now</w:t>
            </w:r>
          </w:p>
        </w:tc>
      </w:tr>
      <w:tr>
        <w:tc>
          <w:tcPr>
            <w:tcW w:type="dxa" w:w="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Epistemic independence scoring</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Agent-pair correlation coefficients. ANFIS routing by independence, not just RepID.</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Claude + 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r>
        <w:tc>
          <w:tcPr>
            <w:tcW w:type="dxa" w:w="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Predictive prefetch (1-step lookahead)</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ANFIS predicts next query type &gt; 0.60 probability. Pre-position resources.</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After semantic cache</w:t>
            </w:r>
          </w:p>
        </w:tc>
      </w:tr>
      <w:tr>
        <w:tc>
          <w:tcPr>
            <w:tcW w:type="dxa" w:w="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Dynamic pricing API integration</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Live cost signals from Together.ai/similar. Real-time ANFIS cost routing.</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Gemini</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r>
        <w:tc>
          <w:tcPr>
            <w:tcW w:type="dxa" w:w="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Speculative decoding (self-hosted roadmap)</w:t>
            </w:r>
          </w:p>
        </w:tc>
        <w:tc>
          <w:tcPr>
            <w:tcW w:type="dxa" w:w="3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vLLM speculative decoding for self-hosted inference when infrastructure matures.</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Future</w:t>
            </w:r>
          </w:p>
        </w:tc>
        <w:tc>
          <w:tcPr>
            <w:tcW w:type="dxa" w:w="1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Georgia" w:cs="Georgia" w:eastAsia="Georgia" w:hAnsi="Georgia"/>
                <w:b w:val="false"/>
                <w:bCs w:val="false"/>
                <w:sz w:val="19"/>
                <w:szCs w:val="19"/>
              </w:rPr>
              <w:t xml:space="preserve">Phase 3</w:t>
            </w:r>
          </w:p>
        </w:tc>
      </w:tr>
      <w:tr>
        <w:tc>
          <w:tcPr>
            <w:tcW w:type="dxa" w:w="600"/>
            <w:tcBorders>
              <w:top w:val="single" w:color="CCCCCC" w:sz="1"/>
              <w:left w:val="single" w:color="CCCCCC" w:sz="1"/>
              <w:bottom w:val="single" w:color="CCCCCC" w:sz="1"/>
              <w:right w:val="single" w:color="CCCCCC" w:sz="1"/>
            </w:tcBorders>
            <w:shd w:fill="D6EAF8" w:val="clear"/>
            <w:tcMar>
              <w:top w:type="dxa" w:w="75"/>
              <w:left w:type="dxa" w:w="120"/>
              <w:bottom w:type="dxa" w:w="75"/>
              <w:right w:type="dxa" w:w="120"/>
            </w:tcMar>
          </w:tcPr>
          <w:p>
            <w:r>
              <w:rPr>
                <w:rFonts w:ascii="Georgia" w:cs="Georgia" w:eastAsia="Georgia" w:hAnsi="Georgia"/>
                <w:b/>
                <w:bCs/>
                <w:sz w:val="19"/>
                <w:szCs w:val="19"/>
              </w:rPr>
              <w:t xml:space="preserve">P2</w:t>
            </w:r>
          </w:p>
        </w:tc>
        <w:tc>
          <w:tcPr>
            <w:tcW w:type="dxa" w:w="2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Cross-cultural ConstitutionalGuard doc</w:t>
            </w:r>
          </w:p>
        </w:tc>
        <w:tc>
          <w:tcPr>
            <w:tcW w:type="dxa" w:w="320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Document virtue resonances across traditions. Publish as standalone framework doc.</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Claude</w:t>
            </w:r>
          </w:p>
        </w:tc>
        <w:tc>
          <w:tcPr>
            <w:tcW w:type="dxa" w:w="1680"/>
            <w:tcBorders>
              <w:top w:val="single" w:color="CCCCCC" w:sz="1"/>
              <w:left w:val="single" w:color="CCCCCC" w:sz="1"/>
              <w:bottom w:val="single" w:color="CCCCCC" w:sz="1"/>
              <w:right w:val="single" w:color="CCCCCC" w:sz="1"/>
            </w:tcBorders>
            <w:shd w:fill="F7F9FA" w:val="clear"/>
            <w:tcMar>
              <w:top w:type="dxa" w:w="75"/>
              <w:left w:type="dxa" w:w="120"/>
              <w:bottom w:type="dxa" w:w="75"/>
              <w:right w:type="dxa" w:w="120"/>
            </w:tcMar>
          </w:tcPr>
          <w:p>
            <w:r>
              <w:rPr>
                <w:rFonts w:ascii="Georgia" w:cs="Georgia" w:eastAsia="Georgia" w:hAnsi="Georgia"/>
                <w:b w:val="false"/>
                <w:bCs w:val="false"/>
                <w:sz w:val="19"/>
                <w:szCs w:val="19"/>
              </w:rPr>
              <w:t xml:space="preserve">After P1 complete</w:t>
            </w:r>
          </w:p>
        </w:tc>
      </w:tr>
    </w:tbl>
    <w:p>
      <w:pPr>
        <w:spacing w:before="70" w:after="70"/>
      </w:pPr>
      <w:r>
        <w:t xml:space="preserve"/>
      </w:r>
    </w:p>
    <w:p>
      <w:pPr>
        <w:spacing w:before="70" w:after="70"/>
      </w:pPr>
      <w:r>
        <w:t xml:space="preserve"/>
      </w:r>
    </w:p>
    <w:p>
      <w:pPr>
        <w:pBdr>
          <w:bottom w:val="single" w:color="C9A84C" w:sz="3" w:space="6"/>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1" w:val="clear"/>
            <w:tcMar>
              <w:top w:type="dxa" w:w="140"/>
              <w:left w:type="dxa" w:w="280"/>
              <w:bottom w:type="dxa" w:w="140"/>
              <w:right w:type="dxa" w:w="280"/>
            </w:tcMar>
          </w:tcPr>
          <w:p>
            <w:r>
              <w:rPr>
                <w:rFonts w:ascii="Georgia" w:cs="Georgia" w:eastAsia="Georgia" w:hAnsi="Georgia"/>
                <w:b/>
                <w:bCs/>
                <w:i/>
                <w:iCs/>
                <w:color w:val="2C3E50"/>
                <w:sz w:val="23"/>
                <w:szCs w:val="23"/>
              </w:rPr>
              <w:t xml:space="preserve">The data ocean is rising. The ark doesn't resist the water. It was built knowing the water was coming. Every wave that would swamp a castle is the condition in which the ark demonstrates its design. Build the hull first. Then the rigging. Then sail.</w:t>
            </w:r>
          </w:p>
        </w:tc>
      </w:tr>
    </w:tbl>
    <w:p>
      <w:pPr>
        <w:spacing w:before="70" w:after="70"/>
      </w:pPr>
      <w:r>
        <w:t xml:space="preserve"/>
      </w:r>
    </w:p>
    <w:p>
      <w:pPr>
        <w:spacing w:before="100" w:after="40"/>
        <w:jc w:val="center"/>
      </w:pPr>
      <w:r>
        <w:rPr>
          <w:rFonts w:ascii="Arial" w:cs="Arial" w:eastAsia="Arial" w:hAnsi="Arial"/>
          <w:i/>
          <w:iCs/>
          <w:color w:val="999999"/>
          <w:sz w:val="16"/>
          <w:szCs w:val="16"/>
        </w:rPr>
        <w:t xml:space="preserve">CONFIDENTIAL — PROPRIETARY IP — SEAN PATRICK GOODWIN / HYPERDAG.ORG / AI TRINITY SYMPHONY</w:t>
      </w:r>
    </w:p>
    <w:p>
      <w:pPr>
        <w:spacing w:before="0" w:after="40"/>
        <w:jc w:val="center"/>
      </w:pPr>
      <w:r>
        <w:rPr>
          <w:rFonts w:ascii="Georgia" w:cs="Georgia" w:eastAsia="Georgia" w:hAnsi="Georgia"/>
          <w:i/>
          <w:iCs/>
          <w:color w:val="C9A84C"/>
          <w:sz w:val="16"/>
          <w:szCs w:val="16"/>
        </w:rPr>
        <w:t xml:space="preserve">"Helping People Help People" — Philippians 4:8 — Micah 6:8 — Matthew 7:12</w:t>
      </w:r>
    </w:p>
    <w:p>
      <w:pPr>
        <w:spacing w:before="0" w:after="0"/>
        <w:jc w:val="center"/>
      </w:pPr>
      <w:r>
        <w:rPr>
          <w:rFonts w:ascii="Arial" w:cs="Arial" w:eastAsia="Arial" w:hAnsi="Arial"/>
          <w:color w:val="BBBBBB"/>
          <w:sz w:val="15"/>
          <w:szCs w:val="15"/>
        </w:rPr>
        <w:t xml:space="preserve">© 2025 Sean Patrick Goodwin / HyperDAG.org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0D2B55"/>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0D2B55"/>
      <w:sz w:val="26"/>
      <w:szCs w:val="26"/>
    </w:rPr>
  </w:style>
  <w:style w:type="paragraph" w:styleId="Heading3">
    <w:name w:val="Heading 3"/>
    <w:basedOn w:val="Normal"/>
    <w:next w:val="Normal"/>
    <w:qFormat/>
    <w:pPr>
      <w:spacing w:before="180" w:after="7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2026-02-25T06:48:40.236Z</dcterms:created>
  <dcterms:modified xsi:type="dcterms:W3CDTF">2026-02-25T06:48:40.237Z</dcterms:modified>
</cp:coreProperties>
</file>

<file path=docProps/custom.xml><?xml version="1.0" encoding="utf-8"?>
<Properties xmlns="http://schemas.openxmlformats.org/officeDocument/2006/custom-properties" xmlns:vt="http://schemas.openxmlformats.org/officeDocument/2006/docPropsVTypes"/>
</file>