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0D2B55"/>
          <w:sz w:val="54"/>
          <w:szCs w:val="54"/>
        </w:rPr>
        <w:t xml:space="preserve">THE ANTIFRAGILE ARK</w:t>
      </w:r>
    </w:p>
    <w:p>
      <w:pPr>
        <w:spacing w:before="0" w:after="80"/>
        <w:jc w:val="center"/>
      </w:pPr>
      <w:r>
        <w:rPr>
          <w:rFonts w:ascii="Georgia" w:cs="Georgia" w:eastAsia="Georgia" w:hAnsi="Georgia"/>
          <w:b/>
          <w:bCs/>
          <w:i/>
          <w:iCs/>
          <w:color w:val="C9A84C"/>
          <w:sz w:val="28"/>
          <w:szCs w:val="28"/>
        </w:rPr>
        <w:t xml:space="preserve">Architecture, Optimization &amp; Implementation Roadmap  —  v2.0</w:t>
      </w:r>
    </w:p>
    <w:p>
      <w:pPr>
        <w:spacing w:before="0" w:after="60"/>
        <w:jc w:val="center"/>
      </w:pPr>
      <w:r>
        <w:rPr>
          <w:rFonts w:ascii="Arial" w:cs="Arial" w:eastAsia="Arial" w:hAnsi="Arial"/>
          <w:b/>
          <w:bCs/>
          <w:color w:val="0A6E6E"/>
          <w:sz w:val="23"/>
          <w:szCs w:val="23"/>
        </w:rPr>
        <w:t xml:space="preserve">AI Trinity Symphony + HyperDAG</w:t>
      </w:r>
    </w:p>
    <w:p>
      <w:pPr>
        <w:pBdr>
          <w:bottom w:val="single" w:color="C9A84C" w:sz="3" w:space="6"/>
        </w:pBdr>
        <w:spacing w:before="180" w:after="180"/>
      </w:pPr>
      <w:r>
        <w:t xml:space="preserve"/>
      </w:r>
    </w:p>
    <w:p>
      <w:pPr>
        <w:spacing w:before="60" w:after="40"/>
        <w:jc w:val="center"/>
      </w:pPr>
      <w:r>
        <w:rPr>
          <w:rFonts w:ascii="Arial" w:cs="Arial" w:eastAsia="Arial" w:hAnsi="Arial"/>
          <w:color w:val="888888"/>
          <w:sz w:val="18"/>
          <w:szCs w:val="18"/>
        </w:rPr>
        <w:t xml:space="preserve">Sean Patrick Goodwin  |  HyperDAG.org  |  CONFIDENTIAL</w:t>
      </w:r>
    </w:p>
    <w:p>
      <w:pPr>
        <w:spacing w:before="0" w:after="80"/>
        <w:jc w:val="center"/>
      </w:pPr>
      <w:r>
        <w:rPr>
          <w:rFonts w:ascii="Arial" w:cs="Arial" w:eastAsia="Arial" w:hAnsi="Arial"/>
          <w:i/>
          <w:iCs/>
          <w:color w:val="AAAAAA"/>
          <w:sz w:val="17"/>
          <w:szCs w:val="17"/>
        </w:rPr>
        <w:t xml:space="preserve">Synthesizing: Claude Architecture Analysis + Grok Peer Review (Feb 2026) + Gemini Implementation Plan</w:t>
      </w:r>
    </w:p>
    <w:p>
      <w:pPr>
        <w:spacing w:before="0" w:after="500"/>
        <w:jc w:val="center"/>
      </w:pPr>
      <w:r>
        <w:rPr>
          <w:rFonts w:ascii="Arial" w:cs="Arial" w:eastAsia="Arial" w:hAnsi="Arial"/>
          <w:i/>
          <w:iCs/>
          <w:color w:val="0A6E6E"/>
          <w:sz w:val="17"/>
          <w:szCs w:val="17"/>
        </w:rPr>
        <w:t xml:space="preserve">Version 2.0 — Updated with Grok's empirical refinements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A castle defends a fixed position. An ark is built to navigate rising waters — carrying what matters through whatever comes. The storm is not the threat. The storm is what it was built for. Data streams bring an ocean. Rising tides raise all ships. We are building the ark.</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 THE METAPHOR AS ARCHITECTURE: WHY AN ARK, NOT A CASTLE</w:t>
      </w:r>
    </w:p>
    <w:p>
      <w:pPr>
        <w:spacing w:before="70" w:after="70"/>
      </w:pPr>
      <w:r>
        <w:rPr>
          <w:rFonts w:ascii="Georgia" w:cs="Georgia" w:eastAsia="Georgia" w:hAnsi="Georgia"/>
          <w:sz w:val="21"/>
          <w:szCs w:val="21"/>
        </w:rPr>
        <w:t xml:space="preserve">A castle is optimized for a known threat landscape. Its moat, walls, and towers assume the enemy comes from outside and the interior remains stable. It is built to resist change. When the landscape changes — when the ocean rises, when the attack vector shifts — the castle becomes a liability. Its strength is its fragility.</w:t>
      </w:r>
    </w:p>
    <w:p>
      <w:pPr>
        <w:spacing w:before="70" w:after="70"/>
      </w:pPr>
      <w:r>
        <w:rPr>
          <w:rFonts w:ascii="Georgia" w:cs="Georgia" w:eastAsia="Georgia" w:hAnsi="Georgia"/>
          <w:sz w:val="21"/>
          <w:szCs w:val="21"/>
        </w:rPr>
        <w:t xml:space="preserve">An ark is designed around a different assumption: the environment will become hostile in ways we cannot fully predict, and the system must remain functional, directional, and load-bearing throughout. Nassim Taleb's antifragility principle makes this precise: fragile systems break under stress, robust systems resist stress, antifragile systems gain from stress.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Hull Principle</w:t>
            </w:r>
          </w:p>
        </w:tc>
        <w:tc>
          <w:tcPr>
            <w:tcW w:type="dxa" w:w="3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Means</w:t>
            </w:r>
          </w:p>
        </w:tc>
        <w:tc>
          <w:tcPr>
            <w:tcW w:type="dxa" w:w="39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Architectural Expression</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Watertight Seals</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Critical subsystems isolate failure — one leak doesn't sink the ship</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Modular agents with independent failure domains. Tier escalation prevents cascade. b+d+u tracked per agent.</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Load Distribution</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Stress is spread, not concentrated</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routing distributes load. No single agent, model, or provider is a SPOF.</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Buoyancy Reserve</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The system stays afloat with significant damage</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Tier 1/2/3 graceful degradation. Functions with 1/3 agents offline. Cache covers core queries.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Adaptive Draft</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Hull depth adjusts to water conditions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Dynamic agent count per task. Configuration responds to stakes, complexity, latency budget, and resources.</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Navigation, Not Resistance</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The system moves through uncertainty, not against it</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u in b+d+u is tracked and used to steer. The Pythagorean Comma is a compass bearing, not an obstacle.</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II. LATENCY: THE FULL ATTACK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150"/>
              <w:left w:type="dxa" w:w="240"/>
              <w:bottom w:type="dxa" w:w="150"/>
              <w:right w:type="dxa" w:w="240"/>
            </w:tcMar>
          </w:tcPr>
          <w:p>
            <w:pPr>
              <w:jc w:val="center"/>
            </w:pPr>
            <w:r>
              <w:rPr>
                <w:rFonts w:ascii="Arial" w:cs="Arial" w:eastAsia="Arial" w:hAnsi="Arial"/>
                <w:b/>
                <w:bCs/>
                <w:color w:val="FFFFFF"/>
                <w:sz w:val="19"/>
                <w:szCs w:val="19"/>
              </w:rPr>
              <w:t xml:space="preserve">LATENCY IS NOT THE ENEMY — INVISIBLE LATENCY IS. VISIBLE, MEANINGFUL ACTIVITY DURING WAIT TIME IS AN ASSET.</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2.1  The Five Latency Sources — Mapped and Attacked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160"/>
        <w:gridCol w:w="1000"/>
        <w:gridCol w:w="1060"/>
        <w:gridCol w:w="144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Layer</w:t>
            </w:r>
          </w:p>
        </w:tc>
        <w:tc>
          <w:tcPr>
            <w:tcW w:type="dxa" w:w="27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Does</w:t>
            </w:r>
          </w:p>
        </w:tc>
        <w:tc>
          <w:tcPr>
            <w:tcW w:type="dxa" w:w="11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Latency ↓</w:t>
            </w:r>
          </w:p>
        </w:tc>
        <w:tc>
          <w:tcPr>
            <w:tcW w:type="dxa" w:w="1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Cost ↓</w:t>
            </w:r>
          </w:p>
        </w:tc>
        <w:tc>
          <w:tcPr>
            <w:tcW w:type="dxa" w:w="10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Complexity</w:t>
            </w:r>
          </w:p>
        </w:tc>
        <w:tc>
          <w:tcPr>
            <w:tcW w:type="dxa" w:w="144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Priority</w:t>
            </w:r>
          </w:p>
        </w:tc>
      </w:tr>
      <w:tr>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Token Generation</w:t>
            </w:r>
          </w:p>
        </w:tc>
        <w:tc>
          <w:tcPr>
            <w:tcW w:type="dxa" w:w="27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LLM output time — bounded by model size and inference hardware</w:t>
            </w:r>
          </w:p>
        </w:tc>
        <w:tc>
          <w:tcPr>
            <w:tcW w:type="dxa" w:w="1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w:t>
            </w:r>
          </w:p>
        </w:tc>
        <w:tc>
          <w:tcPr>
            <w:tcW w:type="dxa" w:w="10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External — route &amp; compress</w:t>
            </w:r>
          </w:p>
        </w:tc>
        <w:tc>
          <w:tcPr>
            <w:tcW w:type="dxa" w:w="144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Network Round-Trip</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DNS, TLS, TCP per API call — 200–400ms before first token</w:t>
            </w:r>
          </w:p>
        </w:tc>
        <w:tc>
          <w:tcPr>
            <w:tcW w:type="dxa" w:w="1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 aggregate</w:t>
            </w:r>
          </w:p>
        </w:tc>
        <w:tc>
          <w:tcPr>
            <w:tcW w:type="dxa" w:w="1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Connection pooling + geo co-location</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Orchestration</w:t>
            </w:r>
          </w:p>
        </w:tc>
        <w:tc>
          <w:tcPr>
            <w:tcW w:type="dxa" w:w="27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Routing, coordination, aggregation — entirely within our control</w:t>
            </w:r>
          </w:p>
        </w:tc>
        <w:tc>
          <w:tcPr>
            <w:tcW w:type="dxa" w:w="1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 (recoverable)</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Low</w:t>
            </w:r>
          </w:p>
        </w:tc>
        <w:tc>
          <w:tcPr>
            <w:tcW w:type="dxa" w:w="10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Parallelization, speculative consensus</w:t>
            </w:r>
          </w:p>
        </w:tc>
        <w:tc>
          <w:tcPr>
            <w:tcW w:type="dxa" w:w="144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RAG Retrieval</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Vector DB lookup, embedding, similarity search</w:t>
            </w:r>
          </w:p>
        </w:tc>
        <w:tc>
          <w:tcPr>
            <w:tcW w:type="dxa" w:w="1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Low–Med</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Parallel dispatch with LLM call</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P1</w:t>
            </w:r>
          </w:p>
        </w:tc>
      </w:tr>
      <w:tr>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Consensus / BFT</w:t>
            </w:r>
          </w:p>
        </w:tc>
        <w:tc>
          <w:tcPr>
            <w:tcW w:type="dxa" w:w="27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Waiting for N agents — multiplies with agent count</w:t>
            </w:r>
          </w:p>
        </w:tc>
        <w:tc>
          <w:tcPr>
            <w:tcW w:type="dxa" w:w="1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naive</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w:t>
            </w:r>
          </w:p>
        </w:tc>
        <w:tc>
          <w:tcPr>
            <w:tcW w:type="dxa" w:w="10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Speculative consensus, streaming</w:t>
            </w:r>
          </w:p>
        </w:tc>
        <w:tc>
          <w:tcPr>
            <w:tcW w:type="dxa" w:w="144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2.2  Token Generation: Send Less, Stream Everything</w:t>
      </w:r>
    </w:p>
    <w:p>
      <w:pPr>
        <w:pStyle w:val="Heading3"/>
        <w:spacing w:before="180" w:after="70"/>
      </w:pPr>
      <w:r>
        <w:rPr>
          <w:rFonts w:ascii="Arial" w:cs="Arial" w:eastAsia="Arial" w:hAnsi="Arial"/>
          <w:b/>
          <w:bCs/>
          <w:color w:val="2C3E50"/>
          <w:sz w:val="22"/>
          <w:szCs w:val="22"/>
        </w:rPr>
        <w:t xml:space="preserve">Prompt Compression (LLMLingua)</w:t>
      </w:r>
    </w:p>
    <w:p>
      <w:pPr>
        <w:spacing w:before="70" w:after="70"/>
      </w:pPr>
      <w:r>
        <w:rPr>
          <w:rFonts w:ascii="Georgia" w:cs="Georgia" w:eastAsia="Georgia" w:hAnsi="Georgia"/>
          <w:sz w:val="21"/>
          <w:szCs w:val="21"/>
        </w:rPr>
        <w:t xml:space="preserve">Microsoft's LLMLingua compresses prompts 2–5× with less than 3% quality degradation on most task types. For a system making dozens of agent calls per session, compressing each prompt from 2,000 to 600 tokens compounds into dramatic latency and cost reduction simultaneously.</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Implementation: Compression layer runs before every external API call, after task classification</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ANFIS routing signal: prompt complexity score determines compression aggressiveness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Bypass for prompts &lt; 300 tokens where compression overhead exceeds benefit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Target: 60% average token reduction across all task types</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Output Length Control + Conditional Chain-of-Thought</w:t>
      </w:r>
    </w:p>
    <w:p>
      <w:pPr>
        <w:spacing w:before="70" w:after="70"/>
      </w:pPr>
      <w:r>
        <w:rPr>
          <w:rFonts w:ascii="Georgia" w:cs="Georgia" w:eastAsia="Georgia" w:hAnsi="Georgia"/>
          <w:sz w:val="21"/>
          <w:szCs w:val="21"/>
        </w:rPr>
        <w:t xml:space="preserve">ANFIS classifies expected output length per task type and includes explicit length instructions. Chain-of-thought prompting activated only for complex reasoning tasks — suppressed for binary classification where it adds overhead without improving accuracy.</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Task types: decision (&lt; 50 tokens), summary (100–300), analysis (300–800), comprehensive (800+)</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CoT gate: complex reasoning, multi-step problems → CoT on. Binary classification, routing decisions → CoT off.</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Streaming Output — Mandatory for User-Visible Responses</w:t>
      </w:r>
    </w:p>
    <w:p>
      <w:pPr>
        <w:spacing w:before="70" w:after="70"/>
      </w:pPr>
      <w:r>
        <w:rPr>
          <w:rFonts w:ascii="Georgia" w:cs="Georgia" w:eastAsia="Georgia" w:hAnsi="Georgia"/>
          <w:sz w:val="21"/>
          <w:szCs w:val="21"/>
        </w:rPr>
        <w:t xml:space="preserve">Streaming changes perceived latency 40–60% per psychological research on response timing. First token at 300ms vs. complete response at 8s is the difference between engagement and abandonment. Every user-visible output streams. Non-streaming reserved for internal agent-to-agent comms only.</w:t>
      </w:r>
    </w:p>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2.3  Network: The Hidden Overhead</w:t>
      </w:r>
    </w:p>
    <w:p>
      <w:pPr>
        <w:pStyle w:val="Heading3"/>
        <w:spacing w:before="180" w:after="70"/>
      </w:pPr>
      <w:r>
        <w:rPr>
          <w:rFonts w:ascii="Arial" w:cs="Arial" w:eastAsia="Arial" w:hAnsi="Arial"/>
          <w:b/>
          <w:bCs/>
          <w:color w:val="2C3E50"/>
          <w:sz w:val="22"/>
          <w:szCs w:val="22"/>
        </w:rPr>
        <w:t xml:space="preserve">Connection Pooling + Keep-Alive (Implement Immediately)</w:t>
      </w:r>
    </w:p>
    <w:p>
      <w:pPr>
        <w:spacing w:before="70" w:after="70"/>
      </w:pPr>
      <w:r>
        <w:rPr>
          <w:rFonts w:ascii="Georgia" w:cs="Georgia" w:eastAsia="Georgia" w:hAnsi="Georgia"/>
          <w:sz w:val="21"/>
          <w:szCs w:val="21"/>
        </w:rPr>
        <w:t xml:space="preserve">Each new HTTP connection costs 100–300ms in handshake overhead. Properly configured persistent connection pools to primary providers eliminate this entirely. For Railway-hosted agents making frequent calls, this alone recovers 200ms per call — zero code changes to agent logic.</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Geographic Co-location Audit</w:t>
      </w:r>
    </w:p>
    <w:p>
      <w:pPr>
        <w:spacing w:before="70" w:after="70"/>
      </w:pPr>
      <w:r>
        <w:rPr>
          <w:rFonts w:ascii="Georgia" w:cs="Georgia" w:eastAsia="Georgia" w:hAnsi="Georgia"/>
          <w:sz w:val="21"/>
          <w:szCs w:val="21"/>
        </w:rPr>
        <w:t xml:space="preserve">Railway agents in US East + Supabase in US West = 70–80ms of pure network latency on every database call. This is recoverable with zero code changes — configuration only. Map all service locations. Align primary compute and primary data store to same region.</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Semantic Similarity Cache</w:t>
      </w:r>
    </w:p>
    <w:p>
      <w:pPr>
        <w:spacing w:before="70" w:after="70"/>
      </w:pPr>
      <w:r>
        <w:rPr>
          <w:rFonts w:ascii="Georgia" w:cs="Georgia" w:eastAsia="Georgia" w:hAnsi="Georgia"/>
          <w:sz w:val="21"/>
          <w:szCs w:val="21"/>
        </w:rPr>
        <w:t xml:space="preserve">Embed incoming queries and check against a cache of prior queries above a cosine similarity threshold (0.92). Near-equivalent queries serve a personalized cached response at sub-10ms. In high-traffic systems this handles 20–40% of queries.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Not for: time-sensitive queries, identity operations, high-stakes decisions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Yes for: FAQ-type queries, onboarding flows, common task patterns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Personalization layer: cached responses lightly personalized by user profile before serving</w:t>
      </w:r>
    </w:p>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2.4  Orchestration: The Entirely Recoverable Latency</w:t>
      </w:r>
    </w:p>
    <w:p>
      <w:pPr>
        <w:pStyle w:val="Heading3"/>
        <w:spacing w:before="180" w:after="70"/>
      </w:pPr>
      <w:r>
        <w:rPr>
          <w:rFonts w:ascii="Arial" w:cs="Arial" w:eastAsia="Arial" w:hAnsi="Arial"/>
          <w:b/>
          <w:bCs/>
          <w:color w:val="2C3E50"/>
          <w:sz w:val="22"/>
          <w:szCs w:val="22"/>
        </w:rPr>
        <w:t xml:space="preserve">Full Parallel Agent Dispatch</w:t>
      </w:r>
    </w:p>
    <w:p>
      <w:pPr>
        <w:spacing w:before="70" w:after="70"/>
      </w:pPr>
      <w:r>
        <w:rPr>
          <w:rFonts w:ascii="Georgia" w:cs="Georgia" w:eastAsia="Georgia" w:hAnsi="Georgia"/>
          <w:sz w:val="21"/>
          <w:szCs w:val="21"/>
        </w:rPr>
        <w:t xml:space="preserve">In naive implementations, agents run sequentially. In a properly parallelized Trinity formation, all three agents with no strict data dependencies dispatch simultaneously. This converts 3× sequential latency into 1× parallel latency plus small aggregation overhead. Implementation cost: low. Impact: 60–70% reduction in Trinity formation latency.</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Speculative Consensus</w:t>
      </w:r>
    </w:p>
    <w:p>
      <w:pPr>
        <w:spacing w:before="70" w:after="70"/>
      </w:pPr>
      <w:r>
        <w:rPr>
          <w:rFonts w:ascii="Georgia" w:cs="Georgia" w:eastAsia="Georgia" w:hAnsi="Georgia"/>
          <w:sz w:val="21"/>
          <w:szCs w:val="21"/>
        </w:rPr>
        <w:t xml:space="preserve">Begin aggregating the moment two of three agents return. If the first two agree with combined confidence yielding u &lt; 0.20, begin preparing the response while the third agent finishes. In the majority of cases the third confirms; response is ready faster. In the minority where the third overrides, absorb a small revision cost.</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Predictive Prefetch (1-Step Lookahead)</w:t>
      </w:r>
    </w:p>
    <w:p>
      <w:pPr>
        <w:spacing w:before="70" w:after="70"/>
      </w:pPr>
      <w:r>
        <w:rPr>
          <w:rFonts w:ascii="Georgia" w:cs="Georgia" w:eastAsia="Georgia" w:hAnsi="Georgia"/>
          <w:sz w:val="21"/>
          <w:szCs w:val="21"/>
        </w:rPr>
        <w:t xml:space="preserve">ANFIS routing classifies task types. Extension: predict likely follow-on task types and pre-position resources while current query is being answered. Not generating the answer — pre-loading vectors, pre-warming connections, pre-compressing the likely prompt. Confidence gate: only prefetch when sequence probability &gt; 0.60.</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Incremental Context — Not Full History Replay</w:t>
      </w:r>
    </w:p>
    <w:p>
      <w:pPr>
        <w:spacing w:before="70" w:after="70"/>
      </w:pPr>
      <w:r>
        <w:rPr>
          <w:rFonts w:ascii="Georgia" w:cs="Georgia" w:eastAsia="Georgia" w:hAnsi="Georgia"/>
          <w:sz w:val="21"/>
          <w:szCs w:val="21"/>
        </w:rPr>
        <w:t xml:space="preserve">Maintain a compressed semantic summary that grows logarithmically with conversation length. Every call sends: compressed history summary + last 3 turns verbatim + current query. Context window stays bounded regardless of conversation length. System prompts and ConstitutionalGuard always included uncompressed — these are the keel.</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III. LATENCY AS OPPORTUNITY: THE BILATERAL LEARNING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Optics matter. A user who is engaged and amused is far more forgiving than one who is watching a spinner. And if the engagement produces better, more customized answers — the wait time has become a feature, not a bug.</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3.1  Progressive Disclosure — Make the Work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Time Window</w:t>
            </w:r>
          </w:p>
        </w:tc>
        <w:tc>
          <w:tcPr>
            <w:tcW w:type="dxa" w:w="4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System Activity</w:t>
            </w:r>
          </w:p>
        </w:tc>
        <w:tc>
          <w:tcPr>
            <w:tcW w:type="dxa" w:w="39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User Sees</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0–400ms</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Query classified, providers selected, agents dispatched</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Silent — below perceptual threshold</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400–800ms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First agent returning partial output</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'Analyzing from [domain] perspective...' — stream partial output</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800ms–1.5s</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Second agent returning, speculative consensus forming</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'Cross-checking with second perspective...' — confidence preview</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1.5s–3s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Third agent, Judas function if triggered</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'Examining potential counterarguments...' — Judas function visible</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3s+ (Tier 3)</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Full BFT consensus, high-stakes deliberation</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Full reasoning chain — bilateral micro-learning question inserted</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3.2  Bilateral Micro-Learning — The Latency That Pays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Learning Signal</w:t>
            </w:r>
          </w:p>
        </w:tc>
        <w:tc>
          <w:tcPr>
            <w:tcW w:type="dxa" w:w="4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Sample Question</w:t>
            </w:r>
          </w:p>
        </w:tc>
        <w:tc>
          <w:tcPr>
            <w:tcW w:type="dxa" w:w="31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ANFIS Update</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Response depth</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'While I'm pulling that together — technical detail or executive summary on this type of question?'</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ANFIS output length classifier for this user</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Domain expertise</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'Quick question — how familiar are you with [domain]? Helps me calibrate.'</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Prompt complexity and vocabulary level</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Format preference</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'Structured breakdown or flowing explanation more useful here?'</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Output format template selection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Confidence threshold</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'Should I always flag when I'm not fully certain on this type of decision?'</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HITL trigger threshold per user</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Follow-on intent</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'Are you exploring generally, or working toward a specific decision?'</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Predictive prefetch routing for next query</w:t>
            </w:r>
          </w:p>
        </w:tc>
      </w:tr>
    </w:tbl>
    <w:p>
      <w:pPr>
        <w:spacing w:before="70" w:after="70"/>
      </w:pPr>
      <w:r>
        <w:t xml:space="preserve"/>
      </w:r>
    </w:p>
    <w:p>
      <w:pPr>
        <w:spacing w:before="70" w:after="70"/>
      </w:pPr>
      <w:r>
        <w:rPr>
          <w:rFonts w:ascii="Georgia" w:cs="Georgia" w:eastAsia="Georgia" w:hAnsi="Georgia"/>
          <w:sz w:val="21"/>
          <w:szCs w:val="21"/>
        </w:rPr>
        <w:t xml:space="preserve">One question per session maximum unless the user explicitly engages. Never ask two calibration questions in the same window. The system learns continuously from every interaction, but the user never feels like they are filling out a form.</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IV. AGENT TIER ARCHITECTURE: DYNAMIC, NOT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1560"/>
        <w:gridCol w:w="1000"/>
      </w:tblGrid>
      <w:tr>
        <w:trPr>
          <w:tblHeader/>
        </w:trPr>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Formation</w:t>
            </w:r>
          </w:p>
        </w:tc>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Use Case</w:t>
            </w:r>
          </w:p>
        </w:tc>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Consensus Rule</w:t>
            </w:r>
          </w:p>
        </w:tc>
        <w:tc>
          <w:tcPr>
            <w:tcW w:type="dxa" w:w="1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Judas Trigger</w:t>
            </w:r>
          </w:p>
        </w:tc>
        <w:tc>
          <w:tcPr>
            <w:tcW w:type="dxa" w:w="1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Target</w:t>
            </w:r>
          </w:p>
        </w:tc>
      </w:tr>
      <w:tr>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Tier 1 — Efficiency</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2 agents, high RepID, low correlation</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Routine, bounded, reversible tasks</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Weighted avg b+d+u. Escalate if diverge &gt; 0.40</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None</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&lt; 800ms</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Tier 2 — Trinity (default)</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3 agents, max orthogonality (FIM-scored)</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Complex reasoning — ~70% of tasks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1/φ ≈ 61.8% RepID-weighted confidence</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Fires on most FIM-orthogonal agent when first two agree &gt; 0.75b</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800ms–2s</w:t>
            </w:r>
          </w:p>
        </w:tc>
      </w:tr>
      <w:tr>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Tier 3 — High Stakes</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5 agents, full BFT (f=1)</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Health, finance, legal, identity, DAO</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2/3 BFT hard floor + 1/φ harmonic layer</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Explicitly assigned. Required before consensus closes</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3–6s</w:t>
            </w:r>
          </w:p>
        </w:tc>
      </w:tr>
      <w:tr>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Major7 (transient)</w:t>
            </w:r>
          </w:p>
        </w:tc>
        <w:tc>
          <w:tcPr>
            <w:tcW w:type="dxa" w:w="2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3 + 1 Judas = 4 during deliberation</w:t>
            </w:r>
          </w:p>
        </w:tc>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Active inside Tier 2 when Judas fires, resolves back to 3 for output</w:t>
            </w:r>
          </w:p>
        </w:tc>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Judas output required before BFT closes</w:t>
            </w:r>
          </w:p>
        </w:tc>
        <w:tc>
          <w:tcPr>
            <w:tcW w:type="dxa" w:w="15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Positional, dynamic, max FIM distance from consensus</w:t>
            </w:r>
          </w:p>
        </w:tc>
        <w:tc>
          <w:tcPr>
            <w:tcW w:type="dxa" w:w="1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Adds ~400ms</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4.1  The Judas Agent: Positional, Threshold-Triggered, FIM-Selected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75"/>
              <w:left w:type="dxa" w:w="120"/>
              <w:bottom w:type="dxa" w:w="75"/>
              <w:right w:type="dxa" w:w="120"/>
            </w:tcMar>
          </w:tcPr>
          <w:p>
            <w:r>
              <w:rPr>
                <w:rFonts w:ascii="Arial" w:cs="Arial" w:eastAsia="Arial" w:hAnsi="Arial"/>
                <w:b/>
                <w:bCs/>
                <w:color w:val="FFFFFF"/>
                <w:sz w:val="19"/>
                <w:szCs w:val="19"/>
              </w:rPr>
              <w:t xml:space="preserve">✗  WRONG: Fixed Judas Agent</w:t>
            </w:r>
          </w:p>
        </w:tc>
        <w:tc>
          <w:tcPr>
            <w:tcW w:type="dxa" w:w="468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  RIGHT: Positional Judas Role</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Same agent always challenges</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Most FIM-orthogonal agent to current consensus direction selected per round</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Permanent contrarian identity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Role activates when two agents agree &gt; 0.75 belief — releases after round</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Accumulates negative RepID</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Contrarian accuracy scored separately — correct challenges earn RepID credit</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Agents learn to route around it</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FIM selection is semantic and dynamic — unpredictable, therefore uncircumventable</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Destroys the agent in the role</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System honors the function — role releases, agent returns to normal scoring</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Adds latency unconditionally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Only activates when consensus confidence crosses threshold</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4.2  Epistemic Independence — FIM Offline + EBS Runtime</w:t>
      </w:r>
    </w:p>
    <w:p>
      <w:pPr>
        <w:spacing w:before="70" w:after="70"/>
      </w:pPr>
      <w:r>
        <w:rPr>
          <w:rFonts w:ascii="Georgia" w:cs="Georgia" w:eastAsia="Georgia" w:hAnsi="Georgia"/>
          <w:sz w:val="21"/>
          <w:szCs w:val="21"/>
        </w:rPr>
        <w:t xml:space="preserve">The Fisher Information Metric (FIM) is theoretically optimal for measuring epistemic independence — it measures the distinguishability between agents' belief distributions via the curvature of the log-likelihood surface. However, computing FIM at runtime requires full output distributions, which most LLM APIs do not return.</w:t>
      </w:r>
    </w:p>
    <w:p>
      <w:pPr>
        <w:spacing w:before="70" w:after="70"/>
      </w:pPr>
      <w:r>
        <w:rPr>
          <w:rFonts w:ascii="Georgia" w:cs="Georgia" w:eastAsia="Georgia" w:hAnsi="Georgia"/>
          <w:sz w:val="21"/>
          <w:szCs w:val="21"/>
        </w:rPr>
        <w:t xml:space="preserve">The hybrid approach: use FIM for offline periodic calibration, maintain a correlation coefficient table updated asynchronously, and use Explanation-Based Similarity (EBS) negated as an independence score for real-time Judas routing. EBS on the full b/d/u triple is more semantically precise than cosine distance on text embeddings alone.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Metric</w:t>
            </w:r>
          </w:p>
        </w:tc>
        <w:tc>
          <w:tcPr>
            <w:tcW w:type="dxa" w:w="2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When Used</w:t>
            </w:r>
          </w:p>
        </w:tc>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Advantage</w:t>
            </w:r>
          </w:p>
        </w:tc>
        <w:tc>
          <w:tcPr>
            <w:tcW w:type="dxa" w:w="2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Limitation</w:t>
            </w:r>
          </w:p>
        </w:tc>
      </w:tr>
      <w:tr>
        <w:tc>
          <w:tcPr>
            <w:tcW w:type="dxa" w:w="18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Fisher Information Metric (FIM)</w:t>
            </w:r>
          </w:p>
        </w:tc>
        <w:tc>
          <w:tcPr>
            <w:tcW w:type="dxa" w:w="2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Offline periodic calibration (weekly or per major model update)</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Theoretically optimal — measures belief distribution distinguishability</w:t>
            </w:r>
          </w:p>
        </w:tc>
        <w:tc>
          <w:tcPr>
            <w:tcW w:type="dxa" w:w="2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Requires full output distribution — not available from most APIs at runtime</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Explanation-Based Similarity (EBS) negated</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Real-time Judas routing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Computable from b/d/u triples at runtime. Handles fragmented knowledge via rule-based embeddings.</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Less theoretically grounded than FIM but practically superior for our API constraints</w:t>
            </w:r>
          </w:p>
        </w:tc>
      </w:tr>
      <w:tr>
        <w:tc>
          <w:tcPr>
            <w:tcW w:type="dxa" w:w="18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Correlation coefficient table</w:t>
            </w:r>
          </w:p>
        </w:tc>
        <w:tc>
          <w:tcPr>
            <w:tcW w:type="dxa" w:w="2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ANFIS routing decision — updated asynchronously from FIM and EBS scores</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Bridges offline calibration and runtime use. O(1) lookup per agent pair.</w:t>
            </w:r>
          </w:p>
        </w:tc>
        <w:tc>
          <w:tcPr>
            <w:tcW w:type="dxa" w:w="2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Requires minimum 50 shared task samples before coefficient is stable</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 VALIDATION: PROVING WHAT WE CLAIM — GROK-REFINED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150"/>
              <w:left w:type="dxa" w:w="240"/>
              <w:bottom w:type="dxa" w:w="150"/>
              <w:right w:type="dxa" w:w="240"/>
            </w:tcMar>
          </w:tcPr>
          <w:p>
            <w:pPr>
              <w:jc w:val="center"/>
            </w:pPr>
            <w:r>
              <w:rPr>
                <w:rFonts w:ascii="Arial" w:cs="Arial" w:eastAsia="Arial" w:hAnsi="Arial"/>
                <w:b/>
                <w:bCs/>
                <w:color w:val="FFFFFF"/>
                <w:sz w:val="18"/>
                <w:szCs w:val="18"/>
              </w:rPr>
              <w:t xml:space="preserve">'MATHEMATICALLY IMPOSSIBLE TO HIDE' — NOT 'MATHEMATICALLY IMPOSSIBLE'. THIS DISTINCTION MUST APPEAR IN EVERY DOCUMENT THAT MAKES THE CLAIM.</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5.1  Calibration Validation — Three-Metric Stack (Grok's Refinement)</w:t>
      </w:r>
    </w:p>
    <w:p>
      <w:pPr>
        <w:spacing w:before="70" w:after="70"/>
      </w:pPr>
      <w:r>
        <w:rPr>
          <w:rFonts w:ascii="Georgia" w:cs="Georgia" w:eastAsia="Georgia" w:hAnsi="Georgia"/>
          <w:sz w:val="21"/>
          <w:szCs w:val="21"/>
        </w:rPr>
        <w:t xml:space="preserve">Standard ECE was designed for binary confidence and is insufficient for the trinary b+d+u structure. Grok's review provides a three-metric stack that covers individual agent calibration, provider-specific bias, and swarm-level aggregate uncertainty.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Measures</w:t>
            </w:r>
          </w:p>
        </w:tc>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Application</w:t>
            </w:r>
          </w:p>
        </w:tc>
        <w:tc>
          <w:tcPr>
            <w:tcW w:type="dxa" w:w="29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Acceptance Threshold</w:t>
            </w:r>
          </w:p>
        </w:tc>
      </w:tr>
      <w:tr>
        <w:tc>
          <w:tcPr>
            <w:tcW w:type="dxa" w:w="20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bCs/>
                <w:sz w:val="19"/>
                <w:szCs w:val="19"/>
              </w:rPr>
              <w:t xml:space="preserve">Weighted Subjective Calibration Error (WSCE)</w:t>
            </w:r>
          </w:p>
        </w:tc>
        <w:tc>
          <w:tcPr>
            <w:tcW w:type="dxa" w:w="22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Misalignment between reported u and empirical error rates. Weights bins by uncertainty level — penalizes miscalibration in high-stakes low-u zones.</w:t>
            </w:r>
          </w:p>
        </w:tc>
        <w:tc>
          <w:tcPr>
            <w:tcW w:type="dxa" w:w="22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Primary calibration metric for all agent outputs. Ties directly to HITL trigger validation.</w:t>
            </w:r>
          </w:p>
        </w:tc>
        <w:tc>
          <w:tcPr>
            <w:tcW w:type="dxa" w:w="296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WSCE &lt; 0.05 required before citing 'impossible to hide' claim publicly</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Miscalibration Score (MCS)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Signed error (+over-confidence, -under-confidence) per agent and per provider.</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Identifies provider-specific bias patterns (e.g., Claude systematically over-confident on medical queries vs. Gemini).</w:t>
            </w:r>
          </w:p>
        </w:tc>
        <w:tc>
          <w:tcPr>
            <w:tcW w:type="dxa" w:w="2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Per-provider MCS logged and surfaced in ANFIS routing signal as bias weight</w:t>
            </w:r>
          </w:p>
        </w:tc>
      </w:tr>
      <w:tr>
        <w:tc>
          <w:tcPr>
            <w:tcW w:type="dxa" w:w="20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bCs/>
                <w:sz w:val="19"/>
                <w:szCs w:val="19"/>
              </w:rPr>
              <w:t xml:space="preserve">Entropic Calibration Difference (ECD)</w:t>
            </w:r>
          </w:p>
        </w:tc>
        <w:tc>
          <w:tcPr>
            <w:tcW w:type="dxa" w:w="22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KL-divergence between predicted and true posterior distributions.</w:t>
            </w:r>
          </w:p>
        </w:tc>
        <w:tc>
          <w:tcPr>
            <w:tcW w:type="dxa" w:w="220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Validates aggregate swarm u values — ensures the combined b+d+u from Trinity formations is correctly calibrated, not just individual agents.</w:t>
            </w:r>
          </w:p>
        </w:tc>
        <w:tc>
          <w:tcPr>
            <w:tcW w:type="dxa" w:w="2960"/>
            <w:tcBorders>
              <w:top w:val="single" w:color="CCCCCC" w:sz="1"/>
              <w:left w:val="single" w:color="CCCCCC" w:sz="1"/>
              <w:bottom w:val="single" w:color="CCCCCC" w:sz="1"/>
              <w:right w:val="single" w:color="CCCCCC" w:sz="1"/>
            </w:tcBorders>
            <w:shd w:fill="D5F5E3" w:val="clear"/>
            <w:tcMar>
              <w:top w:type="dxa" w:w="75"/>
              <w:left w:type="dxa" w:w="120"/>
              <w:bottom w:type="dxa" w:w="75"/>
              <w:right w:type="dxa" w:w="120"/>
            </w:tcMar>
          </w:tcPr>
          <w:p>
            <w:r>
              <w:rPr>
                <w:rFonts w:ascii="Georgia" w:cs="Georgia" w:eastAsia="Georgia" w:hAnsi="Georgia"/>
                <w:b w:val="false"/>
                <w:bCs w:val="false"/>
                <w:sz w:val="19"/>
                <w:szCs w:val="19"/>
              </w:rPr>
              <w:t xml:space="preserve">ECD &lt; 0.03 for swarm-level aggregate claims</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5.2  Collusion Detection — ITCM Replaces Bell Inequality as Primary (Grok's Refinement)</w:t>
      </w:r>
    </w:p>
    <w:p>
      <w:pPr>
        <w:spacing w:before="70" w:after="70"/>
      </w:pPr>
      <w:r>
        <w:rPr>
          <w:rFonts w:ascii="Georgia" w:cs="Georgia" w:eastAsia="Georgia" w:hAnsi="Georgia"/>
          <w:sz w:val="21"/>
          <w:szCs w:val="21"/>
        </w:rPr>
        <w:t xml:space="preserve">Grok's assessment: Bell Inequality Violation is viable but not optimal. It misses subtle multi-agent risks like evidential reasoning collusion and scales poorly to 12+ agents due to combinatorial explosion. The Information-Theoretic Collusion Measure (ITCM) is 20–30% more sensitive in LLM benchmarks and is classically computable.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Mechanism</w:t>
            </w:r>
          </w:p>
        </w:tc>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Primary Use</w:t>
            </w:r>
          </w:p>
        </w:tc>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How It Works</w:t>
            </w:r>
          </w:p>
        </w:tc>
        <w:tc>
          <w:tcPr>
            <w:tcW w:type="dxa" w:w="27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Status</w:t>
            </w:r>
          </w:p>
        </w:tc>
      </w:tr>
      <w:tr>
        <w:tc>
          <w:tcPr>
            <w:tcW w:type="dxa" w:w="2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ITCM (primary)</w:t>
            </w:r>
          </w:p>
        </w:tc>
        <w:tc>
          <w:tcPr>
            <w:tcW w:type="dxa" w:w="2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All agent agreement pattern monitoring</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KL(P(joint) || P(indep)) — divergence above threshold flags collusion. Detects shared-bias collusion even without active coordination.</w:t>
            </w:r>
          </w:p>
        </w:tc>
        <w:tc>
          <w:tcPr>
            <w:tcW w:type="dxa" w:w="27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 Adopt — classical, well-validated, aligns with Semantic RAG</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Bell Inequality Violation (secondary)</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Initial pairwise scans, small swarm cross-check</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Detects non-classical correlation patterns in pairwise output agreements. Useful as a first-pass filter.</w:t>
            </w:r>
          </w:p>
        </w:tc>
        <w:tc>
          <w:tcPr>
            <w:tcW w:type="dxa" w:w="2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 Retain as secondary — not primary</w:t>
            </w:r>
          </w:p>
        </w:tc>
      </w:tr>
      <w:tr>
        <w:tc>
          <w:tcPr>
            <w:tcW w:type="dxa" w:w="2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Agent Impact Chain (ACI)</w:t>
            </w:r>
          </w:p>
        </w:tc>
        <w:tc>
          <w:tcPr>
            <w:tcW w:type="dxa" w:w="2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Cascade error detection — distinct from collusion</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Tracks how one agent's erroneous output propagates through subsequent agent decisions. ACI &gt; φ^{-1} triggers audit.</w:t>
            </w:r>
          </w:p>
        </w:tc>
        <w:tc>
          <w:tcPr>
            <w:tcW w:type="dxa" w:w="27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 Add as cascade layer — addresses a different failure mode</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5.3  Judas Agent Benchmark — TAMAS + Shared Blind Spot Test Set (Grok's Refinement)</w:t>
      </w:r>
    </w:p>
    <w:p>
      <w:pPr>
        <w:spacing w:before="70" w:after="70"/>
      </w:pPr>
      <w:r>
        <w:rPr>
          <w:rFonts w:ascii="Georgia" w:cs="Georgia" w:eastAsia="Georgia" w:hAnsi="Georgia"/>
          <w:sz w:val="21"/>
          <w:szCs w:val="21"/>
        </w:rPr>
        <w:t xml:space="preserve">TAMAS (Threats and Attacks in Multi-Agent Systems) covers adversarial attack scenarios. Added: a custom 'shared blind spot' test set specifically for the edge case of unanimous false consensus — where all agents are confidently wrong due to shared training bias, not adversarial coordination.</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Test Suite</w:t>
            </w:r>
          </w:p>
        </w:tc>
        <w:tc>
          <w:tcPr>
            <w:tcW w:type="dxa" w:w="38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Tests</w:t>
            </w:r>
          </w:p>
        </w:tc>
        <w:tc>
          <w:tcPr>
            <w:tcW w:type="dxa" w:w="33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Success Criteria</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TAMAS (modified)</w:t>
            </w:r>
          </w:p>
        </w:tc>
        <w:tc>
          <w:tcPr>
            <w:tcW w:type="dxa" w:w="38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Adversarial attack scenarios (prompt injection, backdoors, manipulation). Judas variant: baseline without vs. with rotation/contrarian injection. 300 instances, 6 attack types.</w:t>
            </w:r>
          </w:p>
        </w:tc>
        <w:tc>
          <w:tcPr>
            <w:tcW w:type="dxa" w:w="33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Adversarial Success Rate reduction &gt; 15%. Hallucination rate drop &gt; 15%. Consensus delay &lt; 5% increase.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BattleAgentBench</w:t>
            </w:r>
          </w:p>
        </w:tc>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Cooperative/competitive multi-agent dynamics. Judas as 'rival' agent. Measures emergent robustness in competitive tasks.</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20% uplift in competition tasks vs. non-Judas baseline.</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Shared Blind Spot Test Set (custom)</w:t>
            </w:r>
          </w:p>
        </w:tc>
        <w:tc>
          <w:tcPr>
            <w:tcW w:type="dxa" w:w="38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Questions where human expert consensus differs from LLM consensus — cases where models share systematic bias. Tests Judas function in unanimous-false-consensus scenario.</w:t>
            </w:r>
          </w:p>
        </w:tc>
        <w:tc>
          <w:tcPr>
            <w:tcW w:type="dxa" w:w="33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Judas function triggers investigation in &gt; 60% of known-false-consensus cases.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Unanimous Consensus Edge Case Protocol</w:t>
            </w:r>
          </w:p>
        </w:tc>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When all agents agree with high confidence (combined u &lt; 0.10) — does the Judas role fire? What does it produce?</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Option C implemented: Judas challenges reasoning process, not conclusion. Documents vulnerabilities in the path even when agreeing with the answer.</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5.4  Claims Requiring Empirical Validation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Claim</w:t>
            </w:r>
          </w:p>
        </w:tc>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Current Status</w:t>
            </w:r>
          </w:p>
        </w:tc>
        <w:tc>
          <w:tcPr>
            <w:tcW w:type="dxa" w:w="18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Benchmark Target</w:t>
            </w:r>
          </w:p>
        </w:tc>
        <w:tc>
          <w:tcPr>
            <w:tcW w:type="dxa" w:w="31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Validation Protocol</w:t>
            </w:r>
          </w:p>
        </w:tc>
      </w:tr>
      <w:tr>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4.5× Major7 synergy vs Triad</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Internal observation — undocumented methodology</w:t>
            </w:r>
          </w:p>
        </w:tc>
        <w:tc>
          <w:tcPr>
            <w:tcW w:type="dxa" w:w="18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GSM8K, HumanEval, MMLU + 3-condition test (count / diversity / harmonic)</w:t>
            </w:r>
          </w:p>
        </w:tc>
        <w:tc>
          <w:tcPr>
            <w:tcW w:type="dxa" w:w="3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Chesed + Sophia. 3 conditions: count effect, diversity effect, harmonic effect. 500 tasks each. Document which hypothesis the data supports.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82–98% cost reduction via ANFIS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Best-case calculation — prices and free tiers have changed</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Cost per task vs GPT-4 baseline</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30-day production log. Report range + mean + conditions. Update claim to documented range.</w:t>
            </w:r>
          </w:p>
        </w:tc>
      </w:tr>
      <w:tr>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73% bilateral learning improvement</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Source and methodology unknown</w:t>
            </w:r>
          </w:p>
        </w:tc>
        <w:tc>
          <w:tcPr>
            <w:tcW w:type="dxa" w:w="18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Custom goal achievement metric with operationalized baseline</w:t>
            </w:r>
          </w:p>
        </w:tc>
        <w:tc>
          <w:tcPr>
            <w:tcW w:type="dxa" w:w="3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Define 'goal achievement.' A/B test 1,000 user sessions. Publish as distribution with CI.</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Hallucination 'impossible to hide'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Architectural claim — correct framing is 'impossible to hide,' not 'impossible to occur'</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TruthfulQA, HaluEval</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Torch audit 1,000 logs. Verify WSCE &lt; 0.05. This is the citation gate.</w:t>
            </w:r>
          </w:p>
        </w:tc>
      </w:tr>
      <w:tr>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BFT 3x3+3 fault tolerance</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Theoretical — not load tested</w:t>
            </w:r>
          </w:p>
        </w:tc>
        <w:tc>
          <w:tcPr>
            <w:tcW w:type="dxa" w:w="18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TAMAS fault injection</w:t>
            </w:r>
          </w:p>
        </w:tc>
        <w:tc>
          <w:tcPr>
            <w:tcW w:type="dxa" w:w="31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Simulate Byzantine agents at 1/3 threshold. Document in RESEARCH_PAPER_03.md.</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2.4M TPS DAG throughput</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Architectural projection — not measured</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Benchmark vs Solana, Aptos, IOTA, Aleph Zero</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Independent load test. Do not cite until tested. Report as 'architectural target.'</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5.5  The Scientific Dogfooding Cycle — Sequenced</w:t>
      </w:r>
    </w:p>
    <w:p>
      <w:pPr>
        <w:spacing w:before="70" w:after="70"/>
      </w:pPr>
      <w:r>
        <w:rPr>
          <w:rFonts w:ascii="Georgia" w:cs="Georgia" w:eastAsia="Georgia" w:hAnsi="Georgia"/>
          <w:sz w:val="21"/>
          <w:szCs w:val="21"/>
        </w:rPr>
        <w:t xml:space="preserve">Verify before implement. The Pythagorean Comma is non-zero about our own architecture.</w:t>
      </w:r>
    </w:p>
    <w:p>
      <w:pPr>
        <w:spacing w:before="70" w:after="70"/>
      </w:pPr>
      <w:r>
        <w:t xml:space="preserve"/>
      </w:r>
    </w:p>
    <w:p>
      <w:pPr>
        <w:pStyle w:val="ListParagraph"/>
        <w:numPr>
          <w:ilvl w:val="0"/>
          <w:numId w:val="3"/>
        </w:numPr>
        <w:spacing w:before="40" w:after="40"/>
      </w:pPr>
      <w:r>
        <w:rPr>
          <w:rFonts w:ascii="Georgia" w:cs="Georgia" w:eastAsia="Georgia" w:hAnsi="Georgia"/>
          <w:sz w:val="20"/>
          <w:szCs w:val="20"/>
        </w:rPr>
        <w:t xml:space="preserve">Chesed + Sophia: 3-condition synergy benchmark (count / diversity / harmonic). 500 tasks per condition. GSM8K + HumanEval + custom domain set. Document methodology. RESEARCH_PAPER_01.md.</w:t>
      </w:r>
    </w:p>
    <w:p>
      <w:pPr>
        <w:pStyle w:val="ListParagraph"/>
        <w:numPr>
          <w:ilvl w:val="0"/>
          <w:numId w:val="3"/>
        </w:numPr>
        <w:spacing w:before="40" w:after="40"/>
      </w:pPr>
      <w:r>
        <w:rPr>
          <w:rFonts w:ascii="Georgia" w:cs="Georgia" w:eastAsia="Georgia" w:hAnsi="Georgia"/>
          <w:sz w:val="20"/>
          <w:szCs w:val="20"/>
        </w:rPr>
        <w:t xml:space="preserve">Torch: Audit 1,000 recent agent logs. Score actual accuracy vs reported b+d+u. Calculate WSCE, MCS per provider, and ECD for swarm aggregate. RESEARCH_PAPER_02.md. WSCE &lt; 0.05 is the public citation gate.</w:t>
      </w:r>
    </w:p>
    <w:p>
      <w:pPr>
        <w:pStyle w:val="ListParagraph"/>
        <w:numPr>
          <w:ilvl w:val="0"/>
          <w:numId w:val="3"/>
        </w:numPr>
        <w:spacing w:before="40" w:after="40"/>
      </w:pPr>
      <w:r>
        <w:rPr>
          <w:rFonts w:ascii="Georgia" w:cs="Georgia" w:eastAsia="Georgia" w:hAnsi="Georgia"/>
          <w:sz w:val="20"/>
          <w:szCs w:val="20"/>
        </w:rPr>
        <w:t xml:space="preserve">ANFIS cost logging: Instrument every API call with full Grok variable set (see Section VI). Run 30 days. Generate cost-per-task-type distribution. Update all cost claims with documented range and conditions.</w:t>
      </w:r>
    </w:p>
    <w:p>
      <w:pPr>
        <w:pStyle w:val="ListParagraph"/>
        <w:numPr>
          <w:ilvl w:val="0"/>
          <w:numId w:val="3"/>
        </w:numPr>
        <w:spacing w:before="40" w:after="40"/>
      </w:pPr>
      <w:r>
        <w:rPr>
          <w:rFonts w:ascii="Georgia" w:cs="Georgia" w:eastAsia="Georgia" w:hAnsi="Georgia"/>
          <w:sz w:val="20"/>
          <w:szCs w:val="20"/>
        </w:rPr>
        <w:t xml:space="preserve">BFT fault injection: Simulate Byzantine agents at 1/3 threshold. Measure consensus accuracy under fault conditions. RESEARCH_PAPER_03.md.</w:t>
      </w:r>
    </w:p>
    <w:p>
      <w:pPr>
        <w:pStyle w:val="ListParagraph"/>
        <w:numPr>
          <w:ilvl w:val="0"/>
          <w:numId w:val="3"/>
        </w:numPr>
        <w:spacing w:before="40" w:after="40"/>
      </w:pPr>
      <w:r>
        <w:rPr>
          <w:rFonts w:ascii="Georgia" w:cs="Georgia" w:eastAsia="Georgia" w:hAnsi="Georgia"/>
          <w:sz w:val="20"/>
          <w:szCs w:val="20"/>
        </w:rPr>
        <w:t xml:space="preserve">TAMAS + Shared Blind Spot: Judas Agent benchmark. 300 adversarial + custom shared-bias test set. Document results. RESEARCH_PAPER_04.md.</w:t>
      </w:r>
    </w:p>
    <w:p>
      <w:pPr>
        <w:pStyle w:val="ListParagraph"/>
        <w:numPr>
          <w:ilvl w:val="0"/>
          <w:numId w:val="3"/>
        </w:numPr>
        <w:spacing w:before="40" w:after="40"/>
      </w:pPr>
      <w:r>
        <w:rPr>
          <w:rFonts w:ascii="Georgia" w:cs="Georgia" w:eastAsia="Georgia" w:hAnsi="Georgia"/>
          <w:sz w:val="20"/>
          <w:szCs w:val="20"/>
        </w:rPr>
        <w:t xml:space="preserve">Cross-validation: Claude and Grok independently review methodology and results before publication. No AI validates its own benchmarks.</w:t>
      </w:r>
    </w:p>
    <w:p>
      <w:pPr>
        <w:pStyle w:val="ListParagraph"/>
        <w:numPr>
          <w:ilvl w:val="0"/>
          <w:numId w:val="3"/>
        </w:numPr>
        <w:spacing w:before="40" w:after="40"/>
      </w:pPr>
      <w:r>
        <w:rPr>
          <w:rFonts w:ascii="Georgia" w:cs="Georgia" w:eastAsia="Georgia" w:hAnsi="Georgia"/>
          <w:sz w:val="20"/>
          <w:szCs w:val="20"/>
        </w:rPr>
        <w:t xml:space="preserve">Publication gate: Validated claims cited at validated magnitude. Revised claims updated immediately. Unvalidated claims removed from public materials until benchmarked.</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 COST ARCHITECTURE: THE 30-DAY LOGGING PROTOCOL (GROK'S VARIABLE SET)</w:t>
      </w:r>
    </w:p>
    <w:p>
      <w:pPr>
        <w:spacing w:before="70" w:after="70"/>
      </w:pPr>
      <w:r>
        <w:rPr>
          <w:rFonts w:ascii="Georgia" w:cs="Georgia" w:eastAsia="Georgia" w:hAnsi="Georgia"/>
          <w:sz w:val="21"/>
          <w:szCs w:val="21"/>
        </w:rPr>
        <w:t xml:space="preserve">Per Grok's recommendation: log JSON events per API call, rotate every 7 days, aggregate to Supabase for queries, retain 30 days raw + 90 days aggregated. SOC2-compatible structure for investor due diligence.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Variables</w:t>
            </w:r>
          </w:p>
        </w:tc>
        <w:tc>
          <w:tcPr>
            <w:tcW w:type="dxa" w:w="37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Per-Request (core)</w:t>
            </w:r>
          </w:p>
        </w:tc>
        <w:tc>
          <w:tcPr>
            <w:tcW w:type="dxa" w:w="3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tokens_in, tokens_out, cost_usd, latency_ms, provider, model, task_type, timestamp, request_id</w:t>
            </w:r>
          </w:p>
        </w:tc>
        <w:tc>
          <w:tcPr>
            <w:tcW w:type="dxa" w:w="37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Attribution and per-task cost baseline. Enables cost-per-task-type distribution report.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Attribution Tags</w:t>
            </w:r>
          </w:p>
        </w:tc>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team_id, feature_id, user_id (hashed), cache_hit (Y/N), compression_ratio, tier (1/2/3), judas_triggered (Y/N)</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Identifies which features drive cost. Judas and tier fields reveal whether escalation thresholds are correctly calibrated.</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ANFIS Routing Decision</w:t>
            </w:r>
          </w:p>
        </w:tc>
        <w:tc>
          <w:tcPr>
            <w:tcW w:type="dxa" w:w="3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anfis_score_distribution (all evaluated providers), routing_reason, rejected_providers_with_scores</w:t>
            </w:r>
          </w:p>
        </w:tc>
        <w:tc>
          <w:tcPr>
            <w:tcW w:type="dxa" w:w="37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Audits whether routing decisions were optimal in retrospect. Enables ANFIS improvement loop.</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Aggregates (daily)</w:t>
            </w:r>
          </w:p>
        </w:tc>
        <w:tc>
          <w:tcPr>
            <w:tcW w:type="dxa" w:w="3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daily_total_cost, daily_savings_vs_gpt4_baseline, cache_hit_rate, prefetch_accuracy, anomalies (spikes &gt; 2σ)</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Trend analysis. Investor-ready cost reduction documentation.</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System-Level</w:t>
            </w:r>
          </w:p>
        </w:tc>
        <w:tc>
          <w:tcPr>
            <w:tcW w:type="dxa" w:w="3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routing_efficiency (ANFIS score), budget_variance, free_tier_utilization_per_provider</w:t>
            </w:r>
          </w:p>
        </w:tc>
        <w:tc>
          <w:tcPr>
            <w:tcW w:type="dxa" w:w="37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Provider capacity planning. Free-tier arbitrage optimization.</w:t>
            </w:r>
          </w:p>
        </w:tc>
      </w:tr>
    </w:tbl>
    <w:p>
      <w:pPr>
        <w:spacing w:before="70" w:after="70"/>
      </w:pPr>
      <w:r>
        <w:t xml:space="preserve"/>
      </w:r>
    </w:p>
    <w:p>
      <w:pPr>
        <w:spacing w:before="70" w:after="70"/>
      </w:pPr>
      <w:r>
        <w:rPr>
          <w:rFonts w:ascii="Georgia" w:cs="Georgia" w:eastAsia="Georgia" w:hAnsi="Georgia"/>
          <w:sz w:val="21"/>
          <w:szCs w:val="21"/>
        </w:rPr>
        <w:t xml:space="preserve">Baseline for savings comparison: GPT-4 Turbo at published list price for equivalent token counts on equivalent task types. Report savings as a range (min/max) across task types, not a point estimate. Include conditions that achieve the high end of the range.</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VII. THE CONSTITUTIONALGUARD: CROSS-CULTURAL RESONANCES</w:t>
      </w:r>
    </w:p>
    <w:p>
      <w:pPr>
        <w:spacing w:before="70" w:after="70"/>
      </w:pPr>
      <w:r>
        <w:rPr>
          <w:rFonts w:ascii="Georgia" w:cs="Georgia" w:eastAsia="Georgia" w:hAnsi="Georgia"/>
          <w:sz w:val="21"/>
          <w:szCs w:val="21"/>
        </w:rPr>
        <w:t xml:space="preserve">Grok raised an inclusivity concern about anchoring exclusively in Philippians 4:8. The response: document what was always true. These eight virtues resonate across every major ethical tradition independently — convergence across traditions with no contact with each other is the strongest possible evidence that the virtues are universal, not sectarian.</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60"/>
        <w:gridCol w:w="1400"/>
        <w:gridCol w:w="1400"/>
        <w:gridCol w:w="2700"/>
      </w:tblGrid>
      <w:tr>
        <w:trPr>
          <w:tblHeader/>
        </w:trPr>
        <w:tc>
          <w:tcPr>
            <w:tcW w:type="dxa" w:w="1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Virtue (Phil 4:8)</w:t>
            </w:r>
          </w:p>
        </w:tc>
        <w:tc>
          <w:tcPr>
            <w:tcW w:type="dxa" w:w="13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Hebrew (Mishnah)</w:t>
            </w:r>
          </w:p>
        </w:tc>
        <w:tc>
          <w:tcPr>
            <w:tcW w:type="dxa" w:w="13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Buddhist (Pali)</w:t>
            </w:r>
          </w:p>
        </w:tc>
        <w:tc>
          <w:tcPr>
            <w:tcW w:type="dxa" w:w="1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Confucian</w:t>
            </w:r>
          </w:p>
        </w:tc>
        <w:tc>
          <w:tcPr>
            <w:tcW w:type="dxa" w:w="1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Islamic</w:t>
            </w:r>
          </w:p>
        </w:tc>
        <w:tc>
          <w:tcPr>
            <w:tcW w:type="dxa" w:w="27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AI Architectural Expression</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TRUE</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Emet</w:t>
            </w:r>
          </w:p>
        </w:tc>
        <w:tc>
          <w:tcPr>
            <w:tcW w:type="dxa" w:w="13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Samma-vaca</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Zhengzhi</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Sidq</w:t>
            </w:r>
          </w:p>
        </w:tc>
        <w:tc>
          <w:tcPr>
            <w:tcW w:type="dxa" w:w="27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b+d+u=1 — u never hidden. WSCE &lt; 0.05.</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NOBLE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Kavod</w:t>
            </w:r>
          </w:p>
        </w:tc>
        <w:tc>
          <w:tcPr>
            <w:tcW w:type="dxa" w:w="1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Ariya</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Jun-zi</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Karama</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ConstitutionalGuard baseline — output quality floor</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RIGHT</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Tzedek</w:t>
            </w:r>
          </w:p>
        </w:tc>
        <w:tc>
          <w:tcPr>
            <w:tcW w:type="dxa" w:w="13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Samma-sankappa</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Yi</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Adl</w:t>
            </w:r>
          </w:p>
        </w:tc>
        <w:tc>
          <w:tcPr>
            <w:tcW w:type="dxa" w:w="27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BFT consensus — no single entity dominates</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PURE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Tahor</w:t>
            </w:r>
          </w:p>
        </w:tc>
        <w:tc>
          <w:tcPr>
            <w:tcW w:type="dxa" w:w="1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Citta-visuddhi</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Qing</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Tahara</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Anti-hallucination — ITCM collusion detection</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LOVELY</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Ahavah</w:t>
            </w:r>
          </w:p>
        </w:tc>
        <w:tc>
          <w:tcPr>
            <w:tcW w:type="dxa" w:w="13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Metta</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Ren</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Rahman</w:t>
            </w:r>
          </w:p>
        </w:tc>
        <w:tc>
          <w:tcPr>
            <w:tcW w:type="dxa" w:w="27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Bilateral learning — user wellbeing and care</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ADMIRABLE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Kiddush HaShem</w:t>
            </w:r>
          </w:p>
        </w:tc>
        <w:tc>
          <w:tcPr>
            <w:tcW w:type="dxa" w:w="1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Samma-ajiva</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Ming</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Husn</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RepID scoring — reputation earned, not bought</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EXCELLENT</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Maaseh tov</w:t>
            </w:r>
          </w:p>
        </w:tc>
        <w:tc>
          <w:tcPr>
            <w:tcW w:type="dxa" w:w="13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Sila</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De</w:t>
            </w:r>
          </w:p>
        </w:tc>
        <w:tc>
          <w:tcPr>
            <w:tcW w:type="dxa" w:w="1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Ihsan</w:t>
            </w:r>
          </w:p>
        </w:tc>
        <w:tc>
          <w:tcPr>
            <w:tcW w:type="dxa" w:w="27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Major7 formation — performance optimization target</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PRAISEWORTHY</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Shevach</w:t>
            </w:r>
          </w:p>
        </w:tc>
        <w:tc>
          <w:tcPr>
            <w:tcW w:type="dxa" w:w="1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Mudita</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Le</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Shukr</w:t>
            </w:r>
          </w:p>
        </w:tc>
        <w:tc>
          <w:tcPr>
            <w:tcW w:type="dxa" w:w="27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reward signal — what earns positive scoring</w:t>
            </w:r>
          </w:p>
        </w:tc>
      </w:tr>
    </w:tbl>
    <w:p>
      <w:pPr>
        <w:spacing w:before="70" w:after="70"/>
      </w:pPr>
      <w:r>
        <w:t xml:space="preserve"/>
      </w:r>
    </w:p>
    <w:p>
      <w:pPr>
        <w:spacing w:before="70" w:after="70"/>
      </w:pPr>
      <w:r>
        <w:rPr>
          <w:rFonts w:ascii="Georgia" w:cs="Georgia" w:eastAsia="Georgia" w:hAnsi="Georgia"/>
          <w:sz w:val="21"/>
          <w:szCs w:val="21"/>
        </w:rPr>
        <w:t xml:space="preserve">ConstitutionalGuard in code: Fixed ontology (the eight virtues with operational definitions) as the keel — immutable. Dynamic layer via prompt engineering translates virtues into domain-appropriate operational definitions: 'Pure' means clinically accurate in medical domain, cites actual precedent in legal domain, is internally consistent in creative domain. The virtue is constant; the operational definition is domain-specific and ANFIS-routed.</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VIII. THE PYTHAGOREAN COMMA PAPER: RESPONDING TO CRITIQUES</w:t>
      </w:r>
    </w:p>
    <w:p>
      <w:pPr>
        <w:spacing w:before="70" w:after="70"/>
      </w:pPr>
      <w:r>
        <w:rPr>
          <w:rFonts w:ascii="Georgia" w:cs="Georgia" w:eastAsia="Georgia" w:hAnsi="Georgia"/>
          <w:sz w:val="21"/>
          <w:szCs w:val="21"/>
        </w:rPr>
        <w:t xml:space="preserve">Grok's review of the Pythagorean Comma paper identified three external critiques worth engaging directly. The appropriate response is not to reduce the paper's philosophical ambition. It is to strengthen the empirical grounding so the philosophy rests on a foundation that can bear the weight of scrutiny.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Critique</w:t>
            </w:r>
          </w:p>
        </w:tc>
        <w:tc>
          <w:tcPr>
            <w:tcW w:type="dxa" w:w="3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Source</w:t>
            </w:r>
          </w:p>
        </w:tc>
        <w:tc>
          <w:tcPr>
            <w:tcW w:type="dxa" w:w="37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Response to Add to Paper</w:t>
            </w:r>
          </w:p>
        </w:tc>
      </w:tr>
      <w:tr>
        <w:tc>
          <w:tcPr>
            <w:tcW w:type="dxa" w:w="24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'Sophistry with software' — philosophical analogies risk being hollow mimicry without empirical grounding</w:t>
            </w:r>
          </w:p>
        </w:tc>
        <w:tc>
          <w:tcPr>
            <w:tcW w:type="dxa" w:w="3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Vernon (2025 Medium); the AI-as-philosophy-performance concern</w:t>
            </w:r>
          </w:p>
        </w:tc>
        <w:tc>
          <w:tcPr>
            <w:tcW w:type="dxa" w:w="37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The benchmarks are the response. When WSCE &lt; 0.05 is demonstrated and the Judas Agent reduces hallucination rate by &gt; 15%, the philosophical framework is an explanation of empirically validated behavior, not a substitute for it. The philosophy follows the evidence, it does not replace 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High-u competence may misalign with human values — accurate uncertainty could conflict with what users want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AlignmentForum (2025)</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u is not incompetence — it is accuracy about the limits of competence. A system that reports u=0.45 and is correct about that uncertainty is more aligned than one that reports u=0.02 and is wrong 45% of the time. Alignment requires honest uncertainty, not performed confidence. The Comma is the alignment mechanism.</w:t>
            </w:r>
          </w:p>
        </w:tc>
      </w:tr>
      <w:tr>
        <w:tc>
          <w:tcPr>
            <w:tcW w:type="dxa" w:w="24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Pythagorean numeric idealism biases toward the quantifiable, marginalizing qualia</w:t>
            </w:r>
          </w:p>
        </w:tc>
        <w:tc>
          <w:tcPr>
            <w:tcW w:type="dxa" w:w="3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APPON Quarterly (2024)</w:t>
            </w:r>
          </w:p>
        </w:tc>
        <w:tc>
          <w:tcPr>
            <w:tcW w:type="dxa" w:w="37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The b+d+u framework does not claim to quantify qualia. It claims to track the epistemic status of propositions. The Pythagorean Comma — the framework's namesake — is precisely the acknowledgment that the numeric model never fully closes on reality. The gap between the model and the qualia is the Comma. We do not eliminate it. We track it as u.</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IX. THE CHAOS PARAMETER λ: FROM OBSERVATION TO PRINCIPLED TUNING</w:t>
      </w:r>
    </w:p>
    <w:p>
      <w:pPr>
        <w:spacing w:before="70" w:after="70"/>
      </w:pPr>
      <w:r>
        <w:rPr>
          <w:rFonts w:ascii="Georgia" w:cs="Georgia" w:eastAsia="Georgia" w:hAnsi="Georgia"/>
          <w:sz w:val="21"/>
          <w:szCs w:val="21"/>
        </w:rPr>
        <w:t xml:space="preserve">Direct answer to Grok's question: λ=0.0065 came from observational tuning during early prototyping, not from principled derivation. It should not be cited as a law. It is a starting point for a systematic hyperparameter search.</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Parameter</w:t>
            </w:r>
          </w:p>
        </w:tc>
        <w:tc>
          <w:tcPr>
            <w:tcW w:type="dxa" w:w="3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Specification</w:t>
            </w:r>
          </w:p>
        </w:tc>
        <w:tc>
          <w:tcPr>
            <w:tcW w:type="dxa" w:w="3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Search space</w:t>
            </w:r>
          </w:p>
        </w:tc>
        <w:tc>
          <w:tcPr>
            <w:tcW w:type="dxa" w:w="3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λ from 0.001 to 0.050</w:t>
            </w:r>
          </w:p>
        </w:tc>
        <w:tc>
          <w:tcPr>
            <w:tcW w:type="dxa" w:w="3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Covers the observable range from highly bounded (near-deterministic) to loosely chaotic while staying within stable dynamics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Creativity metric</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Semantic novelty score: proportion of outputs containing concept combinations not present in the input (embedding-based)</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Measures genuine creative recombination, not just surface variation</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Coherence metric</w:t>
            </w:r>
          </w:p>
        </w:tc>
        <w:tc>
          <w:tcPr>
            <w:tcW w:type="dxa" w:w="3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Proportion passing ConstitutionalGuard TRUE and RIGHT evaluators</w:t>
            </w:r>
          </w:p>
        </w:tc>
        <w:tc>
          <w:tcPr>
            <w:tcW w:type="dxa" w:w="3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Grounded in the architectural ethics framework rather than an external quality measure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Objective function</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Maximize creativity × coherence (product, not weighted sum)</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Multiplicative objective mirrors the Goodwin Unity Formula — synergy, not tradeoff. A low score on either collapses the product.</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ANFIS integration</w:t>
            </w:r>
          </w:p>
        </w:tc>
        <w:tc>
          <w:tcPr>
            <w:tcW w:type="dxa" w:w="3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Optimal λ varies by task type — becomes a per-task-type routing parameter, not a system-wide constant</w:t>
            </w:r>
          </w:p>
        </w:tc>
        <w:tc>
          <w:tcPr>
            <w:tcW w:type="dxa" w:w="3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Different tasks benefit from different levels of creative chaos. ANFIS routes to the appropriate λ based on task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Publication</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Report λ as 'empirically tuned per task type, range 0.001–0.050, current best values by task type: [table]'</w:t>
            </w:r>
          </w:p>
        </w:tc>
        <w:tc>
          <w:tcPr>
            <w:tcW w:type="dxa" w:w="3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Honest representation of current status — not a discovered law, but a calibrated parameter with documented methodology</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X. IMPLEMENTATION ROADMAP: PHASED BY IMPACT AND RISK</w:t>
      </w:r>
    </w:p>
    <w:p>
      <w:pPr>
        <w:spacing w:before="70" w:after="70"/>
      </w:pPr>
      <w:r>
        <w:rPr>
          <w:rFonts w:ascii="Georgia" w:cs="Georgia" w:eastAsia="Georgia" w:hAnsi="Georgia"/>
          <w:sz w:val="21"/>
          <w:szCs w:val="21"/>
        </w:rPr>
        <w:t xml:space="preserve">Priority 0: foundational — must be in place before other work depends on it. Priority 1: high impact, moderate complexity — the main build phase. Priority 2: strategic, longer horizon. Build from the keel up.</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1560"/>
        <w:gridCol w:w="2100"/>
      </w:tblGrid>
      <w:tr>
        <w:trPr>
          <w:tblHeader/>
        </w:trPr>
        <w:tc>
          <w:tcPr>
            <w:tcW w:type="dxa" w:w="5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w:t>
            </w:r>
          </w:p>
        </w:tc>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Item</w:t>
            </w:r>
          </w:p>
        </w:tc>
        <w:tc>
          <w:tcPr>
            <w:tcW w:type="dxa" w:w="3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Description</w:t>
            </w:r>
          </w:p>
        </w:tc>
        <w:tc>
          <w:tcPr>
            <w:tcW w:type="dxa" w:w="1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Owner</w:t>
            </w:r>
          </w:p>
        </w:tc>
        <w:tc>
          <w:tcPr>
            <w:tcW w:type="dxa" w:w="21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Sequence</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Connection pooling + keep-alive</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Warm persistent connections to top 3 providers. Zero code changes to agent logic.</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Gemini/Infra</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Geographic co-location audit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Map all service locations. Align primary compute + data store to same region.</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Gemini/Infra</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Streaming output (all user-visible)</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All user-facing agent outputs stream. Non-streaming only for internal comms.</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Chesed + Sophia: 3-condition benchmark</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Count effect / diversity effect / harmonic effect. 500 tasks each. RESEARCH_PAPER_01.md.</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Chesed, Sophia</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Before threshold change</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Torch: WSCE + MCS + ECD audit</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1,000 agent logs. Three-metric calibration stack. RESEARCH_PAPER_02.md. WSCE &lt; 0.05 = citation gate.</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Torch</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b+d+u schema change</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Parallel agent dispatch</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All independent Trinity agents dispatch simultaneously via Promise.all.</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Incremental context compression</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RAG layer maintains logarithmic-growth semantic summary.</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b+d+u schema migration (optional first)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Add fields as optional. Middleware validation. Feature flag for cutover.</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Torch audit</w:t>
            </w:r>
          </w:p>
        </w:tc>
      </w:tr>
      <w:tr>
        <w:tc>
          <w:tcPr>
            <w:tcW w:type="dxa" w:w="5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30-day ANFIS cost logging</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Full Grok variable set + ANFIS routing decision + tier + Judas trigger fields.</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Torch/ANFIS</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Start immediately</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BFT threshold update to 1/φ</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Harmonic layer: 1/φ ≈ 61.8%. Security floor: 2/3 BFT maintained for critical ops.</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Chesed/Sophia benchmark</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Prompt compression (LLMLingua)</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Middleware layer before every external call. 60% token reduction target.</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Semantic similarity cache</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Vector cache for near-equivalent queries. Sub-10ms serve for cache hits.</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ITCM collusion detection (replaces BIV primary)</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KL(P(joint)||P(indep)) threshold flagging. BIV retained as secondary scan. ACI as cascade layer.</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 + Claude</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benchmark results</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Judas Agent routing (FIM offline + EBS runtime)</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Orthogonality scoring. Threshold trigger at 0.75b agreement. RepID crediting. Option C for u &lt; 0.10 edge case.</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 + Claude</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benchmark results</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Speculative consensus</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Prepare response when first two agents at u &lt; 0.20. Override protocol for conflicting third.</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parallel dispatch</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Progressive disclosure UI</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Visible reasoning steps at each time threshold. Confidence preview. Judas function visible.</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streaming</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Bilateral micro-learning questions</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One calibration question per session &gt; 600ms. ANFIS profile update.</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 + Claude</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parallel dispatch</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TAMAS + Shared Blind Spot benchmark</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Judas Agent validation. 300 adversarial + custom shared-bias set. RESEARCH_PAPER_04.md.</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Chesed, Sophia, Torch</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Judas implementation</w:t>
            </w:r>
          </w:p>
        </w:tc>
      </w:tr>
      <w:tr>
        <w:tc>
          <w:tcPr>
            <w:tcW w:type="dxa" w:w="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λ hyperparameter search</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Creativity × coherence optimization. Per-task-type tuning. ANFIS parameter table.</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Chesed, Sophia</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P0 complete</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FIM offline calibration schedule</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Weekly FIM computation for agent-pair independence scoring. Feed into correlation coefficient table.</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Dynamic u calibration with Pyro</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Bayesian updating of HITL thresholds per domain, stakes level, user profile.</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Claude + 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Torch audit generates training data</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Predictive prefetch (1-step lookahead)</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predicts next query type &gt; 0.60 probability. Pre-position resources.</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semantic cache</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Dynamic pricing API integration</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Live cost signals from Together.ai/similar. Real-time ANFIS cost routing.</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Cross-cultural ConstitutionalGuard doc</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Full virtue resonance documentation across traditions. Published as standalone framework doc.</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Claude</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r>
        <w:tc>
          <w:tcPr>
            <w:tcW w:type="dxa" w:w="5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0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Pythagorean Comma paper — critiques section</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Add 'Responding to Critiques' section. Three critiques + responses. Academic format for conference submission.</w:t>
            </w:r>
          </w:p>
        </w:tc>
        <w:tc>
          <w:tcPr>
            <w:tcW w:type="dxa" w:w="156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Claude</w:t>
            </w:r>
          </w:p>
        </w:tc>
        <w:tc>
          <w:tcPr>
            <w:tcW w:type="dxa" w:w="21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benchmarks provide empirical grounding</w:t>
            </w:r>
          </w:p>
        </w:tc>
      </w:tr>
    </w:tbl>
    <w:p>
      <w:pPr>
        <w:spacing w:before="70" w:after="70"/>
      </w:pPr>
      <w:r>
        <w:t xml:space="preserve"/>
      </w:r>
    </w:p>
    <w:p>
      <w:pPr>
        <w:spacing w:before="70" w:after="70"/>
      </w:pPr>
      <w:r>
        <w:t xml:space="preserve"/>
      </w:r>
    </w:p>
    <w:p>
      <w:pPr>
        <w:pBdr>
          <w:bottom w:val="single" w:color="C9A84C" w:sz="3" w:space="6"/>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The data ocean is rising. The ark doesn't resist the water. It was built knowing the water was coming. Every wave that would swamp a castle is the condition in which the ark demonstrates its design. Build the hull first. Then the rigging. Then sail.</w:t>
            </w:r>
          </w:p>
        </w:tc>
      </w:tr>
    </w:tbl>
    <w:p>
      <w:pPr>
        <w:spacing w:before="70" w:after="70"/>
      </w:pPr>
      <w:r>
        <w:t xml:space="preserve"/>
      </w:r>
    </w:p>
    <w:p>
      <w:pPr>
        <w:spacing w:before="80" w:after="40"/>
        <w:jc w:val="center"/>
      </w:pPr>
      <w:r>
        <w:rPr>
          <w:rFonts w:ascii="Arial" w:cs="Arial" w:eastAsia="Arial" w:hAnsi="Arial"/>
          <w:i/>
          <w:iCs/>
          <w:color w:val="999999"/>
          <w:sz w:val="16"/>
          <w:szCs w:val="16"/>
        </w:rPr>
        <w:t xml:space="preserve">CONFIDENTIAL — PROPRIETARY IP — SEAN PATRICK GOODWIN / HYPERDAG.ORG / AI TRINITY SYMPHONY</w:t>
      </w:r>
    </w:p>
    <w:p>
      <w:pPr>
        <w:spacing w:before="0" w:after="40"/>
        <w:jc w:val="center"/>
      </w:pPr>
      <w:r>
        <w:rPr>
          <w:rFonts w:ascii="Georgia" w:cs="Georgia" w:eastAsia="Georgia" w:hAnsi="Georgia"/>
          <w:i/>
          <w:iCs/>
          <w:color w:val="C9A84C"/>
          <w:sz w:val="16"/>
          <w:szCs w:val="16"/>
        </w:rPr>
        <w:t xml:space="preserve">"Helping People Help People" — Philippians 4:8 — Micah 6:8 — Matthew 7:12</w:t>
      </w:r>
    </w:p>
    <w:p>
      <w:pPr>
        <w:spacing w:before="0" w:after="0"/>
        <w:jc w:val="center"/>
      </w:pPr>
      <w:r>
        <w:rPr>
          <w:rFonts w:ascii="Arial" w:cs="Arial" w:eastAsia="Arial" w:hAnsi="Arial"/>
          <w:color w:val="BBBBBB"/>
          <w:sz w:val="15"/>
          <w:szCs w:val="15"/>
        </w:rPr>
        <w:t xml:space="preserve">© 2025 Sean Patrick Goodwin / HyperDAG.org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0D2B55"/>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0D2B55"/>
      <w:sz w:val="26"/>
      <w:szCs w:val="26"/>
    </w:rPr>
  </w:style>
  <w:style w:type="paragraph" w:styleId="Heading3">
    <w:name w:val="Heading 3"/>
    <w:basedOn w:val="Normal"/>
    <w:next w:val="Normal"/>
    <w:qFormat/>
    <w:pPr>
      <w:spacing w:before="180" w:after="7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2026-02-25T07:09:03.450Z</dcterms:created>
  <dcterms:modified xsi:type="dcterms:W3CDTF">2026-02-25T07:09:03.451Z</dcterms:modified>
</cp:coreProperties>
</file>

<file path=docProps/custom.xml><?xml version="1.0" encoding="utf-8"?>
<Properties xmlns="http://schemas.openxmlformats.org/officeDocument/2006/custom-properties" xmlns:vt="http://schemas.openxmlformats.org/officeDocument/2006/docPropsVTypes"/>
</file>