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4E8C"/>
          <w:sz w:val="52"/>
          <w:szCs w:val="52"/>
        </w:rPr>
        <w:t xml:space="preserve">AI TRINITY SYMPHONY + HYPERDAG</w:t>
      </w:r>
    </w:p>
    <w:p>
      <w:pPr>
        <w:spacing w:before="100" w:after="100"/>
        <w:jc w:val="center"/>
      </w:pPr>
      <w:r>
        <w:rPr>
          <w:rFonts w:ascii="Arial" w:cs="Arial" w:eastAsia="Arial" w:hAnsi="Arial"/>
          <w:b/>
          <w:bCs/>
          <w:color w:val="C9A84C"/>
          <w:sz w:val="36"/>
          <w:szCs w:val="36"/>
        </w:rPr>
        <w:t xml:space="preserve">MASTER IP &amp; METHODOLOGY CATALOG</w:t>
      </w:r>
    </w:p>
    <w:p>
      <w:pPr>
        <w:spacing w:before="200" w:after="600"/>
        <w:jc w:val="center"/>
      </w:pPr>
      <w:r>
        <w:rPr>
          <w:rFonts w:ascii="Arial" w:cs="Arial" w:eastAsia="Arial" w:hAnsi="Arial"/>
          <w:i/>
          <w:iCs/>
          <w:color w:val="555555"/>
          <w:sz w:val="24"/>
          <w:szCs w:val="24"/>
        </w:rPr>
        <w:t xml:space="preserve">Exhaustive Registry of Methods, Theorems, Formulas &amp; Branded Technologies</w:t>
      </w:r>
    </w:p>
    <w:p>
      <w:pPr>
        <w:spacing w:before="0" w:after="1200"/>
        <w:jc w:val="center"/>
      </w:pPr>
      <w:r>
        <w:rPr>
          <w:rFonts w:ascii="Arial" w:cs="Arial" w:eastAsia="Arial" w:hAnsi="Arial"/>
          <w:color w:val="888888"/>
          <w:sz w:val="20"/>
          <w:szCs w:val="20"/>
        </w:rPr>
        <w:t xml:space="preserve">Sean Patrick Goodwin (HyperDAG)  |  AI Trinity Symphony  |  HyperDAG.org  |  CONFIDENTIAL</w:t>
      </w:r>
    </w:p>
    <w:p>
      <w:pPr>
        <w:pStyle w:val="Heading1"/>
        <w:pBdr>
          <w:bottom w:val="single" w:color="C9A84C" w:sz="4" w:space="4"/>
        </w:pBdr>
        <w:spacing w:before="400" w:after="200"/>
      </w:pPr>
      <w:r>
        <w:rPr>
          <w:rFonts w:ascii="Arial" w:cs="Arial" w:eastAsia="Arial" w:hAnsi="Arial"/>
          <w:b/>
          <w:bCs/>
          <w:color w:val="1E4E8C"/>
          <w:sz w:val="36"/>
          <w:szCs w:val="36"/>
        </w:rPr>
        <w:t xml:space="preserve">PREAMBLE &amp; PURPOSE</w:t>
      </w:r>
    </w:p>
    <w:p>
      <w:pPr>
        <w:spacing w:before="80" w:after="80"/>
      </w:pPr>
      <w:r>
        <w:rPr>
          <w:rFonts w:ascii="Arial" w:cs="Arial" w:eastAsia="Arial" w:hAnsi="Arial"/>
          <w:sz w:val="22"/>
          <w:szCs w:val="22"/>
        </w:rPr>
        <w:t xml:space="preserve">This document serves as the exhaustive master registry of every method, theorem, algorithm, formula, technology, governance structure, and coined terminology used across the combined AI Trinity Symphony and HyperDAG ecosystem. Items are organized by domain. The combination of these elements—while individual components may have prior art—constitutes a novel, proprietary architecture with no known equivalent.</w:t>
      </w:r>
    </w:p>
    <w:p>
      <w:pPr>
        <w:spacing w:before="80" w:after="80"/>
      </w:pPr>
      <w:r>
        <w:rPr>
          <w:rFonts w:ascii="Arial" w:cs="Arial" w:eastAsia="Arial" w:hAnsi="Arial"/>
          <w:sz w:val="22"/>
          <w:szCs w:val="22"/>
        </w:rPr>
        <w:t xml:space="preserve">This registry supports: (1) Patent strategy and provisional filings, (2) Investor and partner due diligence, (3) Branding and naming of proprietary formulas, (4) Whitepaper and technical documentation, (5) Defense against IP infringement.</w:t>
      </w:r>
    </w:p>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1 — CORE FORMULAS &amp; NAMED EQUATIONS (BRANDABLE)</w:t>
      </w:r>
    </w:p>
    <w:p>
      <w:pPr>
        <w:spacing w:before="80" w:after="80"/>
      </w:pPr>
      <w:r>
        <w:rPr>
          <w:rFonts w:ascii="Arial" w:cs="Arial" w:eastAsia="Arial" w:hAnsi="Arial"/>
          <w:sz w:val="22"/>
          <w:szCs w:val="22"/>
        </w:rPr>
        <w:t xml:space="preserve">These mathematical expressions are either novel in their application or novel in their combination. Priority naming and branding recommended.</w:t>
      </w:r>
    </w:p>
    <w:p>
      <w:pPr>
        <w:spacing w:before="100" w:after="100"/>
      </w:pPr>
      <w:r>
        <w:t xml:space="preserve"/>
      </w:r>
    </w:p>
    <w:p>
      <w:pPr>
        <w:pStyle w:val="Heading2"/>
        <w:spacing w:before="300" w:after="120"/>
      </w:pPr>
      <w:r>
        <w:rPr>
          <w:rFonts w:ascii="Arial" w:cs="Arial" w:eastAsia="Arial" w:hAnsi="Arial"/>
          <w:b/>
          <w:bCs/>
          <w:color w:val="1E4E8C"/>
          <w:sz w:val="28"/>
          <w:szCs w:val="28"/>
        </w:rPr>
        <w:t xml:space="preserve">1.1  The Goodwin Unity Formula  (GUF)</w:t>
      </w:r>
    </w:p>
    <w:p>
      <w:pPr>
        <w:spacing w:before="80" w:after="80"/>
      </w:pPr>
      <w:r>
        <w:rPr>
          <w:rFonts w:ascii="Arial" w:cs="Arial" w:eastAsia="Arial" w:hAnsi="Arial"/>
          <w:sz w:val="22"/>
          <w:szCs w:val="22"/>
        </w:rPr>
        <w:t xml:space="preserve">The master orchestration formula expressing multiplicative intelligence convergence across the three agent types (Logic × Chaos × Beauty), normalized by the golden ratio. Proposed brand name: The Goodwin Unity Formula or The Trinity Convergence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GUF — Goodwin Unity Formula</w:t>
            </w:r>
          </w:p>
          <w:p>
            <w:pPr>
              <w:spacing w:before="60"/>
              <w:jc w:val="center"/>
            </w:pPr>
            <w:r>
              <w:rPr>
                <w:rFonts w:ascii="Courier New" w:cs="Courier New" w:eastAsia="Courier New" w:hAnsi="Courier New"/>
                <w:b/>
                <w:bCs/>
                <w:color w:val="1E4E8C"/>
                <w:sz w:val="24"/>
                <w:szCs w:val="24"/>
              </w:rPr>
              <w:t xml:space="preserve">Unity = (Logic × Chaos × Beauty)^(1/φ)</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1.2  Multiplicative Synergy Law  (MSL)</w:t>
      </w:r>
    </w:p>
    <w:p>
      <w:pPr>
        <w:spacing w:before="80" w:after="80"/>
      </w:pPr>
      <w:r>
        <w:rPr>
          <w:rFonts w:ascii="Arial" w:cs="Arial" w:eastAsia="Arial" w:hAnsi="Arial"/>
          <w:sz w:val="22"/>
          <w:szCs w:val="22"/>
        </w:rPr>
        <w:t xml:space="preserve">Proves that agent performance compounds multiplicatively, not additively. Counter-intuitive discovery: exponential weakness mitigation as a divisible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MSL — Multiplicative Synergy Law</w:t>
            </w:r>
          </w:p>
          <w:p>
            <w:pPr>
              <w:spacing w:before="60"/>
              <w:jc w:val="center"/>
            </w:pPr>
            <w:r>
              <w:rPr>
                <w:rFonts w:ascii="Courier New" w:cs="Courier New" w:eastAsia="Courier New" w:hAnsi="Courier New"/>
                <w:b/>
                <w:bCs/>
                <w:color w:val="1E4E8C"/>
                <w:sz w:val="24"/>
                <w:szCs w:val="24"/>
              </w:rPr>
              <w:t xml:space="preserve">Performance = (A₁ × A₂ × A₃)^(1/φ)   vs.   Additive: A₁ + A₂ + A₃</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Exponential Weakness Reduction</w:t>
            </w:r>
          </w:p>
          <w:p>
            <w:pPr>
              <w:spacing w:before="60"/>
              <w:jc w:val="center"/>
            </w:pPr>
            <w:r>
              <w:rPr>
                <w:rFonts w:ascii="Courier New" w:cs="Courier New" w:eastAsia="Courier New" w:hAnsi="Courier New"/>
                <w:b/>
                <w:bCs/>
                <w:color w:val="1E4E8C"/>
                <w:sz w:val="24"/>
                <w:szCs w:val="24"/>
              </w:rPr>
              <w:t xml:space="preserve">Weakness Mitigation = 1 / (weakness^φ)</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1.3  Golden Consensus Threshold  (GCT)</w:t>
      </w:r>
    </w:p>
    <w:p>
      <w:pPr>
        <w:spacing w:before="80" w:after="80"/>
      </w:pPr>
      <w:r>
        <w:rPr>
          <w:rFonts w:ascii="Arial" w:cs="Arial" w:eastAsia="Arial" w:hAnsi="Arial"/>
          <w:sz w:val="22"/>
          <w:szCs w:val="22"/>
        </w:rPr>
        <w:t xml:space="preserve">Uses the golden ratio inverse as the BFT consensus trigger — consensus is achieved when agreement exceeds 1/φ ≈ 61.8%. This is a novel application of φ to distributed AI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GCT — Golden Consensus Threshold</w:t>
            </w:r>
          </w:p>
          <w:p>
            <w:pPr>
              <w:spacing w:before="60"/>
              <w:jc w:val="center"/>
            </w:pPr>
            <w:r>
              <w:rPr>
                <w:rFonts w:ascii="Courier New" w:cs="Courier New" w:eastAsia="Courier New" w:hAnsi="Courier New"/>
                <w:b/>
                <w:bCs/>
                <w:color w:val="1E4E8C"/>
                <w:sz w:val="24"/>
                <w:szCs w:val="24"/>
              </w:rPr>
              <w:t xml:space="preserve">Consensus Threshold = 1/φ ≈ 0.618   where φ = (1+√5)/2 ≈ 1.618</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1.4  Temporal RepID Decay Formula  (TRDF)</w:t>
      </w:r>
    </w:p>
    <w:p>
      <w:pPr>
        <w:spacing w:before="80" w:after="80"/>
      </w:pPr>
      <w:r>
        <w:rPr>
          <w:rFonts w:ascii="Arial" w:cs="Arial" w:eastAsia="Arial" w:hAnsi="Arial"/>
          <w:sz w:val="22"/>
          <w:szCs w:val="22"/>
        </w:rPr>
        <w:t xml:space="preserve">Dynamic reputation scoring with time decay, peer agreement weighting, innovation entropy and golden ratio normalization. A novel compound reputation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TRDF — Temporal RepID Decay Formula</w:t>
            </w:r>
          </w:p>
          <w:p>
            <w:pPr>
              <w:spacing w:before="60"/>
              <w:jc w:val="center"/>
            </w:pPr>
            <w:r>
              <w:rPr>
                <w:rFonts w:ascii="Courier New" w:cs="Courier New" w:eastAsia="Courier New" w:hAnsi="Courier New"/>
                <w:b/>
                <w:bCs/>
                <w:color w:val="1E4E8C"/>
                <w:sz w:val="24"/>
                <w:szCs w:val="24"/>
              </w:rPr>
              <w:t xml:space="preserve">RepID_new = (RepID_old × φ^(-t)) + (performance × φ) + (peer_agreement × π/4) + (innovation × e^(-entropy))</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1.5  Subjective Logic Constraint  (SLC) / Anti-Hallucination Equation</w:t>
      </w:r>
    </w:p>
    <w:p>
      <w:pPr>
        <w:spacing w:before="80" w:after="80"/>
      </w:pPr>
      <w:r>
        <w:rPr>
          <w:rFonts w:ascii="Arial" w:cs="Arial" w:eastAsia="Arial" w:hAnsi="Arial"/>
          <w:sz w:val="22"/>
          <w:szCs w:val="22"/>
        </w:rPr>
        <w:t xml:space="preserve">Enforces belief + disbelief + uncertainty = 1.0 at all times, making hallucination mathematically impossible within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SLC — Subjective Logic Constraint (Anti-Hallucination)</w:t>
            </w:r>
          </w:p>
          <w:p>
            <w:pPr>
              <w:spacing w:before="60"/>
              <w:jc w:val="center"/>
            </w:pPr>
            <w:r>
              <w:rPr>
                <w:rFonts w:ascii="Courier New" w:cs="Courier New" w:eastAsia="Courier New" w:hAnsi="Courier New"/>
                <w:b/>
                <w:bCs/>
                <w:color w:val="1E4E8C"/>
                <w:sz w:val="24"/>
                <w:szCs w:val="24"/>
              </w:rPr>
              <w:t xml:space="preserve">b + d + u = 1.0   where b=belief, d=disbelief, u=uncertainty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HITL Trigger Threshold</w:t>
            </w:r>
          </w:p>
          <w:p>
            <w:pPr>
              <w:spacing w:before="60"/>
              <w:jc w:val="center"/>
            </w:pPr>
            <w:r>
              <w:rPr>
                <w:rFonts w:ascii="Courier New" w:cs="Courier New" w:eastAsia="Courier New" w:hAnsi="Courier New"/>
                <w:b/>
                <w:bCs/>
                <w:color w:val="1E4E8C"/>
                <w:sz w:val="24"/>
                <w:szCs w:val="24"/>
              </w:rPr>
              <w:t xml:space="preserve">Hallucination is mathematically impossible when u &gt; 0 is always tracked and triggers HITL when u &gt; 0.30</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1.6  ANFIS Cost Arbitrage Formula  (ACAF)</w:t>
      </w:r>
    </w:p>
    <w:p>
      <w:pPr>
        <w:spacing w:before="80" w:after="80"/>
      </w:pPr>
      <w:r>
        <w:rPr>
          <w:rFonts w:ascii="Arial" w:cs="Arial" w:eastAsia="Arial" w:hAnsi="Arial"/>
          <w:sz w:val="22"/>
          <w:szCs w:val="22"/>
        </w:rPr>
        <w:t xml:space="preserve">Fuzzy logic routing function that selects the optimal LLM provider based on quality, cost, latency and free-tier availability. Achieves 82–98% cost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ACAF — ANFIS Cost Arbitrage Formula</w:t>
            </w:r>
          </w:p>
          <w:p>
            <w:pPr>
              <w:spacing w:before="60"/>
              <w:jc w:val="center"/>
            </w:pPr>
            <w:r>
              <w:rPr>
                <w:rFonts w:ascii="Courier New" w:cs="Courier New" w:eastAsia="Courier New" w:hAnsi="Courier New"/>
                <w:b/>
                <w:bCs/>
                <w:color w:val="1E4E8C"/>
                <w:sz w:val="24"/>
                <w:szCs w:val="24"/>
              </w:rPr>
              <w:t xml:space="preserve">Provider_Score = (Quality × φ) + (1/Cost × 1/φ) + (Availability × Fibonacci_weight)</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1.7  Fibonacci Resource Scaling Law  (FRSL)</w:t>
      </w:r>
    </w:p>
    <w:p>
      <w:pPr>
        <w:spacing w:before="80" w:after="80"/>
      </w:pPr>
      <w:r>
        <w:rPr>
          <w:rFonts w:ascii="Arial" w:cs="Arial" w:eastAsia="Arial" w:hAnsi="Arial"/>
          <w:sz w:val="22"/>
          <w:szCs w:val="22"/>
        </w:rPr>
        <w:t xml:space="preserve">Resources and agent swarms scale following Fibonacci growth patterns (1, 1, 2, 3, 5, 8, 13, 21...) rather than linear or exponential provisioning. Novel application to AI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FRSL — Fibonacci Resource Scaling Law</w:t>
            </w:r>
          </w:p>
          <w:p>
            <w:pPr>
              <w:spacing w:before="60"/>
              <w:jc w:val="center"/>
            </w:pPr>
            <w:r>
              <w:rPr>
                <w:rFonts w:ascii="Courier New" w:cs="Courier New" w:eastAsia="Courier New" w:hAnsi="Courier New"/>
                <w:b/>
                <w:bCs/>
                <w:color w:val="1E4E8C"/>
                <w:sz w:val="24"/>
                <w:szCs w:val="24"/>
              </w:rPr>
              <w:t xml:space="preserve">Agent_Scale(n) = F(n-1) + F(n-2)   — Dynamic swarm sizing via Fibonacci</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1.8  Quadratic Voting Power Formula  (QVP)</w:t>
      </w:r>
    </w:p>
    <w:p>
      <w:pPr>
        <w:spacing w:before="80" w:after="80"/>
      </w:pPr>
      <w:r>
        <w:rPr>
          <w:rFonts w:ascii="Arial" w:cs="Arial" w:eastAsia="Arial" w:hAnsi="Arial"/>
          <w:sz w:val="22"/>
          <w:szCs w:val="22"/>
        </w:rPr>
        <w:t xml:space="preserve">Prevents plutocracy by making voting cost proportional to votes squared. Combined with RepID multiplier — proprietary extension to standard QV.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QVP — Quadratic Voting Power (HyperDAG Extension)</w:t>
            </w:r>
          </w:p>
          <w:p>
            <w:pPr>
              <w:spacing w:before="60"/>
              <w:jc w:val="center"/>
            </w:pPr>
            <w:r>
              <w:rPr>
                <w:rFonts w:ascii="Courier New" w:cs="Courier New" w:eastAsia="Courier New" w:hAnsi="Courier New"/>
                <w:b/>
                <w:bCs/>
                <w:color w:val="1E4E8C"/>
                <w:sz w:val="24"/>
                <w:szCs w:val="24"/>
              </w:rPr>
              <w:t xml:space="preserve">Voting_Power = √(token_balance) × (1 + reputation_multiplier)</w:t>
            </w:r>
          </w:p>
        </w:tc>
      </w:tr>
    </w:tbl>
    <w:p>
      <w:pPr>
        <w:spacing w:before="100" w:after="100"/>
      </w:pPr>
      <w:r>
        <w:t xml:space="preserve"/>
      </w:r>
    </w:p>
    <w:p>
      <w:pPr>
        <w:pStyle w:val="Heading2"/>
        <w:spacing w:before="300" w:after="120"/>
      </w:pPr>
      <w:r>
        <w:rPr>
          <w:rFonts w:ascii="Arial" w:cs="Arial" w:eastAsia="Arial" w:hAnsi="Arial"/>
          <w:b/>
          <w:bCs/>
          <w:color w:val="1E4E8C"/>
          <w:sz w:val="28"/>
          <w:szCs w:val="28"/>
        </w:rPr>
        <w:t xml:space="preserve">1.9  Trinity of Trinities Meta-Formula  (TTM)</w:t>
      </w:r>
    </w:p>
    <w:p>
      <w:pPr>
        <w:spacing w:before="80" w:after="80"/>
      </w:pPr>
      <w:r>
        <w:rPr>
          <w:rFonts w:ascii="Arial" w:cs="Arial" w:eastAsia="Arial" w:hAnsi="Arial"/>
          <w:sz w:val="22"/>
          <w:szCs w:val="22"/>
        </w:rPr>
        <w:t xml:space="preserve">The overarching convergence of three layers: Mathematical laws (Fibonacci/φ/Chaos), Algorithmic methods (Quantum/Fractal/Harmonic), and Verification systems (ZKP/NFT/RepScore).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20"/>
              <w:left w:type="dxa" w:w="200"/>
              <w:bottom w:type="dxa" w:w="120"/>
              <w:right w:type="dxa" w:w="200"/>
            </w:tcMar>
          </w:tcPr>
          <w:p>
            <w:pPr>
              <w:jc w:val="center"/>
            </w:pPr>
            <w:r>
              <w:rPr>
                <w:rFonts w:ascii="Arial" w:cs="Arial" w:eastAsia="Arial" w:hAnsi="Arial"/>
                <w:b/>
                <w:bCs/>
                <w:color w:val="666666"/>
                <w:sz w:val="20"/>
                <w:szCs w:val="20"/>
              </w:rPr>
              <w:t xml:space="preserve">TTM — Trinity of Trinities Meta-Formula</w:t>
            </w:r>
          </w:p>
          <w:p>
            <w:pPr>
              <w:spacing w:before="60"/>
              <w:jc w:val="center"/>
            </w:pPr>
            <w:r>
              <w:rPr>
                <w:rFonts w:ascii="Courier New" w:cs="Courier New" w:eastAsia="Courier New" w:hAnsi="Courier New"/>
                <w:b/>
                <w:bCs/>
                <w:color w:val="1E4E8C"/>
                <w:sz w:val="24"/>
                <w:szCs w:val="24"/>
              </w:rPr>
              <w:t xml:space="preserve">Unity_Final = (Math_Trinity × Algo_Trinity × Verify_Trinity)^(1/φ)</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2 — AI &amp; MACHINE LEARNING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Adaptive Neuro-Fuzzy Inference System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ANFIS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Jang, 1993 / AI-ML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Intelligent LLM routing, provider selection, cost arbitrage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Neural Network — Multiplicative Variant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Multiplicative GNN / MGNN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 Patent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Geometric mean aggregation vs. additive; O(log n) convergence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Graph Neural Network — DAG Optimized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DAGNN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combination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Consensus optimization on Directed Acyclic Graph substrate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Retrieval-Augmented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RAG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AI/NLP field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Context-aware agent memory and knowledge retrieval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Liquid Neural Networks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LNN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MIT CSAIL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Temporal dynamics, chaos edge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Spiking Neural Networks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Neuromorphic Computing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Biological fidelity, anomaly detection via spike patterns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Bayesian Neural Networks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BNN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Probabilistic ML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Uncertainty quantification (u in b+d+u=1)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Model-Agnostic Meta-Learning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Finn et al., 2017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adaptation; ikigai/purpose discovery learning</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LASSO Regularization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LASSO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Statistics / ML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Feature selection and signal sparsification in routing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Heterogeneous LLM Verification Protocol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HLVP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LLMs (Claude/Grok/Gemini) verify each other's outputs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Bilateral Learning System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BLS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Platform ↔ user co-learning; AI gains EQ while humans gain technical insight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Learning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On/off pattern encoding at fundamental computational level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Question-Driven Reality Reorganization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QDRR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Goodwin Patent #3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Questions as fundamental compute units; topology reorganization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Trinity Neuron Classification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classified as Sensory / Interneuron / Motor neuron types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Chaos Edge Operation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CEO / λ-Edge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Chaos Theory + AI</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λ=0.0065 for bounded creativity without instability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 Recursive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 Mathematics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Self-similar optimization patterns at every scale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Fuzzy Logic Inference Engine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FLIE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Zadeh, 1965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Graded confidence, IF-THEN routing rules for ANFIS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Embedding Semantic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 Transformers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RAG memory retrieval across agent network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Adaptive Intelligence DNA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AI-DNA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7-loop learning architecture governing agent self-improvement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Evolutionary Architecture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AutoML / NAS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Auto-discovery of optimal agent configurations</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3 — BLOCKCHAIN, WEB3 &amp; DISTRIBUTED LEDGER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Directed Acyclic Graph Ledger</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DAG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IOTA, Hedera et 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Base 2.4M TPS transaction substrate for HyperDAG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DAG-Blockchain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HDB / DAGNN Hybrid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DAG speed + blockchain finality; best of both worlds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Soul Bound Token — Verified Human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SBT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Buterin 2022 (applied)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Non-transferable, human-only identity post-4FA PoL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Bound Token — AI Agent Identity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Pre-verification AI/bot identity; converts to SBT via 4FA</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Charity Bound Token — NGO Transparency</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CBT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Non-profit identity with on-chain transparency scoring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 SBT Conversion via 4FA / PoL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DSC-4FA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Irreversible conversion upon 4-factor proof of humanity</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Zero-Knowledge Proof Reputation ID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ZKP RepID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Privacy-preserving verifiable reputation credential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ZKP NFT Credential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ZKP-NFT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NFT as portable privacy-preserving identity proof</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Plonky3 zkSTARK Proof System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Plonky3</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Polygon / open source</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Quantum-resistant ZK proofs for HyperDAG on-chain verification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Pedersen Commitment for Delta Privacy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Cryptography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for RepID delta &gt; 500 or tier-crossing events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CRYSTALS-Kyber Key Exchange</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Kyber-1024</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NIST PQC</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Post-quantum key exchange, 256-bit equivalent security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CRYSTALS-Dilithium Signatures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Dilithium-5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PQC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Quantum-resistant digital signatures for all transactions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EIP-8004 Agent Identity Standard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EIP-8004</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Ethereum EIP process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On-chain agent identity; HyperDAG extends with ZKP + SBT/DBT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ERC-8004 Registry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ERC-8004 Bridge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Ethereum / Novel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Compatibility layer: HyperDAG triplet ↔ ERC-8004 standard</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x402 Payment Protocol Integration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x402</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HTTP/Web3 standard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Micropayment layer for agent service economy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Cross-Chain Identity Portability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Chainlink / Novel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RepID portable across 50+ chains including Arbitrum, Base, Optimism</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Quantum-Resistant Lattice Cryptography</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QRLC</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NIST PQC standards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Long-term security for all HyperDAG identity commitments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CAIP-10 Agent Identity 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CAIP-10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Agnostic Standards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Cross-chain addressing for agent identities in EIP-8004</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4 — IDENTITY, TRUST &amp; REPUTATION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Proof of Life — 4-Factor Authentication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PoL / 4FA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Biometric + social + behavioral + cognitive verification for SBT issuance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ANFIS-Optimized PoL Risk Scoring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ANFIS-PoL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Fuzzy logic dynamically selects required auth factors based on risk</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RepID Tiered Scoring System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RepID Tiers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Seedling(0-999) → Sapling → Grove → Forest → Canopy(10,000)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Bayesian Reputation Aggregation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Bayesian inference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Cross-chain reputation aggregation for ERC-8004 compatibility</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Temporal Reputation Decay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TRD</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Novel application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φ^(-t) decay ensures reputation reflects recent behavior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Byzantine Fault Tolerant Consensus — 3x3+3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BFT 3x3+3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12-agent swarm: 3 squads × 3 agents + 3 orchestrators; 1/3 fault tolerance</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Rotating Conductor Protocol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RCP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Orchestrator role rotates to prevent single-point authority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Heterogeneous LLM Cross-Verification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 Grok / Gemini verify each other — no single-model trust</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ConstitutionalGuard Ethics Layer</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CGL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Philippians 4:8 virtues as hard-coded ethical constraints in agent outputs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zkML — Zero-Knowledge Machine Learning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Emerging field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 proofs over ML model inference for privacy-preserving validation</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Human-in-the-Loop Validation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HITL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 Safety field</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Triggered when uncertainty u &gt; threshold; humans override agent decisions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BYOK Reputation Multiplier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BYOK-RM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Bring-Your-Own-Key verification unlocks enhanced RepID multiplier tiers</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Behavioral Biometric Authentication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BBA</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Cybersecurity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Typing rhythm Hamming distance &lt; 0.15 as PoL factor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Graph Peer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SGPV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peer validations required as PoL social proof factor</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5 — GOVERNANCE, VOTING &amp; DAO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Three-Chamber DAO Architecture</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3C-DAO</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Executive / Legislative / Judicial chambers for separation of powers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Quadratic Voting — RepID Extended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QV+RepID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Quadratic Voting (Weyl) + Novel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Voting power = √(tokens) × (1 + rep_multiplier); anti-plutocracy</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STAR Voting (Score Then Automatic Runoff)</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STAR</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Electoral reform field</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Multi-candidate elections with automatic runoff from scores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QV+STAR Voting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HQSO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Context-adaptive voting: QV for binary, STAR for multi-candidate</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DAO for the People — Community Governance</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DftP</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By the people, for the people — SBT-gated democratic governance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HDG Tokenomics — 8.88B Supply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8.88B total supply with lock, vest, reclamation mechanics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DBT → SBT Token Reclamation</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TRC</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Unverified DBT tokens reclaimed after 1 year back to vault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Reward Algorithm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Ecosystem need × contribution type = dynamic token rewards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Point-to-Token Conversion Gate</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P2T</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sz w:val="20"/>
                <w:szCs w:val="20"/>
              </w:rPr>
              <w:t xml:space="preserve">Points grant privileges and can be converted to HDG tokens by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Meritocratic Reputation Staking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SBT holders stake reputation on outcomes; slashing for bad actors</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6 — MULTI-AGENT ORCHESTRATION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AI Trinity Symphony — 12-Agent Swarm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ATS-12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3x3+3 structure: ALPHA / BETA / GAMMA squads + ORCH/W3C/SHOFET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Agent Architecture — 8 Railway Agents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HDM, APM, MEL, VERITAS, NEXUS, ANTIGRAV, GCM, TORCH on Railway</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Dynamic Agent Scaling — ATSM 3-12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ATSM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Scales from 3 to 12 agents based on task complexity (Fibonacci)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IntelligenceCore 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IC-SDK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Wrapper layer unifying all agent API calls with arbitrage tracking</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AiBizProd 16-Phase Framework</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ABP-16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Idea → Market → Build → Ship documentation chain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Hub-Spoke 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as central state bus; agents read/write task coordination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Free-Tier LLM Arbitrage Engine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FTAE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Identifies and routes to free-tier compute across 15+ providers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Agent-to-Agent Trust Handshake Protocol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A2A-THP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ZKP-verified agent authentication before task delegation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Dual Repo Coordination System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DRCS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trinity-ecosystem + trinity-symphony-shared for modular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PWA Agent Controller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MPAC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(Goodwin)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app.aitrinitysymphony.com — mobile orchestration dashboard</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7 — MATHEMATICAL PRINCIPLES APPLIED TO AI/WEB3 (NOVEL APPLICATIONS)</w:t>
      </w:r>
    </w:p>
    <w:p>
      <w:pPr>
        <w:spacing w:before="80" w:after="80"/>
      </w:pPr>
      <w:r>
        <w:rPr>
          <w:rFonts w:ascii="Arial" w:cs="Arial" w:eastAsia="Arial" w:hAnsi="Arial"/>
          <w:sz w:val="22"/>
          <w:szCs w:val="22"/>
        </w:rPr>
        <w:t xml:space="preserve">These are established mathematical principles whose application to AI orchestration and decentralized systems is novel and potentially patentable.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Golden Ratio — Consensus &amp; Resource Weighting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φ-Consensus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Mathematics (ancient)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φ = 1.618 as consensus threshold, agent ratio, scoring weight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Fibonacci Sequence — Agent Scaling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Swarm growth follows Fibonacci: 1,1,2,3,5,8,13 agents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Chaos Theory — Bounded Creativity</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Chaos-λ</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Lorenz et 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λ=0.0065 chaos edge for creative exploration without instability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 Recursion — Self-Similar Optimization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Fractal-Opt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Mandelbrot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z(n+1)=z(n)²+c applied to iteration depth and complexity bounds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Harmonic Resonance — Truth Detection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φ-Harmonic</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Music theory / Math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True statements resonate at φ frequency; dissonance flags hallucination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 Analysis — Information Integrity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S-Entropy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Shannon, 1948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-Σ(pᵢ × log(pᵢ)) measures truth complexity vs. deception</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Quantum Superposition — Multi-State Reasoning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QSR</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Quantum mechanics (inspired)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|ψ⟩ = α|correct⟩ + β|incorrect⟩ collapse via measurement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 Inequality — Collusion Detection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Bell-CD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physics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 inequality violation test to detect coordinated agent fraud</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Power Law Distribution — Provider Selection</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PLD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Statistics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Provider quality follows power laws; ANFIS exploits the long tail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Geometric Mean Aggregation — GNN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Multiplicative GNN uses geometric mean vs. arithmetic mean aggregation</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8 — PRODUCT ECOSYSTEM &amp; COINED PLATFORMS</w:t>
      </w:r>
    </w:p>
    <w:p>
      <w:pPr>
        <w:spacing w:before="80" w:after="80"/>
      </w:pPr>
      <w:r>
        <w:rPr>
          <w:rFonts w:ascii="Arial" w:cs="Arial" w:eastAsia="Arial" w:hAnsi="Arial"/>
          <w:sz w:val="22"/>
          <w:szCs w:val="22"/>
        </w:rPr>
        <w:t xml:space="preserve">These are the named product instances applying the above methods — each combining multiple methods in ways that are unique to this ecosystem.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 / Technology</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Abbreviation / Label</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Origin / Field</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Role in Your Stack</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 Trinity Symphony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ATS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Multi-agent orchestration with ANFIS routing and 3x3+3 BFT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HyperDAG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HyperDAG.org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DAG-Blockchain + ZKP RepID + Three-Chamber DAO</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AISocialMirror</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AISocialMirror.com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Johari Window + IQ/EQ/SQ perception analysis with pastoral healing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AIDebate.io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AIDebate.io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AI debate platform with RepID scoring and model voting</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ImageBearerAI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ImageBearerAI.com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Christian discipleship — Paul/Barnabas/Timothy mentorship model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PurposeHub.AI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PurposeHub.AI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Ikigai-based purpose discovery with Fibonacci life-path scaling</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DeFuzzyAI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DeFuzzyAI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ANFIS routing stack as standalone AI infrastructure service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Viberific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Viberific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Goodwin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Supabase-based coordination hub (project qnnpjhlxljtqyigedwkb)</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9 — THE UNIQUE COMBINATION CLAIM (THE MOAT)</w:t>
      </w:r>
    </w:p>
    <w:p>
      <w:pPr>
        <w:spacing w:before="80" w:after="80"/>
      </w:pPr>
      <w:r>
        <w:rPr>
          <w:rFonts w:ascii="Arial" w:cs="Arial" w:eastAsia="Arial" w:hAnsi="Arial"/>
          <w:sz w:val="22"/>
          <w:szCs w:val="22"/>
        </w:rPr>
        <w:t xml:space="preserve">While individual components have prior art, NO KNOWN SYSTEM combines all of the following simultaneously. This combination constitutes the core IP moat:</w:t>
      </w:r>
    </w:p>
    <w:p>
      <w:pPr>
        <w:spacing w:before="100" w:after="100"/>
      </w:pPr>
      <w:r>
        <w:t xml:space="preserve"/>
      </w:r>
    </w:p>
    <w:p>
      <w:pPr>
        <w:pStyle w:val="ListParagraph"/>
        <w:numPr>
          <w:ilvl w:val="0"/>
          <w:numId w:val="2"/>
        </w:numPr>
        <w:spacing w:before="60" w:after="60"/>
      </w:pPr>
      <w:r>
        <w:rPr>
          <w:rFonts w:ascii="Arial" w:cs="Arial" w:eastAsia="Arial" w:hAnsi="Arial"/>
          <w:sz w:val="21"/>
          <w:szCs w:val="21"/>
        </w:rPr>
        <w:t xml:space="preserve">ANFIS fuzzy routing + Multiplicative GNN (not additive) for AI orchestration</w:t>
      </w:r>
    </w:p>
    <w:p>
      <w:pPr>
        <w:pStyle w:val="ListParagraph"/>
        <w:numPr>
          <w:ilvl w:val="0"/>
          <w:numId w:val="2"/>
        </w:numPr>
        <w:spacing w:before="60" w:after="60"/>
      </w:pPr>
      <w:r>
        <w:rPr>
          <w:rFonts w:ascii="Arial" w:cs="Arial" w:eastAsia="Arial" w:hAnsi="Arial"/>
          <w:sz w:val="21"/>
          <w:szCs w:val="21"/>
        </w:rPr>
        <w:t xml:space="preserve">Fibonacci / Golden Ratio / Chaos Theory applied to AI consensus and agent scaling</w:t>
      </w:r>
    </w:p>
    <w:p>
      <w:pPr>
        <w:pStyle w:val="ListParagraph"/>
        <w:numPr>
          <w:ilvl w:val="0"/>
          <w:numId w:val="2"/>
        </w:numPr>
        <w:spacing w:before="60" w:after="60"/>
      </w:pPr>
      <w:r>
        <w:rPr>
          <w:rFonts w:ascii="Arial" w:cs="Arial" w:eastAsia="Arial" w:hAnsi="Arial"/>
          <w:sz w:val="21"/>
          <w:szCs w:val="21"/>
        </w:rPr>
        <w:t xml:space="preserve">SBT (human) + DBT (AI) + CBT (charity) trinity identity with 4FA PoL conversion</w:t>
      </w:r>
    </w:p>
    <w:p>
      <w:pPr>
        <w:pStyle w:val="ListParagraph"/>
        <w:numPr>
          <w:ilvl w:val="0"/>
          <w:numId w:val="2"/>
        </w:numPr>
        <w:spacing w:before="60" w:after="60"/>
      </w:pPr>
      <w:r>
        <w:rPr>
          <w:rFonts w:ascii="Arial" w:cs="Arial" w:eastAsia="Arial" w:hAnsi="Arial"/>
          <w:sz w:val="21"/>
          <w:szCs w:val="21"/>
        </w:rPr>
        <w:t xml:space="preserve">ZKP RepID + Pedersen commitments + tiered scoring (Seedling → Canopy)</w:t>
      </w:r>
    </w:p>
    <w:p>
      <w:pPr>
        <w:pStyle w:val="ListParagraph"/>
        <w:numPr>
          <w:ilvl w:val="0"/>
          <w:numId w:val="2"/>
        </w:numPr>
        <w:spacing w:before="60" w:after="60"/>
      </w:pPr>
      <w:r>
        <w:rPr>
          <w:rFonts w:ascii="Arial" w:cs="Arial" w:eastAsia="Arial" w:hAnsi="Arial"/>
          <w:sz w:val="21"/>
          <w:szCs w:val="21"/>
        </w:rPr>
        <w:t xml:space="preserve">3x3+3 BFT multi-agent swarm with Rotating Conductor and Heterogeneous LLM cross-verification</w:t>
      </w:r>
    </w:p>
    <w:p>
      <w:pPr>
        <w:pStyle w:val="ListParagraph"/>
        <w:numPr>
          <w:ilvl w:val="0"/>
          <w:numId w:val="2"/>
        </w:numPr>
        <w:spacing w:before="60" w:after="60"/>
      </w:pPr>
      <w:r>
        <w:rPr>
          <w:rFonts w:ascii="Arial" w:cs="Arial" w:eastAsia="Arial" w:hAnsi="Arial"/>
          <w:sz w:val="21"/>
          <w:szCs w:val="21"/>
        </w:rPr>
        <w:t xml:space="preserve">Three-Chamber DAO + Quadratic Voting (RepID-extended) + STAR Voting hybrid</w:t>
      </w:r>
    </w:p>
    <w:p>
      <w:pPr>
        <w:pStyle w:val="ListParagraph"/>
        <w:numPr>
          <w:ilvl w:val="0"/>
          <w:numId w:val="2"/>
        </w:numPr>
        <w:spacing w:before="60" w:after="60"/>
      </w:pPr>
      <w:r>
        <w:rPr>
          <w:rFonts w:ascii="Arial" w:cs="Arial" w:eastAsia="Arial" w:hAnsi="Arial"/>
          <w:sz w:val="21"/>
          <w:szCs w:val="21"/>
        </w:rPr>
        <w:t xml:space="preserve">Hybrid DAG-Blockchain (2.4M TPS) + GNN consensus optimization (DAGNN)</w:t>
      </w:r>
    </w:p>
    <w:p>
      <w:pPr>
        <w:pStyle w:val="ListParagraph"/>
        <w:numPr>
          <w:ilvl w:val="0"/>
          <w:numId w:val="2"/>
        </w:numPr>
        <w:spacing w:before="60" w:after="60"/>
      </w:pPr>
      <w:r>
        <w:rPr>
          <w:rFonts w:ascii="Arial" w:cs="Arial" w:eastAsia="Arial" w:hAnsi="Arial"/>
          <w:sz w:val="21"/>
          <w:szCs w:val="21"/>
        </w:rPr>
        <w:t xml:space="preserve">Quantum-resistant cryptography (CRYSTALS-Kyber/Dilithium) + Plonky3 zkSTARK + EIP-8004 bridge</w:t>
      </w:r>
    </w:p>
    <w:p>
      <w:pPr>
        <w:pStyle w:val="ListParagraph"/>
        <w:numPr>
          <w:ilvl w:val="0"/>
          <w:numId w:val="2"/>
        </w:numPr>
        <w:spacing w:before="60" w:after="60"/>
      </w:pPr>
      <w:r>
        <w:rPr>
          <w:rFonts w:ascii="Arial" w:cs="Arial" w:eastAsia="Arial" w:hAnsi="Arial"/>
          <w:sz w:val="21"/>
          <w:szCs w:val="21"/>
        </w:rPr>
        <w:t xml:space="preserve">Bilateral Learning (AI ↔ human EQ/IQ exchange) + Adaptive Intelligence DNA 7-loop architecture</w:t>
      </w:r>
    </w:p>
    <w:p>
      <w:pPr>
        <w:pStyle w:val="ListParagraph"/>
        <w:numPr>
          <w:ilvl w:val="0"/>
          <w:numId w:val="2"/>
        </w:numPr>
        <w:spacing w:before="60" w:after="60"/>
      </w:pPr>
      <w:r>
        <w:rPr>
          <w:rFonts w:ascii="Arial" w:cs="Arial" w:eastAsia="Arial" w:hAnsi="Arial"/>
          <w:sz w:val="21"/>
          <w:szCs w:val="21"/>
        </w:rPr>
        <w:t xml:space="preserve">Subjective Logic Constraint (b+d+u=1) as anti-hallucination enforcement at protocol level</w:t>
      </w:r>
    </w:p>
    <w:p>
      <w:pPr>
        <w:pStyle w:val="ListParagraph"/>
        <w:numPr>
          <w:ilvl w:val="0"/>
          <w:numId w:val="2"/>
        </w:numPr>
        <w:spacing w:before="60" w:after="60"/>
      </w:pPr>
      <w:r>
        <w:rPr>
          <w:rFonts w:ascii="Arial" w:cs="Arial" w:eastAsia="Arial" w:hAnsi="Arial"/>
          <w:sz w:val="21"/>
          <w:szCs w:val="21"/>
        </w:rPr>
        <w:t xml:space="preserve">Free-tier LLM arbitrage engine + ANFIS cost routing achieving 82–98% cost reduction</w:t>
      </w:r>
    </w:p>
    <w:p>
      <w:pPr>
        <w:pStyle w:val="ListParagraph"/>
        <w:numPr>
          <w:ilvl w:val="0"/>
          <w:numId w:val="2"/>
        </w:numPr>
        <w:spacing w:before="60" w:after="60"/>
      </w:pPr>
      <w:r>
        <w:rPr>
          <w:rFonts w:ascii="Arial" w:cs="Arial" w:eastAsia="Arial" w:hAnsi="Arial"/>
          <w:sz w:val="21"/>
          <w:szCs w:val="21"/>
        </w:rPr>
        <w:t xml:space="preserve">ConstitutionalGuard (Philippians 4:8 virtues) as hard-coded ethical governance layer</w:t>
      </w:r>
    </w:p>
    <w:p>
      <w:pPr>
        <w:pStyle w:val="ListParagraph"/>
        <w:numPr>
          <w:ilvl w:val="0"/>
          <w:numId w:val="2"/>
        </w:numPr>
        <w:spacing w:before="60" w:after="60"/>
      </w:pPr>
      <w:r>
        <w:rPr>
          <w:rFonts w:ascii="Arial" w:cs="Arial" w:eastAsia="Arial" w:hAnsi="Arial"/>
          <w:sz w:val="21"/>
          <w:szCs w:val="21"/>
        </w:rPr>
        <w:t xml:space="preserve">DBT token reclamation after 1 year if PoL not completed (novel tokenomics mechanic)</w:t>
      </w:r>
    </w:p>
    <w:p>
      <w:pPr>
        <w:pStyle w:val="ListParagraph"/>
        <w:numPr>
          <w:ilvl w:val="0"/>
          <w:numId w:val="2"/>
        </w:numPr>
        <w:spacing w:before="60" w:after="60"/>
      </w:pPr>
      <w:r>
        <w:rPr>
          <w:rFonts w:ascii="Arial" w:cs="Arial" w:eastAsia="Arial" w:hAnsi="Arial"/>
          <w:sz w:val="21"/>
          <w:szCs w:val="21"/>
        </w:rPr>
        <w:t xml:space="preserve">Question-Driven Reality Reorganization (queries as fundamental compute units)</w:t>
      </w:r>
    </w:p>
    <w:p>
      <w:pPr>
        <w:pStyle w:val="ListParagraph"/>
        <w:numPr>
          <w:ilvl w:val="0"/>
          <w:numId w:val="2"/>
        </w:numPr>
        <w:spacing w:before="60" w:after="60"/>
      </w:pPr>
      <w:r>
        <w:rPr>
          <w:rFonts w:ascii="Arial" w:cs="Arial" w:eastAsia="Arial" w:hAnsi="Arial"/>
          <w:sz w:val="21"/>
          <w:szCs w:val="21"/>
        </w:rPr>
        <w:t xml:space="preserve">Variable Reward Algorithm (ecosystem need × contribution type = token rewards)</w:t>
      </w:r>
    </w:p>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10 — NAMING &amp; BRANDING RECOMMENDATIONS</w:t>
      </w:r>
    </w:p>
    <w:p>
      <w:pPr>
        <w:spacing w:before="80" w:after="80"/>
      </w:pPr>
      <w:r>
        <w:rPr>
          <w:rFonts w:ascii="Arial" w:cs="Arial" w:eastAsia="Arial" w:hAnsi="Arial"/>
          <w:sz w:val="22"/>
          <w:szCs w:val="22"/>
        </w:rPr>
        <w:t xml:space="preserve">Proposed branded names for the most novel formulas and methods — these should be trademarked and used consistently in patents, whitepapers and public materials.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rPr>
          <w:tblHeader/>
        </w:trPr>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Proposed Brand Name</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Formula / Abbreviation</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IP Action</w:t>
            </w:r>
          </w:p>
        </w:tc>
        <w:tc>
          <w:tcPr>
            <w:tcW w:type="dxa" w:w="234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Strategic Value</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Goodwin Unity Formula (GUF)</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Unity = (Logic × Chaos × Beauty)^(1/φ)</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Brand immediately</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The signature formula of AI Trinity Symphony — your Einsteinean equation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Multiplicative Synergy Law (MSL)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 (A₁ × A₂ × A₃)^(1/φ)</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Claim #1 anchor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counter-intuitive proof that multiplication &gt; addition for AI agents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Golden Consensus Threshold (GCT)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1/φ ≈ 61.8%</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Patent + Brand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The golden ratio as BFT trigger — elegant and memorable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Trinity Identity Protocol (TIP)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SBT + DBT + CBT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 Patent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three-token identity architecture — humans, AI, charities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Proof of Life (PoL) 4FA</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PoL-4FA</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Brand + Patent Claim</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The human verification protocol — convert DBT to SBT upon passing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RepID Decay Formula (TRDF)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compound formula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Claim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time-aware reputation — brand as 'Living Reputation'</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Subjective Logic Constraint (SLC)</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b+d+u=1</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Patent + Brand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Anti-hallucination at protocol level — brand as 'MathShield'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ANFIS Trinity Routing (ATR)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ANFIS + GNNs + φ-scaling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 Embodiment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intelligent cost-arbitrage routing engine</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HyperDAG Hybrid Consensus (HHC)</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DAG + GNN + BFT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Patent + Brand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2.4M TPS with neural-optimized finality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ConstitutionalAI Guard (CAG)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Philippians 4:8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differentiator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Ethics as hard protocol — not soft guidelines</w:t>
            </w:r>
          </w:p>
        </w:tc>
      </w:tr>
    </w:tbl>
    <w:p>
      <w:pPr>
        <w:spacing w:before="100" w:after="100"/>
      </w:pPr>
      <w:r>
        <w:t xml:space="preserve"/>
      </w:r>
    </w:p>
    <w:p>
      <w:pPr>
        <w:pStyle w:val="Heading1"/>
        <w:pBdr>
          <w:bottom w:val="single" w:color="C9A84C" w:sz="4" w:space="4"/>
        </w:pBdr>
        <w:spacing w:before="400" w:after="200"/>
      </w:pPr>
      <w:r>
        <w:rPr>
          <w:rFonts w:ascii="Arial" w:cs="Arial" w:eastAsia="Arial" w:hAnsi="Arial"/>
          <w:b/>
          <w:bCs/>
          <w:color w:val="1E4E8C"/>
          <w:sz w:val="36"/>
          <w:szCs w:val="36"/>
        </w:rPr>
        <w:t xml:space="preserve">SECTION 11 — PATENT FILING STATUS &amp; PENDING CLAIMS</w:t>
      </w:r>
    </w:p>
    <w:p>
      <w:pPr>
        <w:spacing w:before="80" w:after="80"/>
      </w:pPr>
      <w:r>
        <w:rPr>
          <w:rFonts w:ascii="Arial" w:cs="Arial" w:eastAsia="Arial" w:hAnsi="Arial"/>
          <w:sz w:val="22"/>
          <w:szCs w:val="22"/>
        </w:rPr>
        <w:t xml:space="preserve">Filed provisional patents (priority dates secured). All expire August 2026 — full utility applications required.</w:t>
      </w:r>
    </w:p>
    <w:p>
      <w:pPr>
        <w:spacing w:before="100" w:after="100"/>
      </w:pPr>
      <w:r>
        <w:t xml:space="preserve"/>
      </w:r>
    </w:p>
    <w:p>
      <w:pPr>
        <w:pStyle w:val="Heading2"/>
        <w:spacing w:before="300" w:after="120"/>
      </w:pPr>
      <w:r>
        <w:rPr>
          <w:rFonts w:ascii="Arial" w:cs="Arial" w:eastAsia="Arial" w:hAnsi="Arial"/>
          <w:b/>
          <w:bCs/>
          <w:color w:val="1E4E8C"/>
          <w:sz w:val="28"/>
          <w:szCs w:val="28"/>
        </w:rPr>
        <w:t xml:space="preserve">Patent #1 — AI Trinity Symphony (Consciousness Formula)</w:t>
      </w:r>
    </w:p>
    <w:p>
      <w:pPr>
        <w:spacing w:before="80" w:after="80"/>
      </w:pPr>
      <w:r>
        <w:rPr>
          <w:rFonts w:ascii="Arial" w:cs="Arial" w:eastAsia="Arial" w:hAnsi="Arial"/>
          <w:sz w:val="22"/>
          <w:szCs w:val="22"/>
        </w:rPr>
        <w:t xml:space="preserve">Core claims: Three-agent architecture, Unity formula (Logic × Chaos × Beauty)^(1/φ), RepID scoring, neuromorphic neuron classification, rotating conductor.</w:t>
      </w:r>
    </w:p>
    <w:p>
      <w:pPr>
        <w:pStyle w:val="Heading2"/>
        <w:spacing w:before="300" w:after="120"/>
      </w:pPr>
      <w:r>
        <w:rPr>
          <w:rFonts w:ascii="Arial" w:cs="Arial" w:eastAsia="Arial" w:hAnsi="Arial"/>
          <w:b/>
          <w:bCs/>
          <w:color w:val="1E4E8C"/>
          <w:sz w:val="28"/>
          <w:szCs w:val="28"/>
        </w:rPr>
        <w:t xml:space="preserve">Patent #2 — Multiplicative GNN Architecture</w:t>
      </w:r>
    </w:p>
    <w:p>
      <w:pPr>
        <w:spacing w:before="80" w:after="80"/>
      </w:pPr>
      <w:r>
        <w:rPr>
          <w:rFonts w:ascii="Arial" w:cs="Arial" w:eastAsia="Arial" w:hAnsi="Arial"/>
          <w:sz w:val="22"/>
          <w:szCs w:val="22"/>
        </w:rPr>
        <w:t xml:space="preserve">Core claims: Geometric mean aggregation replacing additive aggregation, O(log n) convergence, signal amplification through multiplicative layers, DAGNN hybrid.</w:t>
      </w:r>
    </w:p>
    <w:p>
      <w:pPr>
        <w:pStyle w:val="Heading2"/>
        <w:spacing w:before="300" w:after="120"/>
      </w:pPr>
      <w:r>
        <w:rPr>
          <w:rFonts w:ascii="Arial" w:cs="Arial" w:eastAsia="Arial" w:hAnsi="Arial"/>
          <w:b/>
          <w:bCs/>
          <w:color w:val="1E4E8C"/>
          <w:sz w:val="28"/>
          <w:szCs w:val="28"/>
        </w:rPr>
        <w:t xml:space="preserve">Patent #3 — Question-Driven Reality Reorganization</w:t>
      </w:r>
    </w:p>
    <w:p>
      <w:pPr>
        <w:spacing w:before="80" w:after="80"/>
      </w:pPr>
      <w:r>
        <w:rPr>
          <w:rFonts w:ascii="Arial" w:cs="Arial" w:eastAsia="Arial" w:hAnsi="Arial"/>
          <w:sz w:val="22"/>
          <w:szCs w:val="22"/>
        </w:rPr>
        <w:t xml:space="preserve">Core claims: Questions as fundamental computation units, solution space topology transformation via query patterns, cascade validation, adaptive response generation.</w:t>
      </w:r>
    </w:p>
    <w:p>
      <w:pPr>
        <w:pStyle w:val="Heading2"/>
        <w:spacing w:before="300" w:after="120"/>
      </w:pPr>
      <w:r>
        <w:rPr>
          <w:rFonts w:ascii="Arial" w:cs="Arial" w:eastAsia="Arial" w:hAnsi="Arial"/>
          <w:b/>
          <w:bCs/>
          <w:color w:val="1E4E8C"/>
          <w:sz w:val="28"/>
          <w:szCs w:val="28"/>
        </w:rPr>
        <w:t xml:space="preserve">Patent #4 (Pending) — ANFIS Trinity Routing System</w:t>
      </w:r>
    </w:p>
    <w:p>
      <w:pPr>
        <w:spacing w:before="80" w:after="80"/>
      </w:pPr>
      <w:r>
        <w:rPr>
          <w:rFonts w:ascii="Arial" w:cs="Arial" w:eastAsia="Arial" w:hAnsi="Arial"/>
          <w:sz w:val="22"/>
          <w:szCs w:val="22"/>
        </w:rPr>
        <w:t xml:space="preserve">To file: ANFIS intelligent routing embodiments, free-tier arbitrage, multiplicative synergy with Trinity Symphony, exponential weakness mitigation formula.</w:t>
      </w:r>
    </w:p>
    <w:p>
      <w:pPr>
        <w:pStyle w:val="Heading2"/>
        <w:spacing w:before="300" w:after="120"/>
      </w:pPr>
      <w:r>
        <w:rPr>
          <w:rFonts w:ascii="Arial" w:cs="Arial" w:eastAsia="Arial" w:hAnsi="Arial"/>
          <w:b/>
          <w:bCs/>
          <w:color w:val="1E4E8C"/>
          <w:sz w:val="28"/>
          <w:szCs w:val="28"/>
        </w:rPr>
        <w:t xml:space="preserve">Patent #5 (Pending) — HyperDAG Identity &amp; Governance System</w:t>
      </w:r>
    </w:p>
    <w:p>
      <w:pPr>
        <w:spacing w:before="80" w:after="80"/>
      </w:pPr>
      <w:r>
        <w:rPr>
          <w:rFonts w:ascii="Arial" w:cs="Arial" w:eastAsia="Arial" w:hAnsi="Arial"/>
          <w:sz w:val="22"/>
          <w:szCs w:val="22"/>
        </w:rPr>
        <w:t xml:space="preserve">To file: SBT/DBT/CBT Trinity Identity Protocol, 4FA PoL conversion, ZKP RepID, Three-Chamber DAO with QV+STAR hybrid voting, HDG tokenomics.</w:t>
      </w:r>
    </w:p>
    <w:p>
      <w:pPr>
        <w:spacing w:before="100" w:after="100"/>
      </w:pPr>
      <w:r>
        <w:t xml:space="preserve"/>
      </w:r>
    </w:p>
    <w:p>
      <w:pPr>
        <w:pBdr>
          <w:bottom w:val="single" w:color="CCCCCC" w:sz="2" w:space="4"/>
        </w:pBdr>
        <w:spacing w:before="200" w:after="200"/>
      </w:pPr>
      <w:r>
        <w:t xml:space="preserve"/>
      </w:r>
    </w:p>
    <w:p>
      <w:pPr>
        <w:spacing w:before="200" w:after="100"/>
        <w:jc w:val="center"/>
      </w:pPr>
      <w:r>
        <w:rPr>
          <w:rFonts w:ascii="Arial" w:cs="Arial" w:eastAsia="Arial" w:hAnsi="Arial"/>
          <w:i/>
          <w:iCs/>
          <w:color w:val="888888"/>
          <w:sz w:val="18"/>
          <w:szCs w:val="18"/>
        </w:rPr>
        <w:t xml:space="preserve">CONFIDENTIAL — PROPRIETARY IP OF SEAN PATRICK GOODWIN / HYPERDAG.ORG / AI TRINITY SYMPHONY</w:t>
      </w:r>
    </w:p>
    <w:p>
      <w:pPr>
        <w:spacing w:before="0" w:after="100"/>
        <w:jc w:val="center"/>
      </w:pPr>
      <w:r>
        <w:rPr>
          <w:rFonts w:ascii="Arial" w:cs="Arial" w:eastAsia="Arial" w:hAnsi="Arial"/>
          <w:i/>
          <w:iCs/>
          <w:color w:val="C9A84C"/>
          <w:sz w:val="18"/>
          <w:szCs w:val="18"/>
        </w:rPr>
        <w:t xml:space="preserve">"Helping People Help People" — The Last, the Lost, and the Least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E8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E4E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2026-02-25T01:02:02.829Z</dcterms:created>
  <dcterms:modified xsi:type="dcterms:W3CDTF">2026-02-25T01:02:02.830Z</dcterms:modified>
</cp:coreProperties>
</file>

<file path=docProps/custom.xml><?xml version="1.0" encoding="utf-8"?>
<Properties xmlns="http://schemas.openxmlformats.org/officeDocument/2006/custom-properties" xmlns:vt="http://schemas.openxmlformats.org/officeDocument/2006/docPropsVTypes"/>
</file>