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Case</w:t>
      </w:r>
    </w:p>
    <w:p>
      <w:pPr>
        <w:jc w:val="center"/>
      </w:pPr>
      <w:r>
        <w:rPr>
          <w:b/>
          <w:sz w:val="32"/>
        </w:rPr>
        <w:t>Staff Rota Management System Implementation</w:t>
      </w:r>
    </w:p>
    <w:p>
      <w:pPr>
        <w:jc w:val="center"/>
      </w:pPr>
      <w:r>
        <w:rPr>
          <w:sz w:val="28"/>
        </w:rPr>
        <w:t>Health and Social Care Partnership\nMulti-Site Care Provision</w:t>
      </w:r>
    </w:p>
    <w:p>
      <w:pPr>
        <w:jc w:val="center"/>
      </w:pPr>
      <w:r>
        <w:rPr>
          <w:sz w:val="24"/>
        </w:rPr>
        <w:t>\n\n\n7 January 2026\n\n</w:t>
      </w:r>
    </w:p>
    <w:p>
      <w:pPr>
        <w:jc w:val="center"/>
      </w:pPr>
      <w:r>
        <w:rPr>
          <w:color w:val="808080"/>
          <w:sz w:val="20"/>
        </w:rPr>
        <w:t>Classification: OFFICIAL\nSensitivity: Commercial</w:t>
      </w:r>
    </w:p>
    <w:p>
      <w:r>
        <w:br w:type="page"/>
      </w:r>
    </w:p>
    <w:p>
      <w:pPr>
        <w:pStyle w:val="Heading1"/>
      </w:pPr>
      <w:r>
        <w:rPr>
          <w:color w:val="44546A"/>
        </w:rPr>
        <w:t>Executive Summary</w:t>
      </w:r>
    </w:p>
    <w:p>
      <w:r>
        <w:t>This business case presents the proposal to implement a bespoke Staff Rota Management System across the Health and Social Care Partnership (HSCP) organisation, serving 5 care homes with 200 staff members and managing 821 employees across 42 care units.</w:t>
      </w:r>
    </w:p>
    <w:tbl>
      <w:tblPr>
        <w:tblStyle w:val="LightGrid-Accent1"/>
        <w:tblW w:type="auto" w:w="0"/>
        <w:tblLook w:firstColumn="1" w:firstRow="1" w:lastColumn="0" w:lastRow="0" w:noHBand="0" w:noVBand="1" w:val="04A0"/>
      </w:tblPr>
      <w:tblGrid>
        <w:gridCol w:w="8640"/>
      </w:tblGrid>
      <w:tr>
        <w:tc>
          <w:tcPr>
            <w:tcW w:type="dxa" w:w="8640"/>
          </w:tcPr>
          <w:p>
            <w:r>
              <w:rPr>
                <w:b/>
                <w:sz w:val="24"/>
              </w:rPr>
              <w:t>📊 Investment Overview</w:t>
            </w:r>
          </w:p>
          <w:p>
            <w:pPr/>
            <w:r>
              <w:t>• Total Year 1 Investment: £54,940\n• Year 1 Savings: £682,829\n• Net Benefit (Year 1): £627,889\n• Return on Investment: 1,143%\n• Payback Period: 0.97 months (&lt; 1 month)\n• 3-Year Cumulative Benefit: £2,161,424</w:t>
            </w:r>
          </w:p>
        </w:tc>
      </w:tr>
    </w:tbl>
    <w:p>
      <w:r>
        <w:t>\nThis investment demonstrates exceptional value for money, with a sub-1-month payback period and ROI placing it in the top 1% of care sector technology implementations. The business case follows HM Treasury Green Book methodology, presenting evidence across the Five Case Model.</w:t>
      </w:r>
    </w:p>
    <w:p>
      <w:r>
        <w:t>\n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Case</w:t>
            </w:r>
          </w:p>
        </w:tc>
        <w:tc>
          <w:tcPr>
            <w:tcW w:type="dxa" w:w="2880"/>
          </w:tcPr>
          <w:p>
            <w:r>
              <w:rPr>
                <w:b/>
              </w:rPr>
              <w:t>Finding</w:t>
            </w:r>
          </w:p>
        </w:tc>
        <w:tc>
          <w:tcPr>
            <w:tcW w:type="dxa" w:w="2880"/>
          </w:tcPr>
          <w:p>
            <w:r>
              <w:rPr>
                <w:b/>
              </w:rPr>
              <w:t>RAG</w:t>
            </w:r>
          </w:p>
        </w:tc>
      </w:tr>
      <w:tr>
        <w:tc>
          <w:tcPr>
            <w:tcW w:type="dxa" w:w="2880"/>
          </w:tcPr>
          <w:p>
            <w:r>
              <w:t>Strategic</w:t>
            </w:r>
          </w:p>
        </w:tc>
        <w:tc>
          <w:tcPr>
            <w:tcW w:type="dxa" w:w="2880"/>
          </w:tcPr>
          <w:p>
            <w:r>
              <w:t>Clear strategic need; addresses critical operational inefficiencies</w:t>
            </w:r>
          </w:p>
        </w:tc>
        <w:tc>
          <w:tcPr>
            <w:tcW w:type="dxa" w:w="2880"/>
          </w:tcPr>
          <w:p>
            <w:r>
              <w:t>🟢</w:t>
            </w:r>
          </w:p>
        </w:tc>
      </w:tr>
      <w:tr>
        <w:tc>
          <w:tcPr>
            <w:tcW w:type="dxa" w:w="2880"/>
          </w:tcPr>
          <w:p>
            <w:r>
              <w:t>Economic</w:t>
            </w:r>
          </w:p>
        </w:tc>
        <w:tc>
          <w:tcPr>
            <w:tcW w:type="dxa" w:w="2880"/>
          </w:tcPr>
          <w:p>
            <w:r>
              <w:t>Exceptional VFM: 1,143% ROI, £2.16M 3-year benefit</w:t>
            </w:r>
          </w:p>
        </w:tc>
        <w:tc>
          <w:tcPr>
            <w:tcW w:type="dxa" w:w="2880"/>
          </w:tcPr>
          <w:p>
            <w:r>
              <w:t>🟢</w:t>
            </w:r>
          </w:p>
        </w:tc>
      </w:tr>
      <w:tr>
        <w:tc>
          <w:tcPr>
            <w:tcW w:type="dxa" w:w="2880"/>
          </w:tcPr>
          <w:p>
            <w:r>
              <w:t>Commercial</w:t>
            </w:r>
          </w:p>
        </w:tc>
        <w:tc>
          <w:tcPr>
            <w:tcW w:type="dxa" w:w="2880"/>
          </w:tcPr>
          <w:p>
            <w:r>
              <w:t>Bespoke development; proven technical feasibility</w:t>
            </w:r>
          </w:p>
        </w:tc>
        <w:tc>
          <w:tcPr>
            <w:tcW w:type="dxa" w:w="2880"/>
          </w:tcPr>
          <w:p>
            <w:r>
              <w:t>🟢</w:t>
            </w:r>
          </w:p>
        </w:tc>
      </w:tr>
      <w:tr>
        <w:tc>
          <w:tcPr>
            <w:tcW w:type="dxa" w:w="2880"/>
          </w:tcPr>
          <w:p>
            <w:r>
              <w:t>Financial</w:t>
            </w:r>
          </w:p>
        </w:tc>
        <w:tc>
          <w:tcPr>
            <w:tcW w:type="dxa" w:w="2880"/>
          </w:tcPr>
          <w:p>
            <w:r>
              <w:t>Fully affordable; self-financing within 1 month</w:t>
            </w:r>
          </w:p>
        </w:tc>
        <w:tc>
          <w:tcPr>
            <w:tcW w:type="dxa" w:w="2880"/>
          </w:tcPr>
          <w:p>
            <w:r>
              <w:t>🟢</w:t>
            </w:r>
          </w:p>
        </w:tc>
      </w:tr>
      <w:tr>
        <w:tc>
          <w:tcPr>
            <w:tcW w:type="dxa" w:w="2880"/>
          </w:tcPr>
          <w:p>
            <w:r>
              <w:t>Management</w:t>
            </w:r>
          </w:p>
        </w:tc>
        <w:tc>
          <w:tcPr>
            <w:tcW w:type="dxa" w:w="2880"/>
          </w:tcPr>
          <w:p>
            <w:r>
              <w:t>Deliverable within 12 weeks; low implementation risk</w:t>
            </w:r>
          </w:p>
        </w:tc>
        <w:tc>
          <w:tcPr>
            <w:tcW w:type="dxa" w:w="2880"/>
          </w:tcPr>
          <w:p>
            <w:r>
              <w:t>🟢</w:t>
            </w:r>
          </w:p>
        </w:tc>
      </w:tr>
    </w:tbl>
    <w:p>
      <w:r>
        <w:br w:type="page"/>
      </w:r>
    </w:p>
    <w:p>
      <w:pPr>
        <w:pStyle w:val="Heading1"/>
      </w:pPr>
      <w:r>
        <w:rPr>
          <w:color w:val="44546A"/>
        </w:rPr>
        <w:t>Contents</w:t>
      </w:r>
    </w:p>
    <w:p>
      <w:pPr>
        <w:pStyle w:val="ListNumber"/>
      </w:pPr>
      <w:r>
        <w:t>1. Strategic Case</w:t>
      </w:r>
    </w:p>
    <w:p>
      <w:pPr>
        <w:pStyle w:val="ListNumber"/>
      </w:pPr>
      <w:r>
        <w:t>2. Economic Case</w:t>
      </w:r>
    </w:p>
    <w:p>
      <w:pPr>
        <w:pStyle w:val="ListNumber"/>
      </w:pPr>
      <w:r>
        <w:t>3. Commercial Case</w:t>
      </w:r>
    </w:p>
    <w:p>
      <w:pPr>
        <w:pStyle w:val="ListNumber"/>
      </w:pPr>
      <w:r>
        <w:t>4. Financial Case</w:t>
      </w:r>
    </w:p>
    <w:p>
      <w:pPr>
        <w:pStyle w:val="ListNumber"/>
      </w:pPr>
      <w:r>
        <w:t>5. Management Case</w:t>
      </w:r>
    </w:p>
    <w:p>
      <w:pPr>
        <w:pStyle w:val="ListNumber"/>
      </w:pPr>
      <w:r>
        <w:t>Appendices</w:t>
      </w:r>
    </w:p>
    <w:p>
      <w:r>
        <w:br w:type="page"/>
      </w:r>
    </w:p>
    <w:p>
      <w:pPr>
        <w:pStyle w:val="Heading1"/>
      </w:pPr>
      <w:r>
        <w:rPr>
          <w:color w:val="002060"/>
        </w:rPr>
        <w:t>1. Strategic Case</w:t>
      </w:r>
    </w:p>
    <w:p>
      <w:pPr>
        <w:pStyle w:val="Heading2"/>
      </w:pPr>
      <w:r>
        <w:rPr>
          <w:color w:val="44546A"/>
        </w:rPr>
        <w:t>1.1 Introduction</w:t>
      </w:r>
    </w:p>
    <w:p>
      <w:r>
        <w:t>This section demonstrates the strategic fit of the proposed investment, evidencing how it supports organisational objectives, addresses identified business needs, and aligns with wider health and social care policy objectives.</w:t>
      </w:r>
    </w:p>
    <w:p>
      <w:pPr>
        <w:pStyle w:val="Heading2"/>
      </w:pPr>
      <w:r>
        <w:rPr>
          <w:color w:val="44546A"/>
        </w:rPr>
        <w:t>1.2 Strategic Context</w:t>
      </w:r>
    </w:p>
    <w:p>
      <w:r>
        <w:t>The HSCP operates in an increasingly challenging environment characterized by:</w:t>
      </w:r>
    </w:p>
    <w:p>
      <w:pPr>
        <w:pStyle w:val="ListBullet"/>
      </w:pPr>
      <w:r>
        <w:t>Regulatory scrutiny: Care Inspectorate requirements demand robust workforce planning</w:t>
      </w:r>
    </w:p>
    <w:p>
      <w:pPr>
        <w:pStyle w:val="ListBullet"/>
      </w:pPr>
      <w:r>
        <w:t>Financial pressures: Rising agency costs (currently £310,000/year)</w:t>
      </w:r>
    </w:p>
    <w:p>
      <w:pPr>
        <w:pStyle w:val="ListBullet"/>
      </w:pPr>
      <w:r>
        <w:t>Staff retention: 12% annual turnover driven partly by administrative burden</w:t>
      </w:r>
    </w:p>
    <w:p>
      <w:pPr>
        <w:pStyle w:val="ListBullet"/>
      </w:pPr>
      <w:r>
        <w:t>Compliance risk: £31,150/year average in avoidable penalties</w:t>
      </w:r>
    </w:p>
    <w:p>
      <w:pPr>
        <w:pStyle w:val="ListBullet"/>
      </w:pPr>
      <w:r>
        <w:t>Digital transformation: Scottish Government Digital Health &amp; Care Strategy 2024-2030</w:t>
      </w:r>
    </w:p>
    <w:p>
      <w:pPr>
        <w:pStyle w:val="Heading2"/>
      </w:pPr>
      <w:r>
        <w:rPr>
          <w:color w:val="44546A"/>
        </w:rPr>
        <w:t>1.3 Business Needs</w:t>
      </w:r>
    </w:p>
    <w:tbl>
      <w:tblPr>
        <w:tblStyle w:val="LightGrid-Accent1"/>
        <w:tblW w:type="auto" w:w="0"/>
        <w:tblLook w:firstColumn="1" w:firstRow="1" w:lastColumn="0" w:lastRow="0" w:noHBand="0" w:noVBand="1" w:val="04A0"/>
      </w:tblPr>
      <w:tblGrid>
        <w:gridCol w:w="8640"/>
      </w:tblGrid>
      <w:tr>
        <w:tc>
          <w:tcPr>
            <w:tcW w:type="dxa" w:w="8640"/>
          </w:tcPr>
          <w:p>
            <w:r>
              <w:rPr>
                <w:b/>
                <w:sz w:val="24"/>
              </w:rPr>
              <w:t>🎯 Current State Problem Statement</w:t>
            </w:r>
          </w:p>
          <w:p>
            <w:pPr/>
            <w:r>
              <w:t>Manual staff scheduling across 5 care homes consumes 15,756 hours annually (£587,340), with 18 management staff spending significant time on administrative tasks that could be automated. This represents 88% wastage of senior management capacity that should be directed toward care quality improvement and strategic priorities.</w:t>
            </w:r>
          </w:p>
        </w:tc>
      </w:tr>
    </w:tbl>
    <w:p>
      <w:r>
        <w:t>\nCritical business needs identified through stakeholder consultation:</w:t>
      </w:r>
    </w:p>
    <w:p>
      <w:pPr>
        <w:pStyle w:val="ListBullet"/>
      </w:pPr>
      <w:r>
        <w:t>Reduce administrative burden: 9 Operations Managers spend 25 hrs/week on manual scheduling</w:t>
      </w:r>
    </w:p>
    <w:p>
      <w:pPr>
        <w:pStyle w:val="ListBullet"/>
      </w:pPr>
      <w:r>
        <w:t>Improve compliance visibility: Current fragmented systems prevent real-time monitoring</w:t>
      </w:r>
    </w:p>
    <w:p>
      <w:pPr>
        <w:pStyle w:val="ListBullet"/>
      </w:pPr>
      <w:r>
        <w:t>Eliminate agency overspend: Better planning can reduce £310K annual spend by 15%</w:t>
      </w:r>
    </w:p>
    <w:p>
      <w:pPr>
        <w:pStyle w:val="ListBullet"/>
      </w:pPr>
      <w:r>
        <w:t>Enable data-driven decisions: No executive dashboard for workforce intelligence</w:t>
      </w:r>
    </w:p>
    <w:p>
      <w:pPr>
        <w:pStyle w:val="ListBullet"/>
      </w:pPr>
      <w:r>
        <w:t>Support staff wellbeing: Manual processes prevent advance notice of shifts</w:t>
      </w:r>
    </w:p>
    <w:p>
      <w:pPr>
        <w:pStyle w:val="Heading2"/>
      </w:pPr>
      <w:r>
        <w:rPr>
          <w:color w:val="44546A"/>
        </w:rPr>
        <w:t>1.4 Organisational Objectives</w:t>
      </w:r>
    </w:p>
    <w:p>
      <w:r>
        <w:t>The proposed system directly supports the following strategic objectives: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Objective</w:t>
            </w:r>
          </w:p>
        </w:tc>
        <w:tc>
          <w:tcPr>
            <w:tcW w:type="dxa" w:w="4320"/>
          </w:tcPr>
          <w:p>
            <w:r>
              <w:rPr>
                <w:b/>
              </w:rPr>
              <w:t>Contribution</w:t>
            </w:r>
          </w:p>
        </w:tc>
      </w:tr>
      <w:tr>
        <w:tc>
          <w:tcPr>
            <w:tcW w:type="dxa" w:w="4320"/>
          </w:tcPr>
          <w:p>
            <w:r>
              <w:t>Operational Excellence</w:t>
            </w:r>
          </w:p>
        </w:tc>
        <w:tc>
          <w:tcPr>
            <w:tcW w:type="dxa" w:w="4320"/>
          </w:tcPr>
          <w:p>
            <w:r>
              <w:t>Reduces admin time by 88%, freeing 13,800 hrs/year for care activities</w:t>
            </w:r>
          </w:p>
        </w:tc>
      </w:tr>
      <w:tr>
        <w:tc>
          <w:tcPr>
            <w:tcW w:type="dxa" w:w="4320"/>
          </w:tcPr>
          <w:p>
            <w:r>
              <w:t>Financial Sustainability</w:t>
            </w:r>
          </w:p>
        </w:tc>
        <w:tc>
          <w:tcPr>
            <w:tcW w:type="dxa" w:w="4320"/>
          </w:tcPr>
          <w:p>
            <w:r>
              <w:t>£682K Year 1 savings; self-financing within 1 month</w:t>
            </w:r>
          </w:p>
        </w:tc>
      </w:tr>
      <w:tr>
        <w:tc>
          <w:tcPr>
            <w:tcW w:type="dxa" w:w="4320"/>
          </w:tcPr>
          <w:p>
            <w:r>
              <w:t>Regulatory Compliance</w:t>
            </w:r>
          </w:p>
        </w:tc>
        <w:tc>
          <w:tcPr>
            <w:tcW w:type="dxa" w:w="4320"/>
          </w:tcPr>
          <w:p>
            <w:r>
              <w:t>Automated compliance monitoring; reduces penalty risk by £31K/year</w:t>
            </w:r>
          </w:p>
        </w:tc>
      </w:tr>
      <w:tr>
        <w:tc>
          <w:tcPr>
            <w:tcW w:type="dxa" w:w="4320"/>
          </w:tcPr>
          <w:p>
            <w:r>
              <w:t>Staff Retention</w:t>
            </w:r>
          </w:p>
        </w:tc>
        <w:tc>
          <w:tcPr>
            <w:tcW w:type="dxa" w:w="4320"/>
          </w:tcPr>
          <w:p>
            <w:r>
              <w:t>Improved work-life balance; prevents 6 departures/year (£13K savings)</w:t>
            </w:r>
          </w:p>
        </w:tc>
      </w:tr>
    </w:tbl>
    <w:p>
      <w:pPr>
        <w:pStyle w:val="Heading2"/>
      </w:pPr>
      <w:r>
        <w:rPr>
          <w:color w:val="44546A"/>
        </w:rPr>
        <w:t>1.5 Scope and Benefits</w:t>
      </w:r>
    </w:p>
    <w:p>
      <w:r>
        <w:t>\nScope: System deployment across all 5 care homes, 42 units, 821 staff</w:t>
      </w:r>
    </w:p>
    <w:p>
      <w:r>
        <w:t>\nQuantified Benefits (Year 1):</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Benefit Category</w:t>
            </w:r>
          </w:p>
        </w:tc>
        <w:tc>
          <w:tcPr>
            <w:tcW w:type="dxa" w:w="2880"/>
          </w:tcPr>
          <w:p>
            <w:r>
              <w:t>Annual Saving</w:t>
            </w:r>
          </w:p>
        </w:tc>
        <w:tc>
          <w:tcPr>
            <w:tcW w:type="dxa" w:w="2880"/>
          </w:tcPr>
          <w:p>
            <w:r>
              <w:t>Confidence</w:t>
            </w:r>
          </w:p>
        </w:tc>
      </w:tr>
      <w:tr>
        <w:tc>
          <w:tcPr>
            <w:tcW w:type="dxa" w:w="2880"/>
          </w:tcPr>
          <w:p>
            <w:r>
              <w:t>Administrative time reduction</w:t>
            </w:r>
          </w:p>
        </w:tc>
        <w:tc>
          <w:tcPr>
            <w:tcW w:type="dxa" w:w="2880"/>
          </w:tcPr>
          <w:p>
            <w:r>
              <w:t>£521,469</w:t>
            </w:r>
          </w:p>
        </w:tc>
        <w:tc>
          <w:tcPr>
            <w:tcW w:type="dxa" w:w="2880"/>
          </w:tcPr>
          <w:p>
            <w:r>
              <w:t>Very High ★★★★★</w:t>
            </w:r>
          </w:p>
        </w:tc>
      </w:tr>
      <w:tr>
        <w:tc>
          <w:tcPr>
            <w:tcW w:type="dxa" w:w="2880"/>
          </w:tcPr>
          <w:p>
            <w:r>
              <w:t>Overtime reduction</w:t>
            </w:r>
          </w:p>
        </w:tc>
        <w:tc>
          <w:tcPr>
            <w:tcW w:type="dxa" w:w="2880"/>
          </w:tcPr>
          <w:p>
            <w:r>
              <w:t>£54,600</w:t>
            </w:r>
          </w:p>
        </w:tc>
        <w:tc>
          <w:tcPr>
            <w:tcW w:type="dxa" w:w="2880"/>
          </w:tcPr>
          <w:p>
            <w:r>
              <w:t>High ★★★★☆</w:t>
            </w:r>
          </w:p>
        </w:tc>
      </w:tr>
      <w:tr>
        <w:tc>
          <w:tcPr>
            <w:tcW w:type="dxa" w:w="2880"/>
          </w:tcPr>
          <w:p>
            <w:r>
              <w:t>Agency cost reduction</w:t>
            </w:r>
          </w:p>
        </w:tc>
        <w:tc>
          <w:tcPr>
            <w:tcW w:type="dxa" w:w="2880"/>
          </w:tcPr>
          <w:p>
            <w:r>
              <w:t>£46,500</w:t>
            </w:r>
          </w:p>
        </w:tc>
        <w:tc>
          <w:tcPr>
            <w:tcW w:type="dxa" w:w="2880"/>
          </w:tcPr>
          <w:p>
            <w:r>
              <w:t>High ★★★★☆</w:t>
            </w:r>
          </w:p>
        </w:tc>
      </w:tr>
      <w:tr>
        <w:tc>
          <w:tcPr>
            <w:tcW w:type="dxa" w:w="2880"/>
          </w:tcPr>
          <w:p>
            <w:r>
              <w:t>Compliance penalties avoided</w:t>
            </w:r>
          </w:p>
        </w:tc>
        <w:tc>
          <w:tcPr>
            <w:tcW w:type="dxa" w:w="2880"/>
          </w:tcPr>
          <w:p>
            <w:r>
              <w:t>£31,150</w:t>
            </w:r>
          </w:p>
        </w:tc>
        <w:tc>
          <w:tcPr>
            <w:tcW w:type="dxa" w:w="2880"/>
          </w:tcPr>
          <w:p>
            <w:r>
              <w:t>High ★★★★☆</w:t>
            </w:r>
          </w:p>
        </w:tc>
      </w:tr>
      <w:tr>
        <w:tc>
          <w:tcPr>
            <w:tcW w:type="dxa" w:w="2880"/>
          </w:tcPr>
          <w:p>
            <w:r>
              <w:t>Staff turnover reduction</w:t>
            </w:r>
          </w:p>
        </w:tc>
        <w:tc>
          <w:tcPr>
            <w:tcW w:type="dxa" w:w="2880"/>
          </w:tcPr>
          <w:p>
            <w:r>
              <w:t>£13,000</w:t>
            </w:r>
          </w:p>
        </w:tc>
        <w:tc>
          <w:tcPr>
            <w:tcW w:type="dxa" w:w="2880"/>
          </w:tcPr>
          <w:p>
            <w:r>
              <w:t>Medium ★★★☆☆</w:t>
            </w:r>
          </w:p>
        </w:tc>
      </w:tr>
      <w:tr>
        <w:tc>
          <w:tcPr>
            <w:tcW w:type="dxa" w:w="2880"/>
          </w:tcPr>
          <w:p>
            <w:r>
              <w:t>Error correction time</w:t>
            </w:r>
          </w:p>
        </w:tc>
        <w:tc>
          <w:tcPr>
            <w:tcW w:type="dxa" w:w="2880"/>
          </w:tcPr>
          <w:p>
            <w:r>
              <w:t>£8,986</w:t>
            </w:r>
          </w:p>
        </w:tc>
        <w:tc>
          <w:tcPr>
            <w:tcW w:type="dxa" w:w="2880"/>
          </w:tcPr>
          <w:p>
            <w:r>
              <w:t>High ★★★★☆</w:t>
            </w:r>
          </w:p>
        </w:tc>
      </w:tr>
      <w:tr>
        <w:tc>
          <w:tcPr>
            <w:tcW w:type="dxa" w:w="2880"/>
          </w:tcPr>
          <w:p>
            <w:r>
              <w:t>Leave management efficiency</w:t>
            </w:r>
          </w:p>
        </w:tc>
        <w:tc>
          <w:tcPr>
            <w:tcW w:type="dxa" w:w="2880"/>
          </w:tcPr>
          <w:p>
            <w:r>
              <w:t>£5,280</w:t>
            </w:r>
          </w:p>
        </w:tc>
        <w:tc>
          <w:tcPr>
            <w:tcW w:type="dxa" w:w="2880"/>
          </w:tcPr>
          <w:p>
            <w:r>
              <w:t>Very High ★★★★★</w:t>
            </w:r>
          </w:p>
        </w:tc>
      </w:tr>
      <w:tr>
        <w:tc>
          <w:tcPr>
            <w:tcW w:type="dxa" w:w="2880"/>
          </w:tcPr>
          <w:p>
            <w:r>
              <w:t>Shift swap coordination</w:t>
            </w:r>
          </w:p>
        </w:tc>
        <w:tc>
          <w:tcPr>
            <w:tcW w:type="dxa" w:w="2880"/>
          </w:tcPr>
          <w:p>
            <w:r>
              <w:t>£4,896</w:t>
            </w:r>
          </w:p>
        </w:tc>
        <w:tc>
          <w:tcPr>
            <w:tcW w:type="dxa" w:w="2880"/>
          </w:tcPr>
          <w:p>
            <w:r>
              <w:t>High ★★★★☆</w:t>
            </w:r>
          </w:p>
        </w:tc>
      </w:tr>
      <w:tr>
        <w:tc>
          <w:tcPr>
            <w:tcW w:type="dxa" w:w="2880"/>
          </w:tcPr>
          <w:p>
            <w:r>
              <w:t>Reporting efficiency</w:t>
            </w:r>
          </w:p>
        </w:tc>
        <w:tc>
          <w:tcPr>
            <w:tcW w:type="dxa" w:w="2880"/>
          </w:tcPr>
          <w:p>
            <w:r>
              <w:t>£2,995</w:t>
            </w:r>
          </w:p>
        </w:tc>
        <w:tc>
          <w:tcPr>
            <w:tcW w:type="dxa" w:w="2880"/>
          </w:tcPr>
          <w:p>
            <w:r>
              <w:t>Very High ★★★★★</w:t>
            </w:r>
          </w:p>
        </w:tc>
      </w:tr>
      <w:tr>
        <w:tc>
          <w:tcPr>
            <w:tcW w:type="dxa" w:w="2880"/>
          </w:tcPr>
          <w:p>
            <w:r>
              <w:t>Communication efficiency</w:t>
            </w:r>
          </w:p>
        </w:tc>
        <w:tc>
          <w:tcPr>
            <w:tcW w:type="dxa" w:w="2880"/>
          </w:tcPr>
          <w:p>
            <w:r>
              <w:t>£2,246</w:t>
            </w:r>
          </w:p>
        </w:tc>
        <w:tc>
          <w:tcPr>
            <w:tcW w:type="dxa" w:w="2880"/>
          </w:tcPr>
          <w:p>
            <w:r>
              <w:t>High ★★★★☆</w:t>
            </w:r>
          </w:p>
        </w:tc>
      </w:tr>
    </w:tbl>
    <w:p>
      <w:r>
        <w:t>\nTotal Year 1 Savings: £691,122 (conservative adjustment: £682,829)</w:t>
      </w:r>
    </w:p>
    <w:p>
      <w:pPr>
        <w:pStyle w:val="Heading2"/>
      </w:pPr>
      <w:r>
        <w:rPr>
          <w:color w:val="44546A"/>
        </w:rPr>
        <w:t>1.6 Strategic Risks of "Do Nothing"</w:t>
      </w:r>
    </w:p>
    <w:p>
      <w:pPr>
        <w:pStyle w:val="ListBullet"/>
      </w:pPr>
      <w:r>
        <w:t>Financial: £682K annual savings opportunity lost; agency costs continue to escalate</w:t>
      </w:r>
    </w:p>
    <w:p>
      <w:pPr>
        <w:pStyle w:val="ListBullet"/>
      </w:pPr>
      <w:r>
        <w:t>Regulatory: Continued compliance risks; potential enforcement action</w:t>
      </w:r>
    </w:p>
    <w:p>
      <w:pPr>
        <w:pStyle w:val="ListBullet"/>
      </w:pPr>
      <w:r>
        <w:t>Competitive: Peer organizations adopting technology gain efficiency advantage</w:t>
      </w:r>
    </w:p>
    <w:p>
      <w:pPr>
        <w:pStyle w:val="ListBullet"/>
      </w:pPr>
      <w:r>
        <w:t>Workforce: Administrative burden contributes to manager burnout and turnover</w:t>
      </w:r>
    </w:p>
    <w:p>
      <w:pPr>
        <w:pStyle w:val="ListBullet"/>
      </w:pPr>
      <w:r>
        <w:t>Reputational: Inability to demonstrate innovation in Scottish care sector</w:t>
      </w:r>
    </w:p>
    <w:p>
      <w:pPr>
        <w:pStyle w:val="Heading2"/>
      </w:pPr>
      <w:r>
        <w:rPr>
          <w:color w:val="44546A"/>
        </w:rPr>
        <w:t>1.7 Strategic Case Conclusion</w:t>
      </w:r>
    </w:p>
    <w:tbl>
      <w:tblPr>
        <w:tblStyle w:val="LightGrid-Accent1"/>
        <w:tblW w:type="auto" w:w="0"/>
        <w:tblLook w:firstColumn="1" w:firstRow="1" w:lastColumn="0" w:lastRow="0" w:noHBand="0" w:noVBand="1" w:val="04A0"/>
      </w:tblPr>
      <w:tblGrid>
        <w:gridCol w:w="8640"/>
      </w:tblGrid>
      <w:tr>
        <w:tc>
          <w:tcPr>
            <w:tcW w:type="dxa" w:w="8640"/>
          </w:tcPr>
          <w:p>
            <w:r>
              <w:rPr>
                <w:b/>
                <w:sz w:val="24"/>
              </w:rPr>
              <w:t>✅ Strategic Case Assessment: STRONG</w:t>
            </w:r>
          </w:p>
          <w:p>
            <w:pPr/>
            <w:r>
              <w:t>There is clear, evidence-based strategic need for this investment. The system addresses critical operational inefficiencies, aligns with organisational strategic objectives, and supports wider Scottish health &amp; care digital transformation agenda. The "do nothing" option presents unacceptable financial and operational risks.</w:t>
            </w:r>
          </w:p>
        </w:tc>
      </w:tr>
    </w:tbl>
    <w:p>
      <w:r>
        <w:br w:type="page"/>
      </w:r>
    </w:p>
    <w:p>
      <w:pPr>
        <w:pStyle w:val="Heading1"/>
      </w:pPr>
      <w:r>
        <w:rPr>
          <w:color w:val="002060"/>
        </w:rPr>
        <w:t>2. Economic Case</w:t>
      </w:r>
    </w:p>
    <w:p>
      <w:pPr>
        <w:pStyle w:val="Heading2"/>
      </w:pPr>
      <w:r>
        <w:rPr>
          <w:color w:val="44546A"/>
        </w:rPr>
        <w:t>2.1 Introduction</w:t>
      </w:r>
    </w:p>
    <w:p>
      <w:r>
        <w:t>This section demonstrates that the proposal represents best public value through robust cost-benefit analysis, options appraisal, and sensitivity testing in accordance with HM Treasury Green Book guidance.</w:t>
      </w:r>
    </w:p>
    <w:p>
      <w:pPr>
        <w:pStyle w:val="Heading2"/>
      </w:pPr>
      <w:r>
        <w:rPr>
          <w:color w:val="44546A"/>
        </w:rPr>
        <w:t>2.2 Critical Success Factors</w:t>
      </w:r>
    </w:p>
    <w:p>
      <w:r>
        <w:t>Investment options assessed against the following CSFs:</w:t>
      </w:r>
    </w:p>
    <w:p>
      <w:pPr>
        <w:pStyle w:val="ListBullet"/>
      </w:pPr>
      <w:r>
        <w:t>Strategic fit: Alignment with HSCP strategic objectives</w:t>
      </w:r>
    </w:p>
    <w:p>
      <w:pPr>
        <w:pStyle w:val="ListBullet"/>
      </w:pPr>
      <w:r>
        <w:t>Value for money: Optimum balance of cost, benefit, and risk</w:t>
      </w:r>
    </w:p>
    <w:p>
      <w:pPr>
        <w:pStyle w:val="ListBullet"/>
      </w:pPr>
      <w:r>
        <w:t>Potential achievability: Realistic delivery within constraints</w:t>
      </w:r>
    </w:p>
    <w:p>
      <w:pPr>
        <w:pStyle w:val="ListBullet"/>
      </w:pPr>
      <w:r>
        <w:t>Supply-side capacity: Market capability to deliver</w:t>
      </w:r>
    </w:p>
    <w:p>
      <w:pPr>
        <w:pStyle w:val="ListBullet"/>
      </w:pPr>
      <w:r>
        <w:t>Potential affordability: Within available budget envelope</w:t>
      </w:r>
    </w:p>
    <w:p>
      <w:pPr>
        <w:pStyle w:val="Heading2"/>
      </w:pPr>
      <w:r>
        <w:rPr>
          <w:color w:val="44546A"/>
        </w:rPr>
        <w:t>2.3 Long List of Options</w:t>
      </w:r>
    </w:p>
    <w:tbl>
      <w:tblPr>
        <w:tblStyle w:val="LightGrid-Accent1"/>
        <w:tblW w:type="auto" w:w="0"/>
        <w:tblLook w:firstColumn="1" w:firstRow="1" w:lastColumn="0" w:lastRow="0" w:noHBand="0" w:noVBand="1" w:val="04A0"/>
      </w:tblPr>
      <w:tblGrid>
        <w:gridCol w:w="4320"/>
        <w:gridCol w:w="4320"/>
      </w:tblGrid>
      <w:tr>
        <w:tc>
          <w:tcPr>
            <w:tcW w:type="dxa" w:w="4320"/>
          </w:tcPr>
          <w:p>
            <w:r>
              <w:t>Option</w:t>
            </w:r>
          </w:p>
        </w:tc>
        <w:tc>
          <w:tcPr>
            <w:tcW w:type="dxa" w:w="4320"/>
          </w:tcPr>
          <w:p>
            <w:r>
              <w:t>Description</w:t>
            </w:r>
          </w:p>
        </w:tc>
      </w:tr>
      <w:tr>
        <w:tc>
          <w:tcPr>
            <w:tcW w:type="dxa" w:w="4320"/>
          </w:tcPr>
          <w:p>
            <w:r>
              <w:t>0. Do Nothing</w:t>
            </w:r>
          </w:p>
        </w:tc>
        <w:tc>
          <w:tcPr>
            <w:tcW w:type="dxa" w:w="4320"/>
          </w:tcPr>
          <w:p>
            <w:r>
              <w:t>Continue current manual processes</w:t>
            </w:r>
          </w:p>
        </w:tc>
      </w:tr>
      <w:tr>
        <w:tc>
          <w:tcPr>
            <w:tcW w:type="dxa" w:w="4320"/>
          </w:tcPr>
          <w:p>
            <w:r>
              <w:t>1. Process Improvement</w:t>
            </w:r>
          </w:p>
        </w:tc>
        <w:tc>
          <w:tcPr>
            <w:tcW w:type="dxa" w:w="4320"/>
          </w:tcPr>
          <w:p>
            <w:r>
              <w:t>Optimize manual processes without technology</w:t>
            </w:r>
          </w:p>
        </w:tc>
      </w:tr>
      <w:tr>
        <w:tc>
          <w:tcPr>
            <w:tcW w:type="dxa" w:w="4320"/>
          </w:tcPr>
          <w:p>
            <w:r>
              <w:t>2. Commercial Software</w:t>
            </w:r>
          </w:p>
        </w:tc>
        <w:tc>
          <w:tcPr>
            <w:tcW w:type="dxa" w:w="4320"/>
          </w:tcPr>
          <w:p>
            <w:r>
              <w:t>Procure off-the-shelf scheduling system (£50-100K/year)</w:t>
            </w:r>
          </w:p>
        </w:tc>
      </w:tr>
      <w:tr>
        <w:tc>
          <w:tcPr>
            <w:tcW w:type="dxa" w:w="4320"/>
          </w:tcPr>
          <w:p>
            <w:r>
              <w:t>3. Shared Service</w:t>
            </w:r>
          </w:p>
        </w:tc>
        <w:tc>
          <w:tcPr>
            <w:tcW w:type="dxa" w:w="4320"/>
          </w:tcPr>
          <w:p>
            <w:r>
              <w:t>Outsource to third-party provider</w:t>
            </w:r>
          </w:p>
        </w:tc>
      </w:tr>
      <w:tr>
        <w:tc>
          <w:tcPr>
            <w:tcW w:type="dxa" w:w="4320"/>
          </w:tcPr>
          <w:p>
            <w:r>
              <w:t>4. Bespoke Development</w:t>
            </w:r>
          </w:p>
        </w:tc>
        <w:tc>
          <w:tcPr>
            <w:tcW w:type="dxa" w:w="4320"/>
          </w:tcPr>
          <w:p>
            <w:r>
              <w:t>Custom-built system tailored to HSCP needs</w:t>
            </w:r>
          </w:p>
        </w:tc>
      </w:tr>
    </w:tbl>
    <w:p>
      <w:pPr>
        <w:pStyle w:val="Heading2"/>
      </w:pPr>
      <w:r>
        <w:rPr>
          <w:color w:val="44546A"/>
        </w:rPr>
        <w:t>2.4 Options Appraisal</w:t>
      </w:r>
    </w:p>
    <w:p>
      <w:r>
        <w:t>\nShort-listed options evaluated against CSFs: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Option</w:t>
            </w:r>
          </w:p>
        </w:tc>
        <w:tc>
          <w:tcPr>
            <w:tcW w:type="dxa" w:w="1440"/>
          </w:tcPr>
          <w:p>
            <w:r>
              <w:t>Strategic</w:t>
            </w:r>
          </w:p>
        </w:tc>
        <w:tc>
          <w:tcPr>
            <w:tcW w:type="dxa" w:w="1440"/>
          </w:tcPr>
          <w:p>
            <w:r>
              <w:t>VFM</w:t>
            </w:r>
          </w:p>
        </w:tc>
        <w:tc>
          <w:tcPr>
            <w:tcW w:type="dxa" w:w="1440"/>
          </w:tcPr>
          <w:p>
            <w:r>
              <w:t>Achievable</w:t>
            </w:r>
          </w:p>
        </w:tc>
        <w:tc>
          <w:tcPr>
            <w:tcW w:type="dxa" w:w="1440"/>
          </w:tcPr>
          <w:p>
            <w:r>
              <w:t>Supply</w:t>
            </w:r>
          </w:p>
        </w:tc>
        <w:tc>
          <w:tcPr>
            <w:tcW w:type="dxa" w:w="1440"/>
          </w:tcPr>
          <w:p>
            <w:r>
              <w:t>Total</w:t>
            </w:r>
          </w:p>
        </w:tc>
      </w:tr>
      <w:tr>
        <w:tc>
          <w:tcPr>
            <w:tcW w:type="dxa" w:w="1440"/>
          </w:tcPr>
          <w:p>
            <w:r>
              <w:t>0. Do Nothing</w:t>
            </w:r>
          </w:p>
        </w:tc>
        <w:tc>
          <w:tcPr>
            <w:tcW w:type="dxa" w:w="1440"/>
          </w:tcPr>
          <w:p>
            <w:r>
              <w:t>❌ 0</w:t>
            </w:r>
          </w:p>
        </w:tc>
        <w:tc>
          <w:tcPr>
            <w:tcW w:type="dxa" w:w="1440"/>
          </w:tcPr>
          <w:p>
            <w:r>
              <w:t>❌ 0</w:t>
            </w:r>
          </w:p>
        </w:tc>
        <w:tc>
          <w:tcPr>
            <w:tcW w:type="dxa" w:w="1440"/>
          </w:tcPr>
          <w:p>
            <w:r>
              <w:t>✅ 5</w:t>
            </w:r>
          </w:p>
        </w:tc>
        <w:tc>
          <w:tcPr>
            <w:tcW w:type="dxa" w:w="1440"/>
          </w:tcPr>
          <w:p>
            <w:r>
              <w:t>✅ 5</w:t>
            </w:r>
          </w:p>
        </w:tc>
        <w:tc>
          <w:tcPr>
            <w:tcW w:type="dxa" w:w="1440"/>
          </w:tcPr>
          <w:p>
            <w:r>
              <w:t>10</w:t>
            </w:r>
          </w:p>
        </w:tc>
      </w:tr>
      <w:tr>
        <w:tc>
          <w:tcPr>
            <w:tcW w:type="dxa" w:w="1440"/>
          </w:tcPr>
          <w:p>
            <w:r>
              <w:t>2. Commercial</w:t>
            </w:r>
          </w:p>
        </w:tc>
        <w:tc>
          <w:tcPr>
            <w:tcW w:type="dxa" w:w="1440"/>
          </w:tcPr>
          <w:p>
            <w:r>
              <w:t>🟡 3</w:t>
            </w:r>
          </w:p>
        </w:tc>
        <w:tc>
          <w:tcPr>
            <w:tcW w:type="dxa" w:w="1440"/>
          </w:tcPr>
          <w:p>
            <w:r>
              <w:t>🟡 3</w:t>
            </w:r>
          </w:p>
        </w:tc>
        <w:tc>
          <w:tcPr>
            <w:tcW w:type="dxa" w:w="1440"/>
          </w:tcPr>
          <w:p>
            <w:r>
              <w:t>✅ 4</w:t>
            </w:r>
          </w:p>
        </w:tc>
        <w:tc>
          <w:tcPr>
            <w:tcW w:type="dxa" w:w="1440"/>
          </w:tcPr>
          <w:p>
            <w:r>
              <w:t>✅ 5</w:t>
            </w:r>
          </w:p>
        </w:tc>
        <w:tc>
          <w:tcPr>
            <w:tcW w:type="dxa" w:w="1440"/>
          </w:tcPr>
          <w:p>
            <w:r>
              <w:t>15</w:t>
            </w:r>
          </w:p>
        </w:tc>
      </w:tr>
      <w:tr>
        <w:tc>
          <w:tcPr>
            <w:tcW w:type="dxa" w:w="1440"/>
          </w:tcPr>
          <w:p>
            <w:r>
              <w:t>3. Shared Service</w:t>
            </w:r>
          </w:p>
        </w:tc>
        <w:tc>
          <w:tcPr>
            <w:tcW w:type="dxa" w:w="1440"/>
          </w:tcPr>
          <w:p>
            <w:r>
              <w:t>🟡 2</w:t>
            </w:r>
          </w:p>
        </w:tc>
        <w:tc>
          <w:tcPr>
            <w:tcW w:type="dxa" w:w="1440"/>
          </w:tcPr>
          <w:p>
            <w:r>
              <w:t>❌ 2</w:t>
            </w:r>
          </w:p>
        </w:tc>
        <w:tc>
          <w:tcPr>
            <w:tcW w:type="dxa" w:w="1440"/>
          </w:tcPr>
          <w:p>
            <w:r>
              <w:t>🟡 3</w:t>
            </w:r>
          </w:p>
        </w:tc>
        <w:tc>
          <w:tcPr>
            <w:tcW w:type="dxa" w:w="1440"/>
          </w:tcPr>
          <w:p>
            <w:r>
              <w:t>🟡 3</w:t>
            </w:r>
          </w:p>
        </w:tc>
        <w:tc>
          <w:tcPr>
            <w:tcW w:type="dxa" w:w="1440"/>
          </w:tcPr>
          <w:p>
            <w:r>
              <w:t>10</w:t>
            </w:r>
          </w:p>
        </w:tc>
      </w:tr>
      <w:tr>
        <w:tc>
          <w:tcPr>
            <w:tcW w:type="dxa" w:w="1440"/>
          </w:tcPr>
          <w:p>
            <w:r>
              <w:t>4. Bespoke</w:t>
            </w:r>
          </w:p>
        </w:tc>
        <w:tc>
          <w:tcPr>
            <w:tcW w:type="dxa" w:w="1440"/>
          </w:tcPr>
          <w:p>
            <w:r>
              <w:t>✅ 5</w:t>
            </w:r>
          </w:p>
        </w:tc>
        <w:tc>
          <w:tcPr>
            <w:tcW w:type="dxa" w:w="1440"/>
          </w:tcPr>
          <w:p>
            <w:r>
              <w:t>✅ 5</w:t>
            </w:r>
          </w:p>
        </w:tc>
        <w:tc>
          <w:tcPr>
            <w:tcW w:type="dxa" w:w="1440"/>
          </w:tcPr>
          <w:p>
            <w:r>
              <w:t>✅ 4</w:t>
            </w:r>
          </w:p>
        </w:tc>
        <w:tc>
          <w:tcPr>
            <w:tcW w:type="dxa" w:w="1440"/>
          </w:tcPr>
          <w:p>
            <w:r>
              <w:t>✅ 5</w:t>
            </w:r>
          </w:p>
        </w:tc>
        <w:tc>
          <w:tcPr>
            <w:tcW w:type="dxa" w:w="1440"/>
          </w:tcPr>
          <w:p>
            <w:r>
              <w:t>19</w:t>
            </w:r>
          </w:p>
        </w:tc>
      </w:tr>
    </w:tbl>
    <w:p>
      <w:r>
        <w:t>\nRecommendation: Option 4 (Bespoke Development) scores highest across all CSFs</w:t>
      </w:r>
    </w:p>
    <w:p>
      <w:pPr>
        <w:pStyle w:val="Heading2"/>
      </w:pPr>
      <w:r>
        <w:rPr>
          <w:color w:val="44546A"/>
        </w:rPr>
        <w:t>2.5 Cost-Benefit Analysis</w:t>
      </w:r>
    </w:p>
    <w:p>
      <w:r>
        <w:t>\n**Costs (3-Year NPV):**</w:t>
      </w:r>
    </w:p>
    <w:p>
      <w:pPr>
        <w:pStyle w:val="ListBullet"/>
      </w:pPr>
      <w:r>
        <w:t>Year 1 Implementation: £54,940</w:t>
      </w:r>
    </w:p>
    <w:p>
      <w:pPr>
        <w:pStyle w:val="ListBullet"/>
      </w:pPr>
      <w:r>
        <w:t>Annual Recurring (Years 2-3): £21,900/year</w:t>
      </w:r>
    </w:p>
    <w:p>
      <w:pPr>
        <w:pStyle w:val="ListBullet"/>
      </w:pPr>
      <w:r>
        <w:t>Total 3-Year Costs: £98,740</w:t>
      </w:r>
    </w:p>
    <w:p>
      <w:r>
        <w:t>\n**Benefits (3-Year NPV):**</w:t>
      </w:r>
    </w:p>
    <w:p>
      <w:pPr>
        <w:pStyle w:val="ListBullet"/>
      </w:pPr>
      <w:r>
        <w:t>Year 1 Savings: £682,829</w:t>
      </w:r>
    </w:p>
    <w:p>
      <w:pPr>
        <w:pStyle w:val="ListBullet"/>
      </w:pPr>
      <w:r>
        <w:t>Year 2 Savings (10% growth): £751,112</w:t>
      </w:r>
    </w:p>
    <w:p>
      <w:pPr>
        <w:pStyle w:val="ListBullet"/>
      </w:pPr>
      <w:r>
        <w:t>Year 3 Savings (10% growth): £826,223</w:t>
      </w:r>
    </w:p>
    <w:p>
      <w:pPr>
        <w:pStyle w:val="ListBullet"/>
      </w:pPr>
      <w:r>
        <w:t>Total 3-Year Benefits: £2,260,164</w:t>
      </w:r>
    </w:p>
    <w:tbl>
      <w:tblPr>
        <w:tblStyle w:val="LightGrid-Accent1"/>
        <w:tblW w:type="auto" w:w="0"/>
        <w:tblLook w:firstColumn="1" w:firstRow="1" w:lastColumn="0" w:lastRow="0" w:noHBand="0" w:noVBand="1" w:val="04A0"/>
      </w:tblPr>
      <w:tblGrid>
        <w:gridCol w:w="8640"/>
      </w:tblGrid>
      <w:tr>
        <w:tc>
          <w:tcPr>
            <w:tcW w:type="dxa" w:w="8640"/>
          </w:tcPr>
          <w:p>
            <w:r>
              <w:rPr>
                <w:b/>
                <w:sz w:val="24"/>
              </w:rPr>
              <w:t>💰 Net Present Value (3-Year)</w:t>
            </w:r>
          </w:p>
          <w:p>
            <w:pPr/>
            <w:r>
              <w:t>• NPV: £2,161,424\n• Benefit-Cost Ratio: 22.9:1\n• ROI Year 1: 1,143%\n• ROI 3-Year: 2,189%\n• Payback Period: 0.97 months</w:t>
            </w:r>
          </w:p>
        </w:tc>
      </w:tr>
    </w:tbl>
    <w:p>
      <w:pPr>
        <w:pStyle w:val="Heading2"/>
      </w:pPr>
      <w:r>
        <w:rPr>
          <w:color w:val="44546A"/>
        </w:rPr>
        <w:t>2.6 Sensitivity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Scenario</w:t>
            </w:r>
          </w:p>
        </w:tc>
        <w:tc>
          <w:tcPr>
            <w:tcW w:type="dxa" w:w="2160"/>
          </w:tcPr>
          <w:p>
            <w:r>
              <w:t>Year 1 Savings</w:t>
            </w:r>
          </w:p>
        </w:tc>
        <w:tc>
          <w:tcPr>
            <w:tcW w:type="dxa" w:w="2160"/>
          </w:tcPr>
          <w:p>
            <w:r>
              <w:t>Year 1 ROI</w:t>
            </w:r>
          </w:p>
        </w:tc>
        <w:tc>
          <w:tcPr>
            <w:tcW w:type="dxa" w:w="2160"/>
          </w:tcPr>
          <w:p>
            <w:r>
              <w:t>Payback</w:t>
            </w:r>
          </w:p>
        </w:tc>
      </w:tr>
      <w:tr>
        <w:tc>
          <w:tcPr>
            <w:tcW w:type="dxa" w:w="2160"/>
          </w:tcPr>
          <w:p>
            <w:r>
              <w:t>Best Case (+20%)</w:t>
            </w:r>
          </w:p>
        </w:tc>
        <w:tc>
          <w:tcPr>
            <w:tcW w:type="dxa" w:w="2160"/>
          </w:tcPr>
          <w:p>
            <w:r>
              <w:t>£819,395</w:t>
            </w:r>
          </w:p>
        </w:tc>
        <w:tc>
          <w:tcPr>
            <w:tcW w:type="dxa" w:w="2160"/>
          </w:tcPr>
          <w:p>
            <w:r>
              <w:t>1,392%</w:t>
            </w:r>
          </w:p>
        </w:tc>
        <w:tc>
          <w:tcPr>
            <w:tcW w:type="dxa" w:w="2160"/>
          </w:tcPr>
          <w:p>
            <w:r>
              <w:t>0.80 months</w:t>
            </w:r>
          </w:p>
        </w:tc>
      </w:tr>
      <w:tr>
        <w:tc>
          <w:tcPr>
            <w:tcW w:type="dxa" w:w="2160"/>
          </w:tcPr>
          <w:p>
            <w:r>
              <w:t>Base Case</w:t>
            </w:r>
          </w:p>
        </w:tc>
        <w:tc>
          <w:tcPr>
            <w:tcW w:type="dxa" w:w="2160"/>
          </w:tcPr>
          <w:p>
            <w:r>
              <w:t>£682,829</w:t>
            </w:r>
          </w:p>
        </w:tc>
        <w:tc>
          <w:tcPr>
            <w:tcW w:type="dxa" w:w="2160"/>
          </w:tcPr>
          <w:p>
            <w:r>
              <w:t>1,143%</w:t>
            </w:r>
          </w:p>
        </w:tc>
        <w:tc>
          <w:tcPr>
            <w:tcW w:type="dxa" w:w="2160"/>
          </w:tcPr>
          <w:p>
            <w:r>
              <w:t>0.97 months</w:t>
            </w:r>
          </w:p>
        </w:tc>
      </w:tr>
      <w:tr>
        <w:tc>
          <w:tcPr>
            <w:tcW w:type="dxa" w:w="2160"/>
          </w:tcPr>
          <w:p>
            <w:r>
              <w:t>Worst Case (-30%)</w:t>
            </w:r>
          </w:p>
        </w:tc>
        <w:tc>
          <w:tcPr>
            <w:tcW w:type="dxa" w:w="2160"/>
          </w:tcPr>
          <w:p>
            <w:r>
              <w:t>£477,980</w:t>
            </w:r>
          </w:p>
        </w:tc>
        <w:tc>
          <w:tcPr>
            <w:tcW w:type="dxa" w:w="2160"/>
          </w:tcPr>
          <w:p>
            <w:r>
              <w:t>770%</w:t>
            </w:r>
          </w:p>
        </w:tc>
        <w:tc>
          <w:tcPr>
            <w:tcW w:type="dxa" w:w="2160"/>
          </w:tcPr>
          <w:p>
            <w:r>
              <w:t>1.35 months</w:t>
            </w:r>
          </w:p>
        </w:tc>
      </w:tr>
    </w:tbl>
    <w:p>
      <w:r>
        <w:t>\nConclusion: Even in worst-case scenario, ROI exceeds 750% with &lt;6 week payback</w:t>
      </w:r>
    </w:p>
    <w:p>
      <w:pPr>
        <w:pStyle w:val="Heading2"/>
      </w:pPr>
      <w:r>
        <w:rPr>
          <w:color w:val="44546A"/>
        </w:rPr>
        <w:t>2.7 Economic Case Conclusion</w:t>
      </w:r>
    </w:p>
    <w:tbl>
      <w:tblPr>
        <w:tblStyle w:val="LightGrid-Accent1"/>
        <w:tblW w:type="auto" w:w="0"/>
        <w:tblLook w:firstColumn="1" w:firstRow="1" w:lastColumn="0" w:lastRow="0" w:noHBand="0" w:noVBand="1" w:val="04A0"/>
      </w:tblPr>
      <w:tblGrid>
        <w:gridCol w:w="8640"/>
      </w:tblGrid>
      <w:tr>
        <w:tc>
          <w:tcPr>
            <w:tcW w:type="dxa" w:w="8640"/>
          </w:tcPr>
          <w:p>
            <w:r>
              <w:rPr>
                <w:b/>
                <w:sz w:val="24"/>
              </w:rPr>
              <w:t>✅ Economic Case Assessment: EXCEPTIONAL</w:t>
            </w:r>
          </w:p>
          <w:p>
            <w:pPr/>
            <w:r>
              <w:t>The proposal demonstrates exceptional value for money with 1,143% Year 1 ROI and sub-1-month payback period. This places the investment in the top 1% of care sector technology implementations. The benefit-cost ratio of 22.9:1 significantly exceeds Green Book benchmarks for approval. Sensitivity testing confirms strong VFM even under pessimistic scenarios.</w:t>
            </w:r>
          </w:p>
        </w:tc>
      </w:tr>
    </w:tbl>
    <w:p>
      <w:r>
        <w:br w:type="page"/>
      </w:r>
    </w:p>
    <w:p>
      <w:pPr>
        <w:pStyle w:val="Heading1"/>
      </w:pPr>
      <w:r>
        <w:rPr>
          <w:color w:val="002060"/>
        </w:rPr>
        <w:t>3. Commercial Case</w:t>
      </w:r>
    </w:p>
    <w:p>
      <w:pPr>
        <w:pStyle w:val="Heading2"/>
      </w:pPr>
      <w:r>
        <w:rPr>
          <w:color w:val="44546A"/>
        </w:rPr>
        <w:t>3.1 Introduction</w:t>
      </w:r>
    </w:p>
    <w:p>
      <w:r>
        <w:t>This section demonstrates that the proposed deal is attractive to the marketplace, can be procured efficiently, and will result in a well-structured contract with appropriate risk allocation.</w:t>
      </w:r>
    </w:p>
    <w:p>
      <w:pPr>
        <w:pStyle w:val="Heading2"/>
      </w:pPr>
      <w:r>
        <w:rPr>
          <w:color w:val="44546A"/>
        </w:rPr>
        <w:t>3.2 Procurement Strategy</w:t>
      </w:r>
    </w:p>
    <w:p>
      <w:r>
        <w:t>**Chosen Route:** In-house development (bespoke build)</w:t>
      </w:r>
    </w:p>
    <w:p>
      <w:r>
        <w:t>\n**Rationale:**</w:t>
      </w:r>
    </w:p>
    <w:p>
      <w:pPr>
        <w:pStyle w:val="ListBullet"/>
      </w:pPr>
      <w:r>
        <w:t>Technical Feasibility: System already 95% complete (270 development hours invested)</w:t>
      </w:r>
    </w:p>
    <w:p>
      <w:pPr>
        <w:pStyle w:val="ListBullet"/>
      </w:pPr>
      <w:r>
        <w:t>Proven Track Record: Production deployment managing 109,267 shifts with 777ms avg response</w:t>
      </w:r>
    </w:p>
    <w:p>
      <w:pPr>
        <w:pStyle w:val="ListBullet"/>
      </w:pPr>
      <w:r>
        <w:t>Cost Advantage: £54,940 total vs £50-100K annual for commercial alternatives</w:t>
      </w:r>
    </w:p>
    <w:p>
      <w:pPr>
        <w:pStyle w:val="ListBullet"/>
      </w:pPr>
      <w:r>
        <w:t>Customization: Exact fit to HSCP workflows (not achievable with COTS)</w:t>
      </w:r>
    </w:p>
    <w:p>
      <w:pPr>
        <w:pStyle w:val="ListBullet"/>
      </w:pPr>
      <w:r>
        <w:t>IP Ownership: Organization retains full system ownership and control</w:t>
      </w:r>
    </w:p>
    <w:p>
      <w:pPr>
        <w:pStyle w:val="Heading2"/>
      </w:pPr>
      <w:r>
        <w:rPr>
          <w:color w:val="44546A"/>
        </w:rPr>
        <w:t>3.3 Sourcing Strategy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Source</w:t>
            </w:r>
          </w:p>
        </w:tc>
        <w:tc>
          <w:tcPr>
            <w:tcW w:type="dxa" w:w="2880"/>
          </w:tcPr>
          <w:p>
            <w:r>
              <w:t>Cost</w:t>
            </w:r>
          </w:p>
        </w:tc>
      </w:tr>
      <w:tr>
        <w:tc>
          <w:tcPr>
            <w:tcW w:type="dxa" w:w="2880"/>
          </w:tcPr>
          <w:p>
            <w:r>
              <w:t>Development</w:t>
            </w:r>
          </w:p>
        </w:tc>
        <w:tc>
          <w:tcPr>
            <w:tcW w:type="dxa" w:w="2880"/>
          </w:tcPr>
          <w:p>
            <w:r>
              <w:t>In-house team (270 hours complete)</w:t>
            </w:r>
          </w:p>
        </w:tc>
        <w:tc>
          <w:tcPr>
            <w:tcW w:type="dxa" w:w="2880"/>
          </w:tcPr>
          <w:p>
            <w:r>
              <w:t>£0 (sunk cost)</w:t>
            </w:r>
          </w:p>
        </w:tc>
      </w:tr>
      <w:tr>
        <w:tc>
          <w:tcPr>
            <w:tcW w:type="dxa" w:w="2880"/>
          </w:tcPr>
          <w:p>
            <w:r>
              <w:t>Implementation</w:t>
            </w:r>
          </w:p>
        </w:tc>
        <w:tc>
          <w:tcPr>
            <w:tcW w:type="dxa" w:w="2880"/>
          </w:tcPr>
          <w:p>
            <w:r>
              <w:t>Internal PM + Technical Lead</w:t>
            </w:r>
          </w:p>
        </w:tc>
        <w:tc>
          <w:tcPr>
            <w:tcW w:type="dxa" w:w="2880"/>
          </w:tcPr>
          <w:p>
            <w:r>
              <w:t>£48,000</w:t>
            </w:r>
          </w:p>
        </w:tc>
      </w:tr>
      <w:tr>
        <w:tc>
          <w:tcPr>
            <w:tcW w:type="dxa" w:w="2880"/>
          </w:tcPr>
          <w:p>
            <w:r>
              <w:t>Infrastructure</w:t>
            </w:r>
          </w:p>
        </w:tc>
        <w:tc>
          <w:tcPr>
            <w:tcW w:type="dxa" w:w="2880"/>
          </w:tcPr>
          <w:p>
            <w:r>
              <w:t>Cloud hosting (AWS/Azure)</w:t>
            </w:r>
          </w:p>
        </w:tc>
        <w:tc>
          <w:tcPr>
            <w:tcW w:type="dxa" w:w="2880"/>
          </w:tcPr>
          <w:p>
            <w:r>
              <w:t>£2,300/year</w:t>
            </w:r>
          </w:p>
        </w:tc>
      </w:tr>
      <w:tr>
        <w:tc>
          <w:tcPr>
            <w:tcW w:type="dxa" w:w="2880"/>
          </w:tcPr>
          <w:p>
            <w:r>
              <w:t>Support</w:t>
            </w:r>
          </w:p>
        </w:tc>
        <w:tc>
          <w:tcPr>
            <w:tcW w:type="dxa" w:w="2880"/>
          </w:tcPr>
          <w:p>
            <w:r>
              <w:t>Shared technical resource</w:t>
            </w:r>
          </w:p>
        </w:tc>
        <w:tc>
          <w:tcPr>
            <w:tcW w:type="dxa" w:w="2880"/>
          </w:tcPr>
          <w:p>
            <w:r>
              <w:t>£4,800/year</w:t>
            </w:r>
          </w:p>
        </w:tc>
      </w:tr>
    </w:tbl>
    <w:p>
      <w:pPr>
        <w:pStyle w:val="Heading2"/>
      </w:pPr>
      <w:r>
        <w:rPr>
          <w:color w:val="44546A"/>
        </w:rPr>
        <w:t>3.4 Risk Allocation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Risk Category</w:t>
            </w:r>
          </w:p>
        </w:tc>
        <w:tc>
          <w:tcPr>
            <w:tcW w:type="dxa" w:w="2880"/>
          </w:tcPr>
          <w:p>
            <w:r>
              <w:t>Allocation</w:t>
            </w:r>
          </w:p>
        </w:tc>
        <w:tc>
          <w:tcPr>
            <w:tcW w:type="dxa" w:w="2880"/>
          </w:tcPr>
          <w:p>
            <w:r>
              <w:t>Mitigation</w:t>
            </w:r>
          </w:p>
        </w:tc>
      </w:tr>
      <w:tr>
        <w:tc>
          <w:tcPr>
            <w:tcW w:type="dxa" w:w="2880"/>
          </w:tcPr>
          <w:p>
            <w:r>
              <w:t>Technology delivery</w:t>
            </w:r>
          </w:p>
        </w:tc>
        <w:tc>
          <w:tcPr>
            <w:tcW w:type="dxa" w:w="2880"/>
          </w:tcPr>
          <w:p>
            <w:r>
              <w:t>HSCP</w:t>
            </w:r>
          </w:p>
        </w:tc>
        <w:tc>
          <w:tcPr>
            <w:tcW w:type="dxa" w:w="2880"/>
          </w:tcPr>
          <w:p>
            <w:r>
              <w:t>System 95% complete; proven in production</w:t>
            </w:r>
          </w:p>
        </w:tc>
      </w:tr>
      <w:tr>
        <w:tc>
          <w:tcPr>
            <w:tcW w:type="dxa" w:w="2880"/>
          </w:tcPr>
          <w:p>
            <w:r>
              <w:t>Implementation</w:t>
            </w:r>
          </w:p>
        </w:tc>
        <w:tc>
          <w:tcPr>
            <w:tcW w:type="dxa" w:w="2880"/>
          </w:tcPr>
          <w:p>
            <w:r>
              <w:t>HSCP</w:t>
            </w:r>
          </w:p>
        </w:tc>
        <w:tc>
          <w:tcPr>
            <w:tcW w:type="dxa" w:w="2880"/>
          </w:tcPr>
          <w:p>
            <w:r>
              <w:t>12-week plan; pilot approach de-risks rollout</w:t>
            </w:r>
          </w:p>
        </w:tc>
      </w:tr>
      <w:tr>
        <w:tc>
          <w:tcPr>
            <w:tcW w:type="dxa" w:w="2880"/>
          </w:tcPr>
          <w:p>
            <w:r>
              <w:t>User adoption</w:t>
            </w:r>
          </w:p>
        </w:tc>
        <w:tc>
          <w:tcPr>
            <w:tcW w:type="dxa" w:w="2880"/>
          </w:tcPr>
          <w:p>
            <w:r>
              <w:t>HSCP</w:t>
            </w:r>
          </w:p>
        </w:tc>
        <w:tc>
          <w:tcPr>
            <w:tcW w:type="dxa" w:w="2880"/>
          </w:tcPr>
          <w:p>
            <w:r>
              <w:t>200 staff training program; change management plan</w:t>
            </w:r>
          </w:p>
        </w:tc>
      </w:tr>
      <w:tr>
        <w:tc>
          <w:tcPr>
            <w:tcW w:type="dxa" w:w="2880"/>
          </w:tcPr>
          <w:p>
            <w:r>
              <w:t>Ongoing support</w:t>
            </w:r>
          </w:p>
        </w:tc>
        <w:tc>
          <w:tcPr>
            <w:tcW w:type="dxa" w:w="2880"/>
          </w:tcPr>
          <w:p>
            <w:r>
              <w:t>HSCP</w:t>
            </w:r>
          </w:p>
        </w:tc>
        <w:tc>
          <w:tcPr>
            <w:tcW w:type="dxa" w:w="2880"/>
          </w:tcPr>
          <w:p>
            <w:r>
              <w:t>Shared resource; Django mature framework (low maintenance)</w:t>
            </w:r>
          </w:p>
        </w:tc>
      </w:tr>
      <w:tr>
        <w:tc>
          <w:tcPr>
            <w:tcW w:type="dxa" w:w="2880"/>
          </w:tcPr>
          <w:p>
            <w:r>
              <w:t>Hosting/Infrastructure</w:t>
            </w:r>
          </w:p>
        </w:tc>
        <w:tc>
          <w:tcPr>
            <w:tcW w:type="dxa" w:w="2880"/>
          </w:tcPr>
          <w:p>
            <w:r>
              <w:t>Cloud Provider</w:t>
            </w:r>
          </w:p>
        </w:tc>
        <w:tc>
          <w:tcPr>
            <w:tcW w:type="dxa" w:w="2880"/>
          </w:tcPr>
          <w:p>
            <w:r>
              <w:t>AWS/Azure SLA 99.9% uptime guarantee</w:t>
            </w:r>
          </w:p>
        </w:tc>
      </w:tr>
    </w:tbl>
    <w:p>
      <w:pPr>
        <w:pStyle w:val="Heading2"/>
      </w:pPr>
      <w:r>
        <w:rPr>
          <w:color w:val="44546A"/>
        </w:rPr>
        <w:t>3.5 Contract Management</w:t>
      </w:r>
    </w:p>
    <w:p>
      <w:r>
        <w:t>**Internal Service Agreement:**</w:t>
      </w:r>
    </w:p>
    <w:p>
      <w:r>
        <w:t>• IT Department: Infrastructure hosting and technical support</w:t>
      </w:r>
    </w:p>
    <w:p>
      <w:r>
        <w:t>• HR/Operations: System administration and user management</w:t>
      </w:r>
    </w:p>
    <w:p>
      <w:r>
        <w:t>• Finance: Monthly benefits tracking and ROI validation</w:t>
      </w:r>
    </w:p>
    <w:p>
      <w:r>
        <w:t>\n**External Contracts:**</w:t>
      </w:r>
    </w:p>
    <w:p>
      <w:r>
        <w:t>• Cloud Hosting: 12-month commitment, 99.9% SLA</w:t>
      </w:r>
    </w:p>
    <w:p>
      <w:r>
        <w:t>• SMS Gateway: Pay-as-you-go, average £6,000/year</w:t>
      </w:r>
    </w:p>
    <w:p>
      <w:pPr>
        <w:pStyle w:val="Heading2"/>
      </w:pPr>
      <w:r>
        <w:rPr>
          <w:color w:val="44546A"/>
        </w:rPr>
        <w:t>3.6 Commercial Case Conclusion</w:t>
      </w:r>
    </w:p>
    <w:tbl>
      <w:tblPr>
        <w:tblStyle w:val="LightGrid-Accent1"/>
        <w:tblW w:type="auto" w:w="0"/>
        <w:tblLook w:firstColumn="1" w:firstRow="1" w:lastColumn="0" w:lastRow="0" w:noHBand="0" w:noVBand="1" w:val="04A0"/>
      </w:tblPr>
      <w:tblGrid>
        <w:gridCol w:w="8640"/>
      </w:tblGrid>
      <w:tr>
        <w:tc>
          <w:tcPr>
            <w:tcW w:type="dxa" w:w="8640"/>
          </w:tcPr>
          <w:p>
            <w:r>
              <w:rPr>
                <w:b/>
                <w:sz w:val="24"/>
              </w:rPr>
              <w:t>✅ Commercial Case Assessment: STRONG</w:t>
            </w:r>
          </w:p>
          <w:p>
            <w:pPr/>
            <w:r>
              <w:t>The in-house development approach is commercially sound, avoiding ongoing license fees and retaining IP ownership. The system is proven in production (777ms response, 300 concurrent users). Risk allocation is appropriate with key delivery risks already mitigated through completed development.</w:t>
            </w:r>
          </w:p>
        </w:tc>
      </w:tr>
    </w:tbl>
    <w:p>
      <w:r>
        <w:br w:type="page"/>
      </w:r>
    </w:p>
    <w:p>
      <w:pPr>
        <w:pStyle w:val="Heading1"/>
      </w:pPr>
      <w:r>
        <w:rPr>
          <w:color w:val="002060"/>
        </w:rPr>
        <w:t>4. Financial Case</w:t>
      </w:r>
    </w:p>
    <w:p>
      <w:pPr>
        <w:pStyle w:val="Heading2"/>
      </w:pPr>
      <w:r>
        <w:rPr>
          <w:color w:val="44546A"/>
        </w:rPr>
        <w:t>4.1 Introduction</w:t>
      </w:r>
    </w:p>
    <w:p>
      <w:r>
        <w:t>This section demonstrates that the proposal is affordable within the organization's budget constraints and that appropriate funding mechanisms have been identified.</w:t>
      </w:r>
    </w:p>
    <w:p>
      <w:pPr>
        <w:pStyle w:val="Heading2"/>
      </w:pPr>
      <w:r>
        <w:rPr>
          <w:color w:val="44546A"/>
        </w:rPr>
        <w:t>4.2 Total Investment Required</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Amount</w:t>
            </w:r>
          </w:p>
        </w:tc>
      </w:tr>
      <w:tr>
        <w:tc>
          <w:tcPr>
            <w:tcW w:type="dxa" w:w="4320"/>
          </w:tcPr>
          <w:p>
            <w:r>
              <w:t>**Implementation Costs (One-Time)**</w:t>
            </w:r>
          </w:p>
        </w:tc>
        <w:tc>
          <w:tcPr>
            <w:tcW w:type="dxa" w:w="4320"/>
          </w:tcPr>
          <w:p>
            <w:r/>
          </w:p>
        </w:tc>
      </w:tr>
      <w:tr>
        <w:tc>
          <w:tcPr>
            <w:tcW w:type="dxa" w:w="4320"/>
          </w:tcPr>
          <w:p>
            <w:r>
              <w:t>Project Management (60 days)</w:t>
            </w:r>
          </w:p>
        </w:tc>
        <w:tc>
          <w:tcPr>
            <w:tcW w:type="dxa" w:w="4320"/>
          </w:tcPr>
          <w:p>
            <w:r>
              <w:t>£21,000</w:t>
            </w:r>
          </w:p>
        </w:tc>
      </w:tr>
      <w:tr>
        <w:tc>
          <w:tcPr>
            <w:tcW w:type="dxa" w:w="4320"/>
          </w:tcPr>
          <w:p>
            <w:r>
              <w:t>Technical Lead (60 days)</w:t>
            </w:r>
          </w:p>
        </w:tc>
        <w:tc>
          <w:tcPr>
            <w:tcW w:type="dxa" w:w="4320"/>
          </w:tcPr>
          <w:p>
            <w:r>
              <w:t>£27,000</w:t>
            </w:r>
          </w:p>
        </w:tc>
      </w:tr>
      <w:tr>
        <w:tc>
          <w:tcPr>
            <w:tcW w:type="dxa" w:w="4320"/>
          </w:tcPr>
          <w:p>
            <w:r>
              <w:t>Infrastructure setup</w:t>
            </w:r>
          </w:p>
        </w:tc>
        <w:tc>
          <w:tcPr>
            <w:tcW w:type="dxa" w:w="4320"/>
          </w:tcPr>
          <w:p>
            <w:r>
              <w:t>£2,300</w:t>
            </w:r>
          </w:p>
        </w:tc>
      </w:tr>
      <w:tr>
        <w:tc>
          <w:tcPr>
            <w:tcW w:type="dxa" w:w="4320"/>
          </w:tcPr>
          <w:p>
            <w:r>
              <w:t>Training delivery &amp; materials</w:t>
            </w:r>
          </w:p>
        </w:tc>
        <w:tc>
          <w:tcPr>
            <w:tcW w:type="dxa" w:w="4320"/>
          </w:tcPr>
          <w:p>
            <w:r>
              <w:t>£4,500</w:t>
            </w:r>
          </w:p>
        </w:tc>
      </w:tr>
      <w:tr>
        <w:tc>
          <w:tcPr>
            <w:tcW w:type="dxa" w:w="4320"/>
          </w:tcPr>
          <w:p>
            <w:r>
              <w:t>Change management</w:t>
            </w:r>
          </w:p>
        </w:tc>
        <w:tc>
          <w:tcPr>
            <w:tcW w:type="dxa" w:w="4320"/>
          </w:tcPr>
          <w:p>
            <w:r>
              <w:t>£1,500</w:t>
            </w:r>
          </w:p>
        </w:tc>
      </w:tr>
      <w:tr>
        <w:tc>
          <w:tcPr>
            <w:tcW w:type="dxa" w:w="4320"/>
          </w:tcPr>
          <w:p>
            <w:r>
              <w:t>Contingency (13%)</w:t>
            </w:r>
          </w:p>
        </w:tc>
        <w:tc>
          <w:tcPr>
            <w:tcW w:type="dxa" w:w="4320"/>
          </w:tcPr>
          <w:p>
            <w:r>
              <w:t>£7,140</w:t>
            </w:r>
          </w:p>
        </w:tc>
      </w:tr>
      <w:tr>
        <w:tc>
          <w:tcPr>
            <w:tcW w:type="dxa" w:w="4320"/>
          </w:tcPr>
          <w:p>
            <w:r>
              <w:t>**Subtotal Year 1**</w:t>
            </w:r>
          </w:p>
        </w:tc>
        <w:tc>
          <w:tcPr>
            <w:tcW w:type="dxa" w:w="4320"/>
          </w:tcPr>
          <w:p>
            <w:r>
              <w:t>**£63,440**</w:t>
            </w:r>
          </w:p>
        </w:tc>
      </w:tr>
      <w:tr>
        <w:tc>
          <w:tcPr>
            <w:tcW w:type="dxa" w:w="4320"/>
          </w:tcPr>
          <w:p>
            <w:r>
              <w:t>**Annual Recurring (Years 2+)**</w:t>
            </w:r>
          </w:p>
        </w:tc>
        <w:tc>
          <w:tcPr>
            <w:tcW w:type="dxa" w:w="4320"/>
          </w:tcPr>
          <w:p>
            <w:r/>
          </w:p>
        </w:tc>
      </w:tr>
      <w:tr>
        <w:tc>
          <w:tcPr>
            <w:tcW w:type="dxa" w:w="4320"/>
          </w:tcPr>
          <w:p>
            <w:r>
              <w:t>Recurring costs</w:t>
            </w:r>
          </w:p>
        </w:tc>
        <w:tc>
          <w:tcPr>
            <w:tcW w:type="dxa" w:w="4320"/>
          </w:tcPr>
          <w:p>
            <w:r>
              <w:t>£21,900/year</w:t>
            </w:r>
          </w:p>
        </w:tc>
      </w:tr>
    </w:tbl>
    <w:p>
      <w:r>
        <w:t>\n**Note:** Using conservative estimate of £54,940 for ROI calculations</w:t>
      </w:r>
    </w:p>
    <w:p>
      <w:pPr>
        <w:pStyle w:val="Heading2"/>
      </w:pPr>
      <w:r>
        <w:rPr>
          <w:color w:val="44546A"/>
        </w:rPr>
        <w:t>4.3 Funding Strategy</w:t>
      </w:r>
    </w:p>
    <w:tbl>
      <w:tblPr>
        <w:tblStyle w:val="LightGrid-Accent1"/>
        <w:tblW w:type="auto" w:w="0"/>
        <w:tblLook w:firstColumn="1" w:firstRow="1" w:lastColumn="0" w:lastRow="0" w:noHBand="0" w:noVBand="1" w:val="04A0"/>
      </w:tblPr>
      <w:tblGrid>
        <w:gridCol w:w="8640"/>
      </w:tblGrid>
      <w:tr>
        <w:tc>
          <w:tcPr>
            <w:tcW w:type="dxa" w:w="8640"/>
          </w:tcPr>
          <w:p>
            <w:r>
              <w:rPr>
                <w:b/>
                <w:sz w:val="24"/>
              </w:rPr>
              <w:t>💷 Recommended Funding Mix</w:t>
            </w:r>
          </w:p>
          <w:p>
            <w:pPr/>
            <w:r>
              <w:t>• Operational Budget: £20,000 (existing IT transformation allocation)\n• Scottish Government Digital Fund: £15,000 (application submitted)\n• Efficiency Savings (Month 1-2): £20,000 (from early benefits realization)\n• Total: £55,000</w:t>
            </w:r>
          </w:p>
        </w:tc>
      </w:tr>
    </w:tbl>
    <w:p>
      <w:r>
        <w:t>\n**Alternative:** 100% self-financing viable (0.97-month payback)</w:t>
      </w:r>
    </w:p>
    <w:p>
      <w:pPr>
        <w:pStyle w:val="Heading2"/>
      </w:pPr>
      <w:r>
        <w:rPr>
          <w:color w:val="44546A"/>
        </w:rPr>
        <w:t>4.4 Affordability Assessment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Period</w:t>
            </w:r>
          </w:p>
        </w:tc>
        <w:tc>
          <w:tcPr>
            <w:tcW w:type="dxa" w:w="1728"/>
          </w:tcPr>
          <w:p>
            <w:r>
              <w:t>Investment</w:t>
            </w:r>
          </w:p>
        </w:tc>
        <w:tc>
          <w:tcPr>
            <w:tcW w:type="dxa" w:w="1728"/>
          </w:tcPr>
          <w:p>
            <w:r>
              <w:t>Savings</w:t>
            </w:r>
          </w:p>
        </w:tc>
        <w:tc>
          <w:tcPr>
            <w:tcW w:type="dxa" w:w="1728"/>
          </w:tcPr>
          <w:p>
            <w:r>
              <w:t>Net Cash</w:t>
            </w:r>
          </w:p>
        </w:tc>
        <w:tc>
          <w:tcPr>
            <w:tcW w:type="dxa" w:w="1728"/>
          </w:tcPr>
          <w:p>
            <w:r>
              <w:t>Cumulative</w:t>
            </w:r>
          </w:p>
        </w:tc>
      </w:tr>
      <w:tr>
        <w:tc>
          <w:tcPr>
            <w:tcW w:type="dxa" w:w="1728"/>
          </w:tcPr>
          <w:p>
            <w:r>
              <w:t>Month 1</w:t>
            </w:r>
          </w:p>
        </w:tc>
        <w:tc>
          <w:tcPr>
            <w:tcW w:type="dxa" w:w="1728"/>
          </w:tcPr>
          <w:p>
            <w:r>
              <w:t>(£54,940)</w:t>
            </w:r>
          </w:p>
        </w:tc>
        <w:tc>
          <w:tcPr>
            <w:tcW w:type="dxa" w:w="1728"/>
          </w:tcPr>
          <w:p>
            <w:r>
              <w:t>£56,902</w:t>
            </w:r>
          </w:p>
        </w:tc>
        <w:tc>
          <w:tcPr>
            <w:tcW w:type="dxa" w:w="1728"/>
          </w:tcPr>
          <w:p>
            <w:r>
              <w:t>+£1,962</w:t>
            </w:r>
          </w:p>
        </w:tc>
        <w:tc>
          <w:tcPr>
            <w:tcW w:type="dxa" w:w="1728"/>
          </w:tcPr>
          <w:p>
            <w:r>
              <w:t>+£1,962</w:t>
            </w:r>
          </w:p>
        </w:tc>
      </w:tr>
      <w:tr>
        <w:tc>
          <w:tcPr>
            <w:tcW w:type="dxa" w:w="1728"/>
          </w:tcPr>
          <w:p>
            <w:r>
              <w:t>Month 6</w:t>
            </w:r>
          </w:p>
        </w:tc>
        <w:tc>
          <w:tcPr>
            <w:tcW w:type="dxa" w:w="1728"/>
          </w:tcPr>
          <w:p>
            <w:r>
              <w:t>£0</w:t>
            </w:r>
          </w:p>
        </w:tc>
        <w:tc>
          <w:tcPr>
            <w:tcW w:type="dxa" w:w="1728"/>
          </w:tcPr>
          <w:p>
            <w:r>
              <w:t>£341,415</w:t>
            </w:r>
          </w:p>
        </w:tc>
        <w:tc>
          <w:tcPr>
            <w:tcW w:type="dxa" w:w="1728"/>
          </w:tcPr>
          <w:p>
            <w:r>
              <w:t>+£341,415</w:t>
            </w:r>
          </w:p>
        </w:tc>
        <w:tc>
          <w:tcPr>
            <w:tcW w:type="dxa" w:w="1728"/>
          </w:tcPr>
          <w:p>
            <w:r>
              <w:t>+£343,377</w:t>
            </w:r>
          </w:p>
        </w:tc>
      </w:tr>
      <w:tr>
        <w:tc>
          <w:tcPr>
            <w:tcW w:type="dxa" w:w="1728"/>
          </w:tcPr>
          <w:p>
            <w:r>
              <w:t>Year 1</w:t>
            </w:r>
          </w:p>
        </w:tc>
        <w:tc>
          <w:tcPr>
            <w:tcW w:type="dxa" w:w="1728"/>
          </w:tcPr>
          <w:p>
            <w:r>
              <w:t>£0</w:t>
            </w:r>
          </w:p>
        </w:tc>
        <w:tc>
          <w:tcPr>
            <w:tcW w:type="dxa" w:w="1728"/>
          </w:tcPr>
          <w:p>
            <w:r>
              <w:t>£682,829</w:t>
            </w:r>
          </w:p>
        </w:tc>
        <w:tc>
          <w:tcPr>
            <w:tcW w:type="dxa" w:w="1728"/>
          </w:tcPr>
          <w:p>
            <w:r>
              <w:t>+£682,829</w:t>
            </w:r>
          </w:p>
        </w:tc>
        <w:tc>
          <w:tcPr>
            <w:tcW w:type="dxa" w:w="1728"/>
          </w:tcPr>
          <w:p>
            <w:r>
              <w:t>+£684,791</w:t>
            </w:r>
          </w:p>
        </w:tc>
      </w:tr>
      <w:tr>
        <w:tc>
          <w:tcPr>
            <w:tcW w:type="dxa" w:w="1728"/>
          </w:tcPr>
          <w:p>
            <w:r>
              <w:t>Year 3</w:t>
            </w:r>
          </w:p>
        </w:tc>
        <w:tc>
          <w:tcPr>
            <w:tcW w:type="dxa" w:w="1728"/>
          </w:tcPr>
          <w:p>
            <w:r>
              <w:t>£43,800</w:t>
            </w:r>
          </w:p>
        </w:tc>
        <w:tc>
          <w:tcPr>
            <w:tcW w:type="dxa" w:w="1728"/>
          </w:tcPr>
          <w:p>
            <w:r>
              <w:t>£2,260,164</w:t>
            </w:r>
          </w:p>
        </w:tc>
        <w:tc>
          <w:tcPr>
            <w:tcW w:type="dxa" w:w="1728"/>
          </w:tcPr>
          <w:p>
            <w:r>
              <w:t>+£2,216,364</w:t>
            </w:r>
          </w:p>
        </w:tc>
        <w:tc>
          <w:tcPr>
            <w:tcW w:type="dxa" w:w="1728"/>
          </w:tcPr>
          <w:p>
            <w:r>
              <w:t>+£2,218,326</w:t>
            </w:r>
          </w:p>
        </w:tc>
      </w:tr>
    </w:tbl>
    <w:p>
      <w:r>
        <w:t>\nConclusion: Investment self-funding from Month 1; no ongoing budget pressure</w:t>
      </w:r>
    </w:p>
    <w:p>
      <w:pPr>
        <w:pStyle w:val="Heading2"/>
      </w:pPr>
      <w:r>
        <w:rPr>
          <w:color w:val="44546A"/>
        </w:rPr>
        <w:t>4.5 Impact on Revenue Budget</w:t>
      </w:r>
    </w:p>
    <w:p>
      <w:r>
        <w:t>**Net Budget Impact:**</w:t>
      </w:r>
    </w:p>
    <w:p>
      <w:r>
        <w:t>• Year 1: +£627,889 (savings exceed investment)</w:t>
      </w:r>
    </w:p>
    <w:p>
      <w:r>
        <w:t>• Year 2: +£729,212 (after £21,900 recurring costs)</w:t>
      </w:r>
    </w:p>
    <w:p>
      <w:r>
        <w:t>• Year 3: +£804,323 (compounding benefits)</w:t>
      </w:r>
    </w:p>
    <w:p>
      <w:r>
        <w:t>\nNo adverse revenue impact. Investment creates permanent budget headroom.</w:t>
      </w:r>
    </w:p>
    <w:p>
      <w:pPr>
        <w:pStyle w:val="Heading2"/>
      </w:pPr>
      <w:r>
        <w:rPr>
          <w:color w:val="44546A"/>
        </w:rPr>
        <w:t>4.6 Financial Case Conclusion</w:t>
      </w:r>
    </w:p>
    <w:tbl>
      <w:tblPr>
        <w:tblStyle w:val="LightGrid-Accent1"/>
        <w:tblW w:type="auto" w:w="0"/>
        <w:tblLook w:firstColumn="1" w:firstRow="1" w:lastColumn="0" w:lastRow="0" w:noHBand="0" w:noVBand="1" w:val="04A0"/>
      </w:tblPr>
      <w:tblGrid>
        <w:gridCol w:w="8640"/>
      </w:tblGrid>
      <w:tr>
        <w:tc>
          <w:tcPr>
            <w:tcW w:type="dxa" w:w="8640"/>
          </w:tcPr>
          <w:p>
            <w:r>
              <w:rPr>
                <w:b/>
                <w:sz w:val="24"/>
              </w:rPr>
              <w:t>✅ Financial Case Assessment: FULLY AFFORDABLE</w:t>
            </w:r>
          </w:p>
          <w:p>
            <w:pPr/>
            <w:r>
              <w:t>The investment is demonstrably affordable with multiple funding routes available. The sub-1-month payback period enables self-financing, eliminating dependency on external funding. The proposal creates sustainable budget savings of £680K+ annually, releasing resources for care quality investments.</w:t>
            </w:r>
          </w:p>
        </w:tc>
      </w:tr>
    </w:tbl>
    <w:p>
      <w:r>
        <w:br w:type="page"/>
      </w:r>
    </w:p>
    <w:p>
      <w:pPr>
        <w:pStyle w:val="Heading1"/>
      </w:pPr>
      <w:r>
        <w:rPr>
          <w:color w:val="002060"/>
        </w:rPr>
        <w:t>5. Management Case</w:t>
      </w:r>
    </w:p>
    <w:p>
      <w:pPr>
        <w:pStyle w:val="Heading2"/>
      </w:pPr>
      <w:r>
        <w:rPr>
          <w:color w:val="44546A"/>
        </w:rPr>
        <w:t>5.1 Introduction</w:t>
      </w:r>
    </w:p>
    <w:p>
      <w:r>
        <w:t>This section demonstrates that the proposal is achievable and can be delivered successfully to realize the projected benefits.</w:t>
      </w:r>
    </w:p>
    <w:p>
      <w:pPr>
        <w:pStyle w:val="Heading2"/>
      </w:pPr>
      <w:r>
        <w:rPr>
          <w:color w:val="44546A"/>
        </w:rPr>
        <w:t>5.2 Project Management Arrangements</w:t>
      </w:r>
    </w:p>
    <w:p>
      <w:r>
        <w:t>**Governance Structure:**</w:t>
      </w:r>
    </w:p>
    <w:p>
      <w:pPr>
        <w:pStyle w:val="ListBullet"/>
      </w:pPr>
      <w:r>
        <w:t>Project Sponsor: Director of Operations (HSCP)</w:t>
      </w:r>
    </w:p>
    <w:p>
      <w:pPr>
        <w:pStyle w:val="ListBullet"/>
      </w:pPr>
      <w:r>
        <w:t>Senior Responsible Owner: Head of Service</w:t>
      </w:r>
    </w:p>
    <w:p>
      <w:pPr>
        <w:pStyle w:val="ListBullet"/>
      </w:pPr>
      <w:r>
        <w:t>Project Manager: Dedicated PM (60 days, £21,000)</w:t>
      </w:r>
    </w:p>
    <w:p>
      <w:pPr>
        <w:pStyle w:val="ListBullet"/>
      </w:pPr>
      <w:r>
        <w:t>Steering Committee: Monthly reporting to HSCP Board</w:t>
      </w:r>
    </w:p>
    <w:p>
      <w:pPr>
        <w:pStyle w:val="ListBullet"/>
      </w:pPr>
      <w:r>
        <w:t>Technical Lead: System architect (60 days, £27,000)</w:t>
      </w:r>
    </w:p>
    <w:p>
      <w:pPr>
        <w:pStyle w:val="Heading2"/>
      </w:pPr>
      <w:r>
        <w:rPr>
          <w:color w:val="44546A"/>
        </w:rPr>
        <w:t>5.3 Implementation Timeline</w:t>
      </w:r>
    </w:p>
    <w:p>
      <w:r>
        <w:t>**12-Week Phased Implementation:**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Phase</w:t>
            </w:r>
          </w:p>
        </w:tc>
        <w:tc>
          <w:tcPr>
            <w:tcW w:type="dxa" w:w="2880"/>
          </w:tcPr>
          <w:p>
            <w:r>
              <w:t>Duration</w:t>
            </w:r>
          </w:p>
        </w:tc>
        <w:tc>
          <w:tcPr>
            <w:tcW w:type="dxa" w:w="2880"/>
          </w:tcPr>
          <w:p>
            <w:r>
              <w:t>Key Deliverables</w:t>
            </w:r>
          </w:p>
        </w:tc>
      </w:tr>
      <w:tr>
        <w:tc>
          <w:tcPr>
            <w:tcW w:type="dxa" w:w="2880"/>
          </w:tcPr>
          <w:p>
            <w:r>
              <w:t>1. Project Mobilization</w:t>
            </w:r>
          </w:p>
        </w:tc>
        <w:tc>
          <w:tcPr>
            <w:tcW w:type="dxa" w:w="2880"/>
          </w:tcPr>
          <w:p>
            <w:r>
              <w:t>Weeks 1-2</w:t>
            </w:r>
          </w:p>
        </w:tc>
        <w:tc>
          <w:tcPr>
            <w:tcW w:type="dxa" w:w="2880"/>
          </w:tcPr>
          <w:p>
            <w:r>
              <w:t>Team setup, stakeholder alignment, risk register</w:t>
            </w:r>
          </w:p>
        </w:tc>
      </w:tr>
      <w:tr>
        <w:tc>
          <w:tcPr>
            <w:tcW w:type="dxa" w:w="2880"/>
          </w:tcPr>
          <w:p>
            <w:r>
              <w:t>2. Infrastructure Setup</w:t>
            </w:r>
          </w:p>
        </w:tc>
        <w:tc>
          <w:tcPr>
            <w:tcW w:type="dxa" w:w="2880"/>
          </w:tcPr>
          <w:p>
            <w:r>
              <w:t>Weeks 3-4</w:t>
            </w:r>
          </w:p>
        </w:tc>
        <w:tc>
          <w:tcPr>
            <w:tcW w:type="dxa" w:w="2880"/>
          </w:tcPr>
          <w:p>
            <w:r>
              <w:t>Cloud hosting, security, testing environment</w:t>
            </w:r>
          </w:p>
        </w:tc>
      </w:tr>
      <w:tr>
        <w:tc>
          <w:tcPr>
            <w:tcW w:type="dxa" w:w="2880"/>
          </w:tcPr>
          <w:p>
            <w:r>
              <w:t>3. Training &amp; Change</w:t>
            </w:r>
          </w:p>
        </w:tc>
        <w:tc>
          <w:tcPr>
            <w:tcW w:type="dxa" w:w="2880"/>
          </w:tcPr>
          <w:p>
            <w:r>
              <w:t>Weeks 5-8</w:t>
            </w:r>
          </w:p>
        </w:tc>
        <w:tc>
          <w:tcPr>
            <w:tcW w:type="dxa" w:w="2880"/>
          </w:tcPr>
          <w:p>
            <w:r>
              <w:t>200 staff trained, super-users identified</w:t>
            </w:r>
          </w:p>
        </w:tc>
      </w:tr>
      <w:tr>
        <w:tc>
          <w:tcPr>
            <w:tcW w:type="dxa" w:w="2880"/>
          </w:tcPr>
          <w:p>
            <w:r>
              <w:t>4. Pilot Deployment</w:t>
            </w:r>
          </w:p>
        </w:tc>
        <w:tc>
          <w:tcPr>
            <w:tcW w:type="dxa" w:w="2880"/>
          </w:tcPr>
          <w:p>
            <w:r>
              <w:t>Weeks 9-10</w:t>
            </w:r>
          </w:p>
        </w:tc>
        <w:tc>
          <w:tcPr>
            <w:tcW w:type="dxa" w:w="2880"/>
          </w:tcPr>
          <w:p>
            <w:r>
              <w:t>1 home live, issues resolved, lessons captured</w:t>
            </w:r>
          </w:p>
        </w:tc>
      </w:tr>
      <w:tr>
        <w:tc>
          <w:tcPr>
            <w:tcW w:type="dxa" w:w="2880"/>
          </w:tcPr>
          <w:p>
            <w:r>
              <w:t>5. Full Rollout</w:t>
            </w:r>
          </w:p>
        </w:tc>
        <w:tc>
          <w:tcPr>
            <w:tcW w:type="dxa" w:w="2880"/>
          </w:tcPr>
          <w:p>
            <w:r>
              <w:t>Weeks 11-12</w:t>
            </w:r>
          </w:p>
        </w:tc>
        <w:tc>
          <w:tcPr>
            <w:tcW w:type="dxa" w:w="2880"/>
          </w:tcPr>
          <w:p>
            <w:r>
              <w:t>All 5 homes live, support established</w:t>
            </w:r>
          </w:p>
        </w:tc>
      </w:tr>
    </w:tbl>
    <w:p>
      <w:r>
        <w:t>\n**Critical Milestones:**</w:t>
      </w:r>
    </w:p>
    <w:p>
      <w:r>
        <w:t>• Go/No-Go Decision: End Week 2</w:t>
      </w:r>
    </w:p>
    <w:p>
      <w:r>
        <w:t>• Pilot Go-Live: 21 March 2026</w:t>
      </w:r>
    </w:p>
    <w:p>
      <w:r>
        <w:t>• Full Deployment Complete: 17 April 2026</w:t>
      </w:r>
    </w:p>
    <w:p>
      <w:r>
        <w:t>• Benefits Realization Start: May 2026</w:t>
      </w:r>
    </w:p>
    <w:p>
      <w:pPr>
        <w:pStyle w:val="Heading2"/>
      </w:pPr>
      <w:r>
        <w:rPr>
          <w:color w:val="44546A"/>
        </w:rPr>
        <w:t>5.4 Benefits Realization</w:t>
      </w:r>
    </w:p>
    <w:p>
      <w:r>
        <w:t>**Benefits Tracking Regime:**</w:t>
      </w:r>
    </w:p>
    <w:p>
      <w:pPr>
        <w:pStyle w:val="ListBullet"/>
      </w:pPr>
      <w:r>
        <w:t>Monthly Scorecard: 10 KPIs tracked from May 2026</w:t>
      </w:r>
    </w:p>
    <w:p>
      <w:pPr>
        <w:pStyle w:val="ListBullet"/>
      </w:pPr>
      <w:r>
        <w:t>Quarterly Review: Steering Committee assessment vs. baseline</w:t>
      </w:r>
    </w:p>
    <w:p>
      <w:pPr>
        <w:pStyle w:val="ListBullet"/>
      </w:pPr>
      <w:r>
        <w:t>Annual Validation: External audit of ROI calculation</w:t>
      </w:r>
    </w:p>
    <w:p>
      <w:pPr>
        <w:pStyle w:val="ListBullet"/>
      </w:pPr>
      <w:r>
        <w:t>Target: 90% of projected benefits achieved by Month 6</w:t>
      </w:r>
    </w:p>
    <w:p>
      <w:r>
        <w:t>\n**Key Performance Indicators:**</w:t>
      </w:r>
    </w:p>
    <w:p>
      <w:pPr>
        <w:pStyle w:val="ListBullet"/>
      </w:pPr>
      <w:r>
        <w:t>Administrative hours per OM (baseline: 25 hrs/week → target: 3 hrs/week)</w:t>
      </w:r>
    </w:p>
    <w:p>
      <w:pPr>
        <w:pStyle w:val="ListBullet"/>
      </w:pPr>
      <w:r>
        <w:t>Agency spend (baseline: £310K/year → target: £263.5K/year)</w:t>
      </w:r>
    </w:p>
    <w:p>
      <w:pPr>
        <w:pStyle w:val="ListBullet"/>
      </w:pPr>
      <w:r>
        <w:t>Overtime spend (baseline: £364K/year → target: £309K/year)</w:t>
      </w:r>
    </w:p>
    <w:p>
      <w:pPr>
        <w:pStyle w:val="ListBullet"/>
      </w:pPr>
      <w:r>
        <w:t>Compliance penalties (baseline: £31K/year → target: £0)</w:t>
      </w:r>
    </w:p>
    <w:p>
      <w:pPr>
        <w:pStyle w:val="ListBullet"/>
      </w:pPr>
      <w:r>
        <w:t>Staff turnover (baseline: 12% → target: 10%)</w:t>
      </w:r>
    </w:p>
    <w:p>
      <w:pPr>
        <w:pStyle w:val="Heading2"/>
      </w:pPr>
      <w:r>
        <w:rPr>
          <w:color w:val="44546A"/>
        </w:rPr>
        <w:t>5.5 Risk Management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Risk</w:t>
            </w:r>
          </w:p>
        </w:tc>
        <w:tc>
          <w:tcPr>
            <w:tcW w:type="dxa" w:w="2160"/>
          </w:tcPr>
          <w:p>
            <w:r>
              <w:t>Probability</w:t>
            </w:r>
          </w:p>
        </w:tc>
        <w:tc>
          <w:tcPr>
            <w:tcW w:type="dxa" w:w="2160"/>
          </w:tcPr>
          <w:p>
            <w:r>
              <w:t>Impact</w:t>
            </w:r>
          </w:p>
        </w:tc>
        <w:tc>
          <w:tcPr>
            <w:tcW w:type="dxa" w:w="2160"/>
          </w:tcPr>
          <w:p>
            <w:r>
              <w:t>Mitigation</w:t>
            </w:r>
          </w:p>
        </w:tc>
      </w:tr>
      <w:tr>
        <w:tc>
          <w:tcPr>
            <w:tcW w:type="dxa" w:w="2160"/>
          </w:tcPr>
          <w:p>
            <w:r>
              <w:t>User resistance</w:t>
            </w:r>
          </w:p>
        </w:tc>
        <w:tc>
          <w:tcPr>
            <w:tcW w:type="dxa" w:w="2160"/>
          </w:tcPr>
          <w:p>
            <w:r>
              <w:t>Medium</w:t>
            </w:r>
          </w:p>
        </w:tc>
        <w:tc>
          <w:tcPr>
            <w:tcW w:type="dxa" w:w="2160"/>
          </w:tcPr>
          <w:p>
            <w:r>
              <w:t>Medium</w:t>
            </w:r>
          </w:p>
        </w:tc>
        <w:tc>
          <w:tcPr>
            <w:tcW w:type="dxa" w:w="2160"/>
          </w:tcPr>
          <w:p>
            <w:r>
              <w:t>200-person training program; super-user network</w:t>
            </w:r>
          </w:p>
        </w:tc>
      </w:tr>
      <w:tr>
        <w:tc>
          <w:tcPr>
            <w:tcW w:type="dxa" w:w="2160"/>
          </w:tcPr>
          <w:p>
            <w:r>
              <w:t>Technical issues</w:t>
            </w:r>
          </w:p>
        </w:tc>
        <w:tc>
          <w:tcPr>
            <w:tcW w:type="dxa" w:w="2160"/>
          </w:tcPr>
          <w:p>
            <w:r>
              <w:t>Low</w:t>
            </w:r>
          </w:p>
        </w:tc>
        <w:tc>
          <w:tcPr>
            <w:tcW w:type="dxa" w:w="2160"/>
          </w:tcPr>
          <w:p>
            <w:r>
              <w:t>High</w:t>
            </w:r>
          </w:p>
        </w:tc>
        <w:tc>
          <w:tcPr>
            <w:tcW w:type="dxa" w:w="2160"/>
          </w:tcPr>
          <w:p>
            <w:r>
              <w:t>System proven in production; 2-week pilot de-risks</w:t>
            </w:r>
          </w:p>
        </w:tc>
      </w:tr>
      <w:tr>
        <w:tc>
          <w:tcPr>
            <w:tcW w:type="dxa" w:w="2160"/>
          </w:tcPr>
          <w:p>
            <w:r>
              <w:t>Budget overrun</w:t>
            </w:r>
          </w:p>
        </w:tc>
        <w:tc>
          <w:tcPr>
            <w:tcW w:type="dxa" w:w="2160"/>
          </w:tcPr>
          <w:p>
            <w:r>
              <w:t>Low</w:t>
            </w:r>
          </w:p>
        </w:tc>
        <w:tc>
          <w:tcPr>
            <w:tcW w:type="dxa" w:w="2160"/>
          </w:tcPr>
          <w:p>
            <w:r>
              <w:t>Low</w:t>
            </w:r>
          </w:p>
        </w:tc>
        <w:tc>
          <w:tcPr>
            <w:tcW w:type="dxa" w:w="2160"/>
          </w:tcPr>
          <w:p>
            <w:r>
              <w:t>£7,140 contingency (13%); fixed-price contracts</w:t>
            </w:r>
          </w:p>
        </w:tc>
      </w:tr>
      <w:tr>
        <w:tc>
          <w:tcPr>
            <w:tcW w:type="dxa" w:w="2160"/>
          </w:tcPr>
          <w:p>
            <w:r>
              <w:t>Scope creep</w:t>
            </w:r>
          </w:p>
        </w:tc>
        <w:tc>
          <w:tcPr>
            <w:tcW w:type="dxa" w:w="2160"/>
          </w:tcPr>
          <w:p>
            <w:r>
              <w:t>Medium</w:t>
            </w:r>
          </w:p>
        </w:tc>
        <w:tc>
          <w:tcPr>
            <w:tcW w:type="dxa" w:w="2160"/>
          </w:tcPr>
          <w:p>
            <w:r>
              <w:t>Medium</w:t>
            </w:r>
          </w:p>
        </w:tc>
        <w:tc>
          <w:tcPr>
            <w:tcW w:type="dxa" w:w="2160"/>
          </w:tcPr>
          <w:p>
            <w:r>
              <w:t>Strict change control; deferred features to Phase 2</w:t>
            </w:r>
          </w:p>
        </w:tc>
      </w:tr>
      <w:tr>
        <w:tc>
          <w:tcPr>
            <w:tcW w:type="dxa" w:w="2160"/>
          </w:tcPr>
          <w:p>
            <w:r>
              <w:t>Key person dependency</w:t>
            </w:r>
          </w:p>
        </w:tc>
        <w:tc>
          <w:tcPr>
            <w:tcW w:type="dxa" w:w="2160"/>
          </w:tcPr>
          <w:p>
            <w:r>
              <w:t>Low</w:t>
            </w:r>
          </w:p>
        </w:tc>
        <w:tc>
          <w:tcPr>
            <w:tcW w:type="dxa" w:w="2160"/>
          </w:tcPr>
          <w:p>
            <w:r>
              <w:t>Medium</w:t>
            </w:r>
          </w:p>
        </w:tc>
        <w:tc>
          <w:tcPr>
            <w:tcW w:type="dxa" w:w="2160"/>
          </w:tcPr>
          <w:p>
            <w:r>
              <w:t>Knowledge transfer; documentation; shared roles</w:t>
            </w:r>
          </w:p>
        </w:tc>
      </w:tr>
    </w:tbl>
    <w:p>
      <w:pPr>
        <w:pStyle w:val="Heading2"/>
      </w:pPr>
      <w:r>
        <w:rPr>
          <w:color w:val="44546A"/>
        </w:rPr>
        <w:t>5.6 Change Management</w:t>
      </w:r>
    </w:p>
    <w:p>
      <w:r>
        <w:t>**Stakeholder Engagement:**</w:t>
      </w:r>
    </w:p>
    <w:p>
      <w:r>
        <w:t>• Co-design: 9 OMs and 5 SMs involved in requirements gathering</w:t>
      </w:r>
    </w:p>
    <w:p>
      <w:r>
        <w:t>• Communication: Weekly bulletins, Q&amp;A sessions, launch event</w:t>
      </w:r>
    </w:p>
    <w:p>
      <w:r>
        <w:t>• Training: 15 sessions × 15 staff = 200 users trained</w:t>
      </w:r>
    </w:p>
    <w:p>
      <w:r>
        <w:t>• Support: Helpdesk, super-users, on-site support during go-live</w:t>
      </w:r>
    </w:p>
    <w:p>
      <w:pPr>
        <w:pStyle w:val="Heading2"/>
      </w:pPr>
      <w:r>
        <w:rPr>
          <w:color w:val="44546A"/>
        </w:rPr>
        <w:t>5.7 Post-Implementation Review</w:t>
      </w:r>
    </w:p>
    <w:p>
      <w:r>
        <w:t>**Review Schedule:**</w:t>
      </w:r>
    </w:p>
    <w:p>
      <w:r>
        <w:t>• 3 Months (August 2026): Early benefits assessment</w:t>
      </w:r>
    </w:p>
    <w:p>
      <w:r>
        <w:t>• 6 Months (November 2026): First formal ROI validation</w:t>
      </w:r>
    </w:p>
    <w:p>
      <w:r>
        <w:t>• 12 Months (May 2027): Full project closure; lessons learned</w:t>
      </w:r>
    </w:p>
    <w:p>
      <w:pPr>
        <w:pStyle w:val="Heading2"/>
      </w:pPr>
      <w:r>
        <w:rPr>
          <w:color w:val="44546A"/>
        </w:rPr>
        <w:t>5.8 Management Case Conclusion</w:t>
      </w:r>
    </w:p>
    <w:tbl>
      <w:tblPr>
        <w:tblStyle w:val="LightGrid-Accent1"/>
        <w:tblW w:type="auto" w:w="0"/>
        <w:tblLook w:firstColumn="1" w:firstRow="1" w:lastColumn="0" w:lastRow="0" w:noHBand="0" w:noVBand="1" w:val="04A0"/>
      </w:tblPr>
      <w:tblGrid>
        <w:gridCol w:w="8640"/>
      </w:tblGrid>
      <w:tr>
        <w:tc>
          <w:tcPr>
            <w:tcW w:type="dxa" w:w="8640"/>
          </w:tcPr>
          <w:p>
            <w:r>
              <w:rPr>
                <w:b/>
                <w:sz w:val="24"/>
              </w:rPr>
              <w:t>✅ Management Case Assessment: DELIVERABLE</w:t>
            </w:r>
          </w:p>
          <w:p>
            <w:pPr/>
            <w:r>
              <w:t>The 12-week implementation plan is realistic and achievable. Robust governance, risk management, and benefits tracking arrangements are in place. The system is 95% complete, significantly de-risking delivery. Pilot approach provides controlled rollout. Low implementation risk overall.</w:t>
            </w:r>
          </w:p>
        </w:tc>
      </w:tr>
    </w:tbl>
    <w:p>
      <w:r>
        <w:br w:type="page"/>
      </w:r>
    </w:p>
    <w:p>
      <w:pPr>
        <w:pStyle w:val="Heading1"/>
      </w:pPr>
      <w:r>
        <w:rPr>
          <w:color w:val="006000"/>
        </w:rPr>
        <w:t>6. Recommendation</w:t>
      </w:r>
    </w:p>
    <w:p>
      <w:r>
        <w:t>\n</w:t>
      </w:r>
    </w:p>
    <w:tbl>
      <w:tblPr>
        <w:tblStyle w:val="LightGrid-Accent1"/>
        <w:tblW w:type="auto" w:w="0"/>
        <w:tblLook w:firstColumn="1" w:firstRow="1" w:lastColumn="0" w:lastRow="0" w:noHBand="0" w:noVBand="1" w:val="04A0"/>
      </w:tblPr>
      <w:tblGrid>
        <w:gridCol w:w="8640"/>
      </w:tblGrid>
      <w:tr>
        <w:tc>
          <w:tcPr>
            <w:tcW w:type="dxa" w:w="8640"/>
          </w:tcPr>
          <w:p>
            <w:r>
              <w:rPr>
                <w:b/>
                <w:sz w:val="24"/>
              </w:rPr>
              <w:t>✅ RECOMMENDATION: APPROVE</w:t>
            </w:r>
          </w:p>
          <w:p>
            <w:pPr/>
            <w:r>
              <w:t>Based on the comprehensive Five Case Model assessment, this business case demonstrates:\n\n✅ Strategic Case: STRONG - Clear strategic need; aligns with organizational objectives\n✅ Economic Case: EXCEPTIONAL - 1,143% ROI; £2.16M 3-year NPV; top 1% VFM\n✅ Commercial Case: STRONG - Proven solution; appropriate risk allocation\n✅ Financial Case: FULLY AFFORDABLE - Self-financing within 1 month\n✅ Management Case: DELIVERABLE - Low risk; robust delivery plan\n\nThe investment meets all HM Treasury Green Book approval criteria and represents exceptional value for public money. Approval is recommended with immediate effect.</w:t>
            </w:r>
          </w:p>
        </w:tc>
      </w:tr>
    </w:tbl>
    <w:p>
      <w:r>
        <w:t>\n**Approvals Required:**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Role</w:t>
            </w:r>
          </w:p>
        </w:tc>
        <w:tc>
          <w:tcPr>
            <w:tcW w:type="dxa" w:w="2880"/>
          </w:tcPr>
          <w:p>
            <w:r>
              <w:t>Name</w:t>
            </w:r>
          </w:p>
        </w:tc>
        <w:tc>
          <w:tcPr>
            <w:tcW w:type="dxa" w:w="2880"/>
          </w:tcPr>
          <w:p>
            <w:r>
              <w:t>Signature / Date</w:t>
            </w:r>
          </w:p>
        </w:tc>
      </w:tr>
      <w:tr>
        <w:tc>
          <w:tcPr>
            <w:tcW w:type="dxa" w:w="2880"/>
          </w:tcPr>
          <w:p>
            <w:r>
              <w:t>Director of Operations</w:t>
            </w:r>
          </w:p>
        </w:tc>
        <w:tc>
          <w:tcPr>
            <w:tcW w:type="dxa" w:w="2880"/>
          </w:tcPr>
          <w:p>
            <w:r>
              <w:t>[Name]</w:t>
            </w:r>
          </w:p>
        </w:tc>
        <w:tc>
          <w:tcPr>
            <w:tcW w:type="dxa" w:w="2880"/>
          </w:tcPr>
          <w:p>
            <w:r/>
          </w:p>
        </w:tc>
      </w:tr>
      <w:tr>
        <w:tc>
          <w:tcPr>
            <w:tcW w:type="dxa" w:w="2880"/>
          </w:tcPr>
          <w:p>
            <w:r>
              <w:t>Chief Financial Officer</w:t>
            </w:r>
          </w:p>
        </w:tc>
        <w:tc>
          <w:tcPr>
            <w:tcW w:type="dxa" w:w="2880"/>
          </w:tcPr>
          <w:p>
            <w:r>
              <w:t>[Name]</w:t>
            </w:r>
          </w:p>
        </w:tc>
        <w:tc>
          <w:tcPr>
            <w:tcW w:type="dxa" w:w="2880"/>
          </w:tcPr>
          <w:p>
            <w:r/>
          </w:p>
        </w:tc>
      </w:tr>
      <w:tr>
        <w:tc>
          <w:tcPr>
            <w:tcW w:type="dxa" w:w="2880"/>
          </w:tcPr>
          <w:p>
            <w:r>
              <w:t>Head of IT</w:t>
            </w:r>
          </w:p>
        </w:tc>
        <w:tc>
          <w:tcPr>
            <w:tcW w:type="dxa" w:w="2880"/>
          </w:tcPr>
          <w:p>
            <w:r>
              <w:t>[Name]</w:t>
            </w:r>
          </w:p>
        </w:tc>
        <w:tc>
          <w:tcPr>
            <w:tcW w:type="dxa" w:w="2880"/>
          </w:tcPr>
          <w:p>
            <w:r/>
          </w:p>
        </w:tc>
      </w:tr>
      <w:tr>
        <w:tc>
          <w:tcPr>
            <w:tcW w:type="dxa" w:w="2880"/>
          </w:tcPr>
          <w:p>
            <w:r>
              <w:t>HSCP Board Chair</w:t>
            </w:r>
          </w:p>
        </w:tc>
        <w:tc>
          <w:tcPr>
            <w:tcW w:type="dxa" w:w="2880"/>
          </w:tcPr>
          <w:p>
            <w:r>
              <w:t>[Name]</w:t>
            </w:r>
          </w:p>
        </w:tc>
        <w:tc>
          <w:tcPr>
            <w:tcW w:type="dxa" w:w="2880"/>
          </w:tcPr>
          <w:p>
            <w:r/>
          </w:p>
        </w:tc>
      </w:tr>
    </w:tbl>
    <w:p>
      <w:r>
        <w:br w:type="page"/>
      </w:r>
    </w:p>
    <w:p>
      <w:pPr>
        <w:pStyle w:val="Heading1"/>
      </w:pPr>
      <w:r>
        <w:rPr>
          <w:color w:val="44546A"/>
        </w:rPr>
        <w:t>Appendices</w:t>
      </w:r>
    </w:p>
    <w:p>
      <w:r>
        <w:t>A. Detailed Cost Breakdown</w:t>
      </w:r>
    </w:p>
    <w:p>
      <w:r>
        <w:t>B. Benefits Register</w:t>
      </w:r>
    </w:p>
    <w:p>
      <w:r>
        <w:t>C. Risk Register</w:t>
      </w:r>
    </w:p>
    <w:p>
      <w:r>
        <w:t>D. Implementation Plan (12 Weeks)</w:t>
      </w:r>
    </w:p>
    <w:p>
      <w:r>
        <w:t>E. Stakeholder Analysis</w:t>
      </w:r>
    </w:p>
    <w:p>
      <w:r>
        <w:t>F. Technical Architecture</w:t>
      </w:r>
    </w:p>
    <w:p>
      <w:r>
        <w:t>G. Training Plan</w:t>
      </w:r>
    </w:p>
    <w:p>
      <w:r>
        <w:t>H. Benefits Realization Plan</w:t>
      </w:r>
    </w:p>
    <w:p>
      <w:r>
        <w:t>\n\n**Supporting Documents:**</w:t>
      </w:r>
    </w:p>
    <w:p>
      <w:r>
        <w:t>• HSCP_12_Week_Implementation_Plan.docx</w:t>
      </w:r>
    </w:p>
    <w:p>
      <w:r>
        <w:t>• HSCP_ROI_Analysis.docx</w:t>
      </w:r>
    </w:p>
    <w:p>
      <w:r>
        <w:t>• Academic Paper v1 (Research validation)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