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w:t>
      </w:r>
      <w:bookmarkStart w:id="0" w:name="_GoBack"/>
      <w:bookmarkEnd w:id="0"/>
      <w:r w:rsidRPr="00B21930">
        <w:rPr>
          <w:rFonts w:ascii="Calibri" w:eastAsia="ヒラギノ角ゴ Pro W3" w:hAnsi="Calibri"/>
          <w:color w:val="000000"/>
          <w:sz w:val="56"/>
        </w:rPr>
        <w:t xml:space="preserve">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163B4A">
        <w:rPr>
          <w:sz w:val="56"/>
        </w:rPr>
        <w:t>Work Capability</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163B4A">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163B4A">
        <w:rPr>
          <w:sz w:val="56"/>
        </w:rPr>
        <w:t>B2MML-WorkCapability</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313422"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313422" w:rsidRDefault="00313422">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_Toc351126990 \h </w:instrText>
      </w:r>
      <w:r>
        <w:rPr>
          <w:noProof/>
        </w:rPr>
      </w:r>
      <w:r>
        <w:rPr>
          <w:noProof/>
        </w:rPr>
        <w:fldChar w:fldCharType="separate"/>
      </w:r>
      <w:r w:rsidR="00163B4A">
        <w:rPr>
          <w:noProof/>
        </w:rPr>
        <w:t>3</w:t>
      </w:r>
      <w:r>
        <w:rPr>
          <w:noProof/>
        </w:rPr>
        <w:fldChar w:fldCharType="end"/>
      </w:r>
    </w:p>
    <w:p w:rsidR="00313422" w:rsidRDefault="00313422">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_Toc351126991 \h </w:instrText>
      </w:r>
      <w:r>
        <w:rPr>
          <w:noProof/>
        </w:rPr>
      </w:r>
      <w:r>
        <w:rPr>
          <w:noProof/>
        </w:rPr>
        <w:fldChar w:fldCharType="separate"/>
      </w:r>
      <w:r w:rsidR="00163B4A">
        <w:rPr>
          <w:noProof/>
        </w:rPr>
        <w:t>4</w:t>
      </w:r>
      <w:r>
        <w:rPr>
          <w:noProof/>
        </w:rPr>
        <w:fldChar w:fldCharType="end"/>
      </w:r>
    </w:p>
    <w:p w:rsidR="00313422" w:rsidRDefault="00313422">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_Toc351126992 \h </w:instrText>
      </w:r>
      <w:r>
        <w:rPr>
          <w:noProof/>
        </w:rPr>
      </w:r>
      <w:r>
        <w:rPr>
          <w:noProof/>
        </w:rPr>
        <w:fldChar w:fldCharType="separate"/>
      </w:r>
      <w:r w:rsidR="00163B4A">
        <w:rPr>
          <w:noProof/>
        </w:rPr>
        <w:t>4</w:t>
      </w:r>
      <w:r>
        <w:rPr>
          <w:noProof/>
        </w:rPr>
        <w:fldChar w:fldCharType="end"/>
      </w:r>
    </w:p>
    <w:p w:rsidR="00313422" w:rsidRDefault="00313422">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_Toc351126993 \h </w:instrText>
      </w:r>
      <w:r>
        <w:rPr>
          <w:noProof/>
        </w:rPr>
      </w:r>
      <w:r>
        <w:rPr>
          <w:noProof/>
        </w:rPr>
        <w:fldChar w:fldCharType="separate"/>
      </w:r>
      <w:r w:rsidR="00163B4A">
        <w:rPr>
          <w:noProof/>
        </w:rPr>
        <w:t>5</w:t>
      </w:r>
      <w:r>
        <w:rPr>
          <w:noProof/>
        </w:rPr>
        <w:fldChar w:fldCharType="end"/>
      </w:r>
    </w:p>
    <w:p w:rsidR="00313422" w:rsidRDefault="00313422">
      <w:pPr>
        <w:pStyle w:val="TOC2"/>
        <w:rPr>
          <w:rFonts w:asciiTheme="minorHAnsi" w:eastAsiaTheme="minorEastAsia" w:hAnsiTheme="minorHAnsi" w:cstheme="minorBidi"/>
          <w:noProof/>
          <w:color w:val="auto"/>
          <w:szCs w:val="22"/>
        </w:rPr>
      </w:pPr>
      <w:r>
        <w:rPr>
          <w:noProof/>
        </w:rPr>
        <w:t>WorkCapabilityInformation</w:t>
      </w:r>
      <w:r>
        <w:rPr>
          <w:noProof/>
        </w:rPr>
        <w:tab/>
      </w:r>
      <w:r>
        <w:rPr>
          <w:noProof/>
        </w:rPr>
        <w:fldChar w:fldCharType="begin"/>
      </w:r>
      <w:r>
        <w:rPr>
          <w:noProof/>
        </w:rPr>
        <w:instrText xml:space="preserve"> PAGEREF _Toc351126994 \h </w:instrText>
      </w:r>
      <w:r>
        <w:rPr>
          <w:noProof/>
        </w:rPr>
      </w:r>
      <w:r>
        <w:rPr>
          <w:noProof/>
        </w:rPr>
        <w:fldChar w:fldCharType="separate"/>
      </w:r>
      <w:r w:rsidR="00163B4A">
        <w:rPr>
          <w:noProof/>
        </w:rPr>
        <w:t>5</w:t>
      </w:r>
      <w:r>
        <w:rPr>
          <w:noProof/>
        </w:rPr>
        <w:fldChar w:fldCharType="end"/>
      </w:r>
    </w:p>
    <w:p w:rsidR="00313422" w:rsidRDefault="00313422">
      <w:pPr>
        <w:pStyle w:val="TOC2"/>
        <w:rPr>
          <w:rFonts w:asciiTheme="minorHAnsi" w:eastAsiaTheme="minorEastAsia" w:hAnsiTheme="minorHAnsi" w:cstheme="minorBidi"/>
          <w:noProof/>
          <w:color w:val="auto"/>
          <w:szCs w:val="22"/>
        </w:rPr>
      </w:pPr>
      <w:r>
        <w:rPr>
          <w:noProof/>
        </w:rPr>
        <w:t>WorkCapability</w:t>
      </w:r>
      <w:r>
        <w:rPr>
          <w:noProof/>
        </w:rPr>
        <w:tab/>
      </w:r>
      <w:r>
        <w:rPr>
          <w:noProof/>
        </w:rPr>
        <w:fldChar w:fldCharType="begin"/>
      </w:r>
      <w:r>
        <w:rPr>
          <w:noProof/>
        </w:rPr>
        <w:instrText xml:space="preserve"> PAGEREF _Toc351126995 \h </w:instrText>
      </w:r>
      <w:r>
        <w:rPr>
          <w:noProof/>
        </w:rPr>
      </w:r>
      <w:r>
        <w:rPr>
          <w:noProof/>
        </w:rPr>
        <w:fldChar w:fldCharType="separate"/>
      </w:r>
      <w:r w:rsidR="00163B4A">
        <w:rPr>
          <w:noProof/>
        </w:rPr>
        <w:t>5</w:t>
      </w:r>
      <w:r>
        <w:rPr>
          <w:noProof/>
        </w:rPr>
        <w:fldChar w:fldCharType="end"/>
      </w:r>
    </w:p>
    <w:p w:rsidR="00313422" w:rsidRDefault="00313422">
      <w:pPr>
        <w:pStyle w:val="TOC2"/>
        <w:rPr>
          <w:rFonts w:asciiTheme="minorHAnsi" w:eastAsiaTheme="minorEastAsia" w:hAnsiTheme="minorHAnsi" w:cstheme="minorBidi"/>
          <w:noProof/>
          <w:color w:val="auto"/>
          <w:szCs w:val="22"/>
        </w:rPr>
      </w:pPr>
      <w:r>
        <w:rPr>
          <w:noProof/>
        </w:rPr>
        <w:t>Personnel Capability</w:t>
      </w:r>
      <w:r>
        <w:rPr>
          <w:noProof/>
        </w:rPr>
        <w:tab/>
      </w:r>
      <w:r>
        <w:rPr>
          <w:noProof/>
        </w:rPr>
        <w:fldChar w:fldCharType="begin"/>
      </w:r>
      <w:r>
        <w:rPr>
          <w:noProof/>
        </w:rPr>
        <w:instrText xml:space="preserve"> PAGEREF _Toc351126996 \h </w:instrText>
      </w:r>
      <w:r>
        <w:rPr>
          <w:noProof/>
        </w:rPr>
      </w:r>
      <w:r>
        <w:rPr>
          <w:noProof/>
        </w:rPr>
        <w:fldChar w:fldCharType="separate"/>
      </w:r>
      <w:r w:rsidR="00163B4A">
        <w:rPr>
          <w:noProof/>
        </w:rPr>
        <w:t>5</w:t>
      </w:r>
      <w:r>
        <w:rPr>
          <w:noProof/>
        </w:rPr>
        <w:fldChar w:fldCharType="end"/>
      </w:r>
    </w:p>
    <w:p w:rsidR="00313422" w:rsidRDefault="00313422">
      <w:pPr>
        <w:pStyle w:val="TOC2"/>
        <w:rPr>
          <w:rFonts w:asciiTheme="minorHAnsi" w:eastAsiaTheme="minorEastAsia" w:hAnsiTheme="minorHAnsi" w:cstheme="minorBidi"/>
          <w:noProof/>
          <w:color w:val="auto"/>
          <w:szCs w:val="22"/>
        </w:rPr>
      </w:pPr>
      <w:r>
        <w:rPr>
          <w:noProof/>
        </w:rPr>
        <w:t>EquipmentCapability</w:t>
      </w:r>
      <w:r>
        <w:rPr>
          <w:noProof/>
        </w:rPr>
        <w:tab/>
      </w:r>
      <w:r>
        <w:rPr>
          <w:noProof/>
        </w:rPr>
        <w:fldChar w:fldCharType="begin"/>
      </w:r>
      <w:r>
        <w:rPr>
          <w:noProof/>
        </w:rPr>
        <w:instrText xml:space="preserve"> PAGEREF _Toc351126997 \h </w:instrText>
      </w:r>
      <w:r>
        <w:rPr>
          <w:noProof/>
        </w:rPr>
      </w:r>
      <w:r>
        <w:rPr>
          <w:noProof/>
        </w:rPr>
        <w:fldChar w:fldCharType="separate"/>
      </w:r>
      <w:r w:rsidR="00163B4A">
        <w:rPr>
          <w:noProof/>
        </w:rPr>
        <w:t>5</w:t>
      </w:r>
      <w:r>
        <w:rPr>
          <w:noProof/>
        </w:rPr>
        <w:fldChar w:fldCharType="end"/>
      </w:r>
    </w:p>
    <w:p w:rsidR="00313422" w:rsidRDefault="00313422">
      <w:pPr>
        <w:pStyle w:val="TOC2"/>
        <w:rPr>
          <w:rFonts w:asciiTheme="minorHAnsi" w:eastAsiaTheme="minorEastAsia" w:hAnsiTheme="minorHAnsi" w:cstheme="minorBidi"/>
          <w:noProof/>
          <w:color w:val="auto"/>
          <w:szCs w:val="22"/>
        </w:rPr>
      </w:pPr>
      <w:r>
        <w:rPr>
          <w:noProof/>
        </w:rPr>
        <w:t>PhysicalAssetCapability</w:t>
      </w:r>
      <w:r>
        <w:rPr>
          <w:noProof/>
        </w:rPr>
        <w:tab/>
      </w:r>
      <w:r>
        <w:rPr>
          <w:noProof/>
        </w:rPr>
        <w:fldChar w:fldCharType="begin"/>
      </w:r>
      <w:r>
        <w:rPr>
          <w:noProof/>
        </w:rPr>
        <w:instrText xml:space="preserve"> PAGEREF _Toc351126998 \h </w:instrText>
      </w:r>
      <w:r>
        <w:rPr>
          <w:noProof/>
        </w:rPr>
      </w:r>
      <w:r>
        <w:rPr>
          <w:noProof/>
        </w:rPr>
        <w:fldChar w:fldCharType="separate"/>
      </w:r>
      <w:r w:rsidR="00163B4A">
        <w:rPr>
          <w:noProof/>
        </w:rPr>
        <w:t>6</w:t>
      </w:r>
      <w:r>
        <w:rPr>
          <w:noProof/>
        </w:rPr>
        <w:fldChar w:fldCharType="end"/>
      </w:r>
    </w:p>
    <w:p w:rsidR="00313422" w:rsidRDefault="00313422">
      <w:pPr>
        <w:pStyle w:val="TOC2"/>
        <w:rPr>
          <w:rFonts w:asciiTheme="minorHAnsi" w:eastAsiaTheme="minorEastAsia" w:hAnsiTheme="minorHAnsi" w:cstheme="minorBidi"/>
          <w:noProof/>
          <w:color w:val="auto"/>
          <w:szCs w:val="22"/>
        </w:rPr>
      </w:pPr>
      <w:r>
        <w:rPr>
          <w:noProof/>
        </w:rPr>
        <w:t>MaterialCapability</w:t>
      </w:r>
      <w:r>
        <w:rPr>
          <w:noProof/>
        </w:rPr>
        <w:tab/>
      </w:r>
      <w:r>
        <w:rPr>
          <w:noProof/>
        </w:rPr>
        <w:fldChar w:fldCharType="begin"/>
      </w:r>
      <w:r>
        <w:rPr>
          <w:noProof/>
        </w:rPr>
        <w:instrText xml:space="preserve"> PAGEREF _Toc351126999 \h </w:instrText>
      </w:r>
      <w:r>
        <w:rPr>
          <w:noProof/>
        </w:rPr>
      </w:r>
      <w:r>
        <w:rPr>
          <w:noProof/>
        </w:rPr>
        <w:fldChar w:fldCharType="separate"/>
      </w:r>
      <w:r w:rsidR="00163B4A">
        <w:rPr>
          <w:noProof/>
        </w:rPr>
        <w:t>6</w:t>
      </w:r>
      <w:r>
        <w:rPr>
          <w:noProof/>
        </w:rPr>
        <w:fldChar w:fldCharType="end"/>
      </w:r>
    </w:p>
    <w:p w:rsidR="00313422" w:rsidRDefault="00313422">
      <w:pPr>
        <w:pStyle w:val="TOC2"/>
        <w:rPr>
          <w:rFonts w:asciiTheme="minorHAnsi" w:eastAsiaTheme="minorEastAsia" w:hAnsiTheme="minorHAnsi" w:cstheme="minorBidi"/>
          <w:noProof/>
          <w:color w:val="auto"/>
          <w:szCs w:val="22"/>
        </w:rPr>
      </w:pPr>
      <w:r>
        <w:rPr>
          <w:noProof/>
        </w:rPr>
        <w:t>WorkMasterCapability</w:t>
      </w:r>
      <w:r>
        <w:rPr>
          <w:noProof/>
        </w:rPr>
        <w:tab/>
      </w:r>
      <w:r>
        <w:rPr>
          <w:noProof/>
        </w:rPr>
        <w:fldChar w:fldCharType="begin"/>
      </w:r>
      <w:r>
        <w:rPr>
          <w:noProof/>
        </w:rPr>
        <w:instrText xml:space="preserve"> PAGEREF _Toc351127000 \h </w:instrText>
      </w:r>
      <w:r>
        <w:rPr>
          <w:noProof/>
        </w:rPr>
      </w:r>
      <w:r>
        <w:rPr>
          <w:noProof/>
        </w:rPr>
        <w:fldChar w:fldCharType="separate"/>
      </w:r>
      <w:r w:rsidR="00163B4A">
        <w:rPr>
          <w:noProof/>
        </w:rPr>
        <w:t>6</w:t>
      </w:r>
      <w:r>
        <w:rPr>
          <w:noProof/>
        </w:rPr>
        <w:fldChar w:fldCharType="end"/>
      </w:r>
    </w:p>
    <w:p w:rsidR="00313422" w:rsidRDefault="00313422">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_Toc351127001 \h </w:instrText>
      </w:r>
      <w:r>
        <w:rPr>
          <w:noProof/>
        </w:rPr>
      </w:r>
      <w:r>
        <w:rPr>
          <w:noProof/>
        </w:rPr>
        <w:fldChar w:fldCharType="separate"/>
      </w:r>
      <w:r w:rsidR="00163B4A">
        <w:rPr>
          <w:noProof/>
        </w:rPr>
        <w:t>6</w:t>
      </w:r>
      <w:r>
        <w:rPr>
          <w:noProof/>
        </w:rPr>
        <w:fldChar w:fldCharType="end"/>
      </w:r>
    </w:p>
    <w:p w:rsidR="00313422" w:rsidRDefault="00313422">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_Toc351127002 \h </w:instrText>
      </w:r>
      <w:r>
        <w:rPr>
          <w:noProof/>
        </w:rPr>
      </w:r>
      <w:r>
        <w:rPr>
          <w:noProof/>
        </w:rPr>
        <w:fldChar w:fldCharType="separate"/>
      </w:r>
      <w:r w:rsidR="00163B4A">
        <w:rPr>
          <w:noProof/>
        </w:rPr>
        <w:t>8</w:t>
      </w:r>
      <w:r>
        <w:rPr>
          <w:noProof/>
        </w:rPr>
        <w:fldChar w:fldCharType="end"/>
      </w:r>
    </w:p>
    <w:p w:rsidR="00313422" w:rsidRDefault="00313422">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_Toc351127003 \h </w:instrText>
      </w:r>
      <w:r>
        <w:rPr>
          <w:noProof/>
        </w:rPr>
      </w:r>
      <w:r>
        <w:rPr>
          <w:noProof/>
        </w:rPr>
        <w:fldChar w:fldCharType="separate"/>
      </w:r>
      <w:r w:rsidR="00163B4A">
        <w:rPr>
          <w:noProof/>
        </w:rPr>
        <w:t>15</w:t>
      </w:r>
      <w:r>
        <w:rPr>
          <w:noProof/>
        </w:rPr>
        <w:fldChar w:fldCharType="end"/>
      </w:r>
    </w:p>
    <w:p w:rsidR="00313422" w:rsidRDefault="00313422">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_Toc351127004 \h </w:instrText>
      </w:r>
      <w:r>
        <w:rPr>
          <w:noProof/>
        </w:rPr>
      </w:r>
      <w:r>
        <w:rPr>
          <w:noProof/>
        </w:rPr>
        <w:fldChar w:fldCharType="separate"/>
      </w:r>
      <w:r w:rsidR="00163B4A">
        <w:rPr>
          <w:noProof/>
        </w:rPr>
        <w:t>16</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6990"/>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313422" w:rsidTr="001B5799">
        <w:tc>
          <w:tcPr>
            <w:tcW w:w="1188" w:type="dxa"/>
          </w:tcPr>
          <w:p w:rsidR="00313422" w:rsidRDefault="00313422" w:rsidP="001B5799">
            <w:pPr>
              <w:rPr>
                <w:b/>
                <w:bCs/>
              </w:rPr>
            </w:pPr>
            <w:bookmarkStart w:id="4" w:name="_TOC335"/>
            <w:bookmarkStart w:id="5" w:name="_Toc105748800"/>
            <w:bookmarkEnd w:id="4"/>
            <w:r>
              <w:rPr>
                <w:b/>
                <w:bCs/>
              </w:rPr>
              <w:t>Change</w:t>
            </w:r>
          </w:p>
        </w:tc>
        <w:tc>
          <w:tcPr>
            <w:tcW w:w="1440" w:type="dxa"/>
          </w:tcPr>
          <w:p w:rsidR="00313422" w:rsidRDefault="00313422" w:rsidP="001B5799">
            <w:pPr>
              <w:rPr>
                <w:b/>
                <w:bCs/>
              </w:rPr>
            </w:pPr>
            <w:r>
              <w:rPr>
                <w:b/>
                <w:bCs/>
              </w:rPr>
              <w:t>Date</w:t>
            </w:r>
          </w:p>
        </w:tc>
        <w:tc>
          <w:tcPr>
            <w:tcW w:w="1710" w:type="dxa"/>
          </w:tcPr>
          <w:p w:rsidR="00313422" w:rsidRDefault="00313422" w:rsidP="001B5799">
            <w:pPr>
              <w:rPr>
                <w:b/>
                <w:bCs/>
              </w:rPr>
            </w:pPr>
            <w:r>
              <w:rPr>
                <w:b/>
                <w:bCs/>
              </w:rPr>
              <w:t>Person</w:t>
            </w:r>
          </w:p>
        </w:tc>
        <w:tc>
          <w:tcPr>
            <w:tcW w:w="5040" w:type="dxa"/>
          </w:tcPr>
          <w:p w:rsidR="00313422" w:rsidRDefault="00313422" w:rsidP="001B5799">
            <w:pPr>
              <w:rPr>
                <w:b/>
                <w:bCs/>
              </w:rPr>
            </w:pPr>
            <w:r>
              <w:rPr>
                <w:b/>
                <w:bCs/>
              </w:rPr>
              <w:t>Description</w:t>
            </w:r>
          </w:p>
        </w:tc>
      </w:tr>
      <w:tr w:rsidR="00313422" w:rsidTr="001B5799">
        <w:tc>
          <w:tcPr>
            <w:tcW w:w="1188" w:type="dxa"/>
          </w:tcPr>
          <w:p w:rsidR="00313422" w:rsidRDefault="00313422" w:rsidP="001B5799">
            <w:r>
              <w:t>V0600</w:t>
            </w:r>
          </w:p>
        </w:tc>
        <w:tc>
          <w:tcPr>
            <w:tcW w:w="1440" w:type="dxa"/>
          </w:tcPr>
          <w:p w:rsidR="00313422" w:rsidRDefault="00313422" w:rsidP="001B5799">
            <w:r>
              <w:t>Aug 2012</w:t>
            </w:r>
          </w:p>
        </w:tc>
        <w:tc>
          <w:tcPr>
            <w:tcW w:w="1710" w:type="dxa"/>
          </w:tcPr>
          <w:p w:rsidR="00313422" w:rsidRDefault="00313422" w:rsidP="001B5799">
            <w:r>
              <w:t xml:space="preserve">D. </w:t>
            </w:r>
            <w:proofErr w:type="spellStart"/>
            <w:r>
              <w:t>Brandl</w:t>
            </w:r>
            <w:proofErr w:type="spellEnd"/>
          </w:p>
        </w:tc>
        <w:tc>
          <w:tcPr>
            <w:tcW w:w="5040" w:type="dxa"/>
          </w:tcPr>
          <w:p w:rsidR="00313422" w:rsidRDefault="00313422" w:rsidP="001B5799">
            <w:r>
              <w:t>Initial Version</w:t>
            </w:r>
          </w:p>
        </w:tc>
      </w:tr>
    </w:tbl>
    <w:p w:rsidR="00313422" w:rsidRDefault="00313422" w:rsidP="00313422"/>
    <w:p w:rsidR="00313422" w:rsidRDefault="00313422" w:rsidP="00313422">
      <w:pPr>
        <w:autoSpaceDE w:val="0"/>
        <w:autoSpaceDN w:val="0"/>
        <w:adjustRightInd w:val="0"/>
        <w:rPr>
          <w:rFonts w:cs="Arial"/>
          <w:sz w:val="18"/>
        </w:rPr>
      </w:pPr>
    </w:p>
    <w:p w:rsidR="00313422" w:rsidRDefault="00313422" w:rsidP="00313422">
      <w:pPr>
        <w:sectPr w:rsidR="00313422" w:rsidSect="00313422">
          <w:pgSz w:w="12240" w:h="15840"/>
          <w:pgMar w:top="1440" w:right="1440" w:bottom="1440" w:left="1440" w:header="288" w:footer="288" w:gutter="0"/>
          <w:cols w:space="720"/>
          <w:docGrid w:linePitch="299"/>
        </w:sectPr>
      </w:pPr>
    </w:p>
    <w:p w:rsidR="00313422" w:rsidRDefault="00313422" w:rsidP="00313422">
      <w:pPr>
        <w:pStyle w:val="Heading1"/>
      </w:pPr>
      <w:bookmarkStart w:id="6" w:name="_Toc333476352"/>
      <w:bookmarkStart w:id="7" w:name="_Toc351126991"/>
      <w:r>
        <w:lastRenderedPageBreak/>
        <w:t>Schema Scope</w:t>
      </w:r>
      <w:bookmarkEnd w:id="6"/>
      <w:bookmarkEnd w:id="7"/>
    </w:p>
    <w:p w:rsidR="00313422" w:rsidRDefault="00313422" w:rsidP="00313422">
      <w:r>
        <w:t xml:space="preserve">This document defines the information about work capability by resource and by work master.  This information is based on the data models and attributes defined in the ANSI/ISA 95.00.04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313422" w:rsidRDefault="00313422" w:rsidP="00313422">
      <w:pPr>
        <w:pStyle w:val="Heading2"/>
      </w:pPr>
      <w:bookmarkStart w:id="8" w:name="_Toc333476353"/>
      <w:bookmarkStart w:id="9" w:name="_Toc351126992"/>
      <w:r>
        <w:t>Key Information Assumptions</w:t>
      </w:r>
      <w:bookmarkEnd w:id="8"/>
      <w:bookmarkEnd w:id="9"/>
    </w:p>
    <w:p w:rsidR="00313422" w:rsidRDefault="00313422" w:rsidP="00313422">
      <w:r>
        <w:t xml:space="preserve">The data represented in these schemas is derived from the UML model below.  This model is defined in the ANSI/ISA 95.00.04 standard.  The information model in the figure below is hierarchical, and the assumption is that any Work Capability information will always be within a contained Work Capability object.  </w:t>
      </w:r>
    </w:p>
    <w:p w:rsidR="00313422" w:rsidRDefault="00313422" w:rsidP="00313422"/>
    <w:p w:rsidR="00313422" w:rsidRPr="00826BA1" w:rsidRDefault="00313422" w:rsidP="00313422">
      <w:pPr>
        <w:jc w:val="center"/>
      </w:pPr>
      <w:r>
        <w:rPr>
          <w:noProof/>
        </w:rPr>
        <w:drawing>
          <wp:inline distT="0" distB="0" distL="0" distR="0" wp14:anchorId="326DCF03" wp14:editId="39AB7A16">
            <wp:extent cx="6127750" cy="366839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b="17632"/>
                    <a:stretch>
                      <a:fillRect/>
                    </a:stretch>
                  </pic:blipFill>
                  <pic:spPr bwMode="auto">
                    <a:xfrm>
                      <a:off x="0" y="0"/>
                      <a:ext cx="6127750" cy="3668395"/>
                    </a:xfrm>
                    <a:prstGeom prst="rect">
                      <a:avLst/>
                    </a:prstGeom>
                    <a:noFill/>
                    <a:ln>
                      <a:noFill/>
                    </a:ln>
                  </pic:spPr>
                </pic:pic>
              </a:graphicData>
            </a:graphic>
          </wp:inline>
        </w:drawing>
      </w:r>
    </w:p>
    <w:p w:rsidR="00313422" w:rsidRDefault="00313422" w:rsidP="00313422">
      <w:pPr>
        <w:jc w:val="center"/>
      </w:pPr>
      <w:r>
        <w:t>Model of Exchanged Work Capability Information</w:t>
      </w:r>
    </w:p>
    <w:p w:rsidR="00313422" w:rsidRDefault="00313422" w:rsidP="00313422"/>
    <w:p w:rsidR="00313422" w:rsidRDefault="00313422" w:rsidP="00313422">
      <w:r>
        <w:t>This schema uses a common schema for definition of elements that are used in multiple schemas, such as ID, Description, and Value.  See the document defining the Common schema for definition of the common elements.</w:t>
      </w:r>
    </w:p>
    <w:p w:rsidR="00313422" w:rsidRDefault="00313422" w:rsidP="00313422"/>
    <w:p w:rsidR="00313422" w:rsidRDefault="00313422" w:rsidP="00313422"/>
    <w:p w:rsidR="00313422" w:rsidRDefault="00313422" w:rsidP="00313422"/>
    <w:p w:rsidR="00313422" w:rsidRDefault="00313422" w:rsidP="00313422"/>
    <w:p w:rsidR="00313422" w:rsidRDefault="00313422" w:rsidP="00313422"/>
    <w:p w:rsidR="00313422" w:rsidRDefault="00313422" w:rsidP="00313422"/>
    <w:p w:rsidR="00313422" w:rsidRDefault="00313422" w:rsidP="00313422"/>
    <w:p w:rsidR="00313422" w:rsidRDefault="00313422" w:rsidP="00313422">
      <w:pPr>
        <w:pStyle w:val="Heading2"/>
      </w:pPr>
      <w:bookmarkStart w:id="10" w:name="_Toc333476354"/>
      <w:bookmarkStart w:id="11" w:name="_Toc351126993"/>
      <w:r>
        <w:lastRenderedPageBreak/>
        <w:t>Type Definitions</w:t>
      </w:r>
      <w:bookmarkEnd w:id="10"/>
      <w:bookmarkEnd w:id="11"/>
    </w:p>
    <w:p w:rsidR="00313422" w:rsidRPr="00DE4C55" w:rsidRDefault="00313422" w:rsidP="00313422">
      <w:r w:rsidRPr="00DE4C55">
        <w:t xml:space="preserve">The XML schema uses a model that defines simple and complex data types for each element.  The data types all follow the convention of a suffix of “Type” added to the element name. </w:t>
      </w:r>
      <w:r>
        <w:t xml:space="preserve"> Elements that have the same name in other B2MML schemas are also prefixed with “</w:t>
      </w:r>
      <w:r w:rsidRPr="00DE4C55">
        <w:rPr>
          <w:b/>
        </w:rPr>
        <w:t>Op</w:t>
      </w:r>
      <w:r>
        <w:t xml:space="preserve">” to uniquely identify the extension group. </w:t>
      </w:r>
    </w:p>
    <w:p w:rsidR="00313422" w:rsidRPr="00DE4C55" w:rsidRDefault="00313422" w:rsidP="00313422">
      <w:r w:rsidRPr="00DE4C55">
        <w:t xml:space="preserve">  </w:t>
      </w:r>
    </w:p>
    <w:p w:rsidR="00313422" w:rsidRPr="00DE4C55" w:rsidRDefault="00313422" w:rsidP="00313422">
      <w:pPr>
        <w:rPr>
          <w:u w:val="single"/>
        </w:rPr>
      </w:pPr>
      <w:r w:rsidRPr="00DE4C55">
        <w:rPr>
          <w:u w:val="single"/>
        </w:rPr>
        <w:t>Schema definition:</w:t>
      </w:r>
    </w:p>
    <w:p w:rsidR="00313422" w:rsidRPr="00DE4C55" w:rsidRDefault="00313422" w:rsidP="00313422">
      <w:r w:rsidRPr="00DE4C55">
        <w:t xml:space="preserve">  </w:t>
      </w: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&lt;</w:t>
      </w:r>
      <w:proofErr w:type="spellStart"/>
      <w:r w:rsidRPr="00313422">
        <w:rPr>
          <w:rFonts w:ascii="Courier New" w:hAnsi="Courier New" w:cs="Courier New"/>
          <w:sz w:val="20"/>
        </w:rPr>
        <w:t>xsd</w:t>
      </w:r>
      <w:proofErr w:type="gramStart"/>
      <w:r w:rsidRPr="00313422">
        <w:rPr>
          <w:rFonts w:ascii="Courier New" w:hAnsi="Courier New" w:cs="Courier New"/>
          <w:sz w:val="20"/>
        </w:rPr>
        <w:t>:element</w:t>
      </w:r>
      <w:proofErr w:type="spellEnd"/>
      <w:proofErr w:type="gramEnd"/>
      <w:r w:rsidRPr="00313422">
        <w:rPr>
          <w:rFonts w:ascii="Courier New" w:hAnsi="Courier New" w:cs="Courier New"/>
          <w:sz w:val="20"/>
        </w:rPr>
        <w:t xml:space="preserve"> name = "</w:t>
      </w:r>
      <w:proofErr w:type="spellStart"/>
      <w:r w:rsidRPr="00313422">
        <w:rPr>
          <w:rFonts w:ascii="Courier New" w:hAnsi="Courier New" w:cs="Courier New"/>
          <w:b/>
          <w:bCs/>
          <w:sz w:val="20"/>
        </w:rPr>
        <w:t>OpPersonnelCapability</w:t>
      </w:r>
      <w:proofErr w:type="spellEnd"/>
      <w:r w:rsidRPr="00313422">
        <w:rPr>
          <w:rFonts w:ascii="Courier New" w:hAnsi="Courier New" w:cs="Courier New"/>
          <w:sz w:val="20"/>
        </w:rPr>
        <w:t>"  type = "</w:t>
      </w:r>
      <w:r w:rsidRPr="00313422">
        <w:rPr>
          <w:rFonts w:ascii="Courier New" w:hAnsi="Courier New" w:cs="Courier New"/>
          <w:b/>
          <w:bCs/>
          <w:sz w:val="20"/>
        </w:rPr>
        <w:t xml:space="preserve"> </w:t>
      </w:r>
      <w:proofErr w:type="spellStart"/>
      <w:r w:rsidRPr="00313422">
        <w:rPr>
          <w:rFonts w:ascii="Courier New" w:hAnsi="Courier New" w:cs="Courier New"/>
          <w:b/>
          <w:bCs/>
          <w:sz w:val="20"/>
        </w:rPr>
        <w:t>OpPersonnelCapability</w:t>
      </w:r>
      <w:r w:rsidRPr="00313422">
        <w:rPr>
          <w:rFonts w:ascii="Courier New" w:hAnsi="Courier New" w:cs="Courier New"/>
          <w:b/>
          <w:sz w:val="20"/>
        </w:rPr>
        <w:t>Type</w:t>
      </w:r>
      <w:proofErr w:type="spellEnd"/>
      <w:r w:rsidRPr="00313422">
        <w:rPr>
          <w:rFonts w:ascii="Courier New" w:hAnsi="Courier New" w:cs="Courier New"/>
          <w:sz w:val="20"/>
        </w:rPr>
        <w:t>"/&gt;</w:t>
      </w:r>
    </w:p>
    <w:p w:rsidR="00313422" w:rsidRPr="00313422" w:rsidRDefault="00313422" w:rsidP="00313422">
      <w:pPr>
        <w:ind w:left="720"/>
        <w:rPr>
          <w:rFonts w:ascii="Courier New" w:hAnsi="Courier New" w:cs="Courier New"/>
          <w:sz w:val="20"/>
        </w:rPr>
      </w:pP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&lt;</w:t>
      </w:r>
      <w:proofErr w:type="spellStart"/>
      <w:r w:rsidRPr="00313422">
        <w:rPr>
          <w:rFonts w:ascii="Courier New" w:hAnsi="Courier New" w:cs="Courier New"/>
          <w:sz w:val="20"/>
        </w:rPr>
        <w:t>xsd</w:t>
      </w:r>
      <w:proofErr w:type="gramStart"/>
      <w:r w:rsidRPr="00313422">
        <w:rPr>
          <w:rFonts w:ascii="Courier New" w:hAnsi="Courier New" w:cs="Courier New"/>
          <w:sz w:val="20"/>
        </w:rPr>
        <w:t>:complexType</w:t>
      </w:r>
      <w:proofErr w:type="spellEnd"/>
      <w:proofErr w:type="gramEnd"/>
      <w:r w:rsidRPr="00313422">
        <w:rPr>
          <w:rFonts w:ascii="Courier New" w:hAnsi="Courier New" w:cs="Courier New"/>
          <w:sz w:val="20"/>
        </w:rPr>
        <w:t xml:space="preserve"> name = "</w:t>
      </w:r>
      <w:proofErr w:type="spellStart"/>
      <w:r w:rsidRPr="00313422">
        <w:rPr>
          <w:rFonts w:ascii="Courier New" w:hAnsi="Courier New" w:cs="Courier New"/>
          <w:b/>
          <w:sz w:val="20"/>
        </w:rPr>
        <w:t>OpPersonnelCapabilityType</w:t>
      </w:r>
      <w:proofErr w:type="spellEnd"/>
      <w:r w:rsidRPr="00313422">
        <w:rPr>
          <w:rFonts w:ascii="Courier New" w:hAnsi="Courier New" w:cs="Courier New"/>
          <w:sz w:val="20"/>
        </w:rPr>
        <w:t>"&gt;</w:t>
      </w: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 xml:space="preserve">    &lt;</w:t>
      </w:r>
      <w:proofErr w:type="spellStart"/>
      <w:proofErr w:type="gramStart"/>
      <w:r w:rsidRPr="00313422">
        <w:rPr>
          <w:rFonts w:ascii="Courier New" w:hAnsi="Courier New" w:cs="Courier New"/>
          <w:sz w:val="20"/>
        </w:rPr>
        <w:t>xsd:</w:t>
      </w:r>
      <w:proofErr w:type="gramEnd"/>
      <w:r w:rsidRPr="00313422">
        <w:rPr>
          <w:rFonts w:ascii="Courier New" w:hAnsi="Courier New" w:cs="Courier New"/>
          <w:sz w:val="20"/>
        </w:rPr>
        <w:t>sequence</w:t>
      </w:r>
      <w:proofErr w:type="spellEnd"/>
      <w:r w:rsidRPr="00313422">
        <w:rPr>
          <w:rFonts w:ascii="Courier New" w:hAnsi="Courier New" w:cs="Courier New"/>
          <w:sz w:val="20"/>
        </w:rPr>
        <w:t>&gt;</w:t>
      </w: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 xml:space="preserve">      &lt;</w:t>
      </w:r>
      <w:proofErr w:type="spellStart"/>
      <w:r w:rsidRPr="00313422">
        <w:rPr>
          <w:rFonts w:ascii="Courier New" w:hAnsi="Courier New" w:cs="Courier New"/>
          <w:sz w:val="20"/>
        </w:rPr>
        <w:t>xsd</w:t>
      </w:r>
      <w:proofErr w:type="gramStart"/>
      <w:r w:rsidRPr="00313422">
        <w:rPr>
          <w:rFonts w:ascii="Courier New" w:hAnsi="Courier New" w:cs="Courier New"/>
          <w:sz w:val="20"/>
        </w:rPr>
        <w:t>:element</w:t>
      </w:r>
      <w:proofErr w:type="spellEnd"/>
      <w:proofErr w:type="gramEnd"/>
      <w:r w:rsidRPr="00313422">
        <w:rPr>
          <w:rFonts w:ascii="Courier New" w:hAnsi="Courier New" w:cs="Courier New"/>
          <w:sz w:val="20"/>
        </w:rPr>
        <w:t xml:space="preserve"> name = "</w:t>
      </w:r>
      <w:proofErr w:type="spellStart"/>
      <w:r w:rsidRPr="00313422">
        <w:rPr>
          <w:rFonts w:ascii="Courier New" w:hAnsi="Courier New" w:cs="Courier New"/>
          <w:sz w:val="20"/>
        </w:rPr>
        <w:t>PersonnelClassID</w:t>
      </w:r>
      <w:proofErr w:type="spellEnd"/>
      <w:r w:rsidRPr="00313422">
        <w:rPr>
          <w:rFonts w:ascii="Courier New" w:hAnsi="Courier New" w:cs="Courier New"/>
          <w:sz w:val="20"/>
        </w:rPr>
        <w:t>" type = "</w:t>
      </w:r>
      <w:proofErr w:type="spellStart"/>
      <w:r w:rsidRPr="00313422">
        <w:rPr>
          <w:rFonts w:ascii="Courier New" w:hAnsi="Courier New" w:cs="Courier New"/>
          <w:sz w:val="20"/>
        </w:rPr>
        <w:t>PersonnelClassIDType</w:t>
      </w:r>
      <w:proofErr w:type="spellEnd"/>
      <w:r w:rsidRPr="00313422">
        <w:rPr>
          <w:rFonts w:ascii="Courier New" w:hAnsi="Courier New" w:cs="Courier New"/>
          <w:sz w:val="20"/>
        </w:rPr>
        <w:t xml:space="preserve">" </w:t>
      </w: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 xml:space="preserve">                                             </w:t>
      </w:r>
      <w:proofErr w:type="spellStart"/>
      <w:proofErr w:type="gramStart"/>
      <w:r w:rsidRPr="00313422">
        <w:rPr>
          <w:rFonts w:ascii="Courier New" w:hAnsi="Courier New" w:cs="Courier New"/>
          <w:sz w:val="20"/>
        </w:rPr>
        <w:t>minOccurs</w:t>
      </w:r>
      <w:proofErr w:type="spellEnd"/>
      <w:proofErr w:type="gramEnd"/>
      <w:r w:rsidRPr="00313422">
        <w:rPr>
          <w:rFonts w:ascii="Courier New" w:hAnsi="Courier New" w:cs="Courier New"/>
          <w:sz w:val="20"/>
        </w:rPr>
        <w:t xml:space="preserve"> = "0" /&gt;</w:t>
      </w: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 xml:space="preserve">     …</w:t>
      </w:r>
    </w:p>
    <w:p w:rsidR="00313422" w:rsidRPr="00313422" w:rsidRDefault="00313422" w:rsidP="00313422">
      <w:pPr>
        <w:ind w:left="720"/>
        <w:rPr>
          <w:rFonts w:ascii="Courier New" w:hAnsi="Courier New" w:cs="Courier New"/>
          <w:sz w:val="20"/>
        </w:rPr>
      </w:pPr>
      <w:r w:rsidRPr="00313422">
        <w:rPr>
          <w:rFonts w:ascii="Courier New" w:hAnsi="Courier New" w:cs="Courier New"/>
          <w:sz w:val="20"/>
        </w:rPr>
        <w:t>&lt;/</w:t>
      </w:r>
      <w:proofErr w:type="spellStart"/>
      <w:r w:rsidRPr="00313422">
        <w:rPr>
          <w:rFonts w:ascii="Courier New" w:hAnsi="Courier New" w:cs="Courier New"/>
          <w:sz w:val="20"/>
        </w:rPr>
        <w:t>xsd</w:t>
      </w:r>
      <w:proofErr w:type="gramStart"/>
      <w:r w:rsidRPr="00313422">
        <w:rPr>
          <w:rFonts w:ascii="Courier New" w:hAnsi="Courier New" w:cs="Courier New"/>
          <w:sz w:val="20"/>
        </w:rPr>
        <w:t>:complexType</w:t>
      </w:r>
      <w:proofErr w:type="spellEnd"/>
      <w:proofErr w:type="gramEnd"/>
      <w:r w:rsidRPr="00313422">
        <w:rPr>
          <w:rFonts w:ascii="Courier New" w:hAnsi="Courier New" w:cs="Courier New"/>
          <w:sz w:val="20"/>
        </w:rPr>
        <w:t>&gt;</w:t>
      </w:r>
    </w:p>
    <w:p w:rsidR="00313422" w:rsidRDefault="00313422" w:rsidP="00313422"/>
    <w:p w:rsidR="00313422" w:rsidRDefault="00313422" w:rsidP="00313422">
      <w:r w:rsidRPr="00DE4C55">
        <w:t xml:space="preserve">The method is </w:t>
      </w:r>
      <w:r>
        <w:t xml:space="preserve">a modification of the </w:t>
      </w:r>
      <w:r w:rsidRPr="00DE4C55">
        <w:t>“Venetian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313422" w:rsidRDefault="00313422" w:rsidP="00313422">
      <w:pPr>
        <w:pStyle w:val="Heading2"/>
      </w:pPr>
      <w:bookmarkStart w:id="12" w:name="_Toc333476355"/>
      <w:bookmarkStart w:id="13" w:name="_Toc351126994"/>
      <w:proofErr w:type="spellStart"/>
      <w:r>
        <w:t>WorkCapabilityInformation</w:t>
      </w:r>
      <w:bookmarkEnd w:id="12"/>
      <w:bookmarkEnd w:id="13"/>
      <w:proofErr w:type="spellEnd"/>
    </w:p>
    <w:p w:rsidR="00313422" w:rsidRPr="00B019D8" w:rsidRDefault="00313422" w:rsidP="00313422">
      <w:r>
        <w:t xml:space="preserve">An operations information element is a collection of </w:t>
      </w:r>
      <w:proofErr w:type="spellStart"/>
      <w:r>
        <w:t>WorkCapability</w:t>
      </w:r>
      <w:proofErr w:type="spellEnd"/>
      <w:r>
        <w:t xml:space="preserve"> elements.  </w:t>
      </w:r>
    </w:p>
    <w:p w:rsidR="00313422" w:rsidRDefault="00313422" w:rsidP="00313422">
      <w:pPr>
        <w:pStyle w:val="Heading2"/>
      </w:pPr>
      <w:bookmarkStart w:id="14" w:name="_Toc333476356"/>
      <w:bookmarkStart w:id="15" w:name="_Toc351126995"/>
      <w:proofErr w:type="spellStart"/>
      <w:r>
        <w:t>WorkCapability</w:t>
      </w:r>
      <w:bookmarkEnd w:id="14"/>
      <w:bookmarkEnd w:id="15"/>
      <w:proofErr w:type="spellEnd"/>
    </w:p>
    <w:p w:rsidR="00313422" w:rsidRDefault="00313422" w:rsidP="00313422">
      <w:r>
        <w:t>A Work Capability is the collection of information about all resources for production for selected times and within a selected site, area, process cell, production unit, or production line. This is made up of capability information about equipment, physical assets, material, personnel, and work masters.  Work Capability also defines the available capability, committed capability, and unattainable capability of each resource, and each resource within a work master.</w:t>
      </w:r>
    </w:p>
    <w:p w:rsidR="00313422" w:rsidRDefault="00313422" w:rsidP="00313422">
      <w:pPr>
        <w:pStyle w:val="Heading2"/>
      </w:pPr>
      <w:bookmarkStart w:id="16" w:name="_Toc333476357"/>
      <w:bookmarkStart w:id="17" w:name="_Toc351126996"/>
      <w:r>
        <w:t>Personnel Capability</w:t>
      </w:r>
      <w:bookmarkEnd w:id="16"/>
      <w:bookmarkEnd w:id="17"/>
    </w:p>
    <w:p w:rsidR="00313422" w:rsidRDefault="00313422" w:rsidP="00313422">
      <w:r>
        <w:t>Personnel capability is defined as a set of references to persons or personnel classes which were used or unused, or are committed, available or unattainable, for a defined time. Personnel capability contains references to persons or personnel classes.   Personnel capability identifies the capability type (available, unattainable, committed), and the time associated with the capability (e.g. third shift on a specific date).</w:t>
      </w:r>
    </w:p>
    <w:p w:rsidR="00313422" w:rsidRDefault="00313422" w:rsidP="00313422">
      <w:r>
        <w:t>Specific personnel capabilities are defined in personnel capability properties. The personnel capability property may include the quantity of the resource referenced, such as 3 horizontal drill press operators available for the third shift on February 29, 2012.</w:t>
      </w:r>
    </w:p>
    <w:p w:rsidR="00313422" w:rsidRDefault="00313422" w:rsidP="00313422">
      <w:pPr>
        <w:pStyle w:val="Heading2"/>
      </w:pPr>
      <w:bookmarkStart w:id="18" w:name="_Toc333476358"/>
      <w:bookmarkStart w:id="19" w:name="_Toc351126997"/>
      <w:proofErr w:type="spellStart"/>
      <w:r>
        <w:t>EquipmentCapability</w:t>
      </w:r>
      <w:bookmarkEnd w:id="18"/>
      <w:bookmarkEnd w:id="19"/>
      <w:proofErr w:type="spellEnd"/>
    </w:p>
    <w:p w:rsidR="00313422" w:rsidRDefault="00313422" w:rsidP="00313422">
      <w:r>
        <w:t>Equipment capability is defined as a set of references to equipment or equipment classes which were used or unused, or are committed, available or unattainable, for a defined time.  Equipment capability contains references to equipment or equipment classes.  Equipment capability will usually identify the capability type (available, unattainable, and committed) and the time associated with the capability (e.g. third shift on a specific date).</w:t>
      </w:r>
    </w:p>
    <w:p w:rsidR="00313422" w:rsidRDefault="00313422" w:rsidP="00313422"/>
    <w:p w:rsidR="00313422" w:rsidRDefault="00313422" w:rsidP="00313422">
      <w:r>
        <w:t>Specific equipment capabilities are defined in equipment capability properties. The equipment capability properties may include the quantity of the resource referenced, such as 3 horizontal drill presses currently available.</w:t>
      </w:r>
    </w:p>
    <w:p w:rsidR="00313422" w:rsidRDefault="00313422" w:rsidP="00313422">
      <w:pPr>
        <w:pStyle w:val="Heading2"/>
      </w:pPr>
      <w:bookmarkStart w:id="20" w:name="_Toc333476359"/>
      <w:bookmarkStart w:id="21" w:name="_Toc351126998"/>
      <w:proofErr w:type="spellStart"/>
      <w:r>
        <w:t>PhysicalAssetCapability</w:t>
      </w:r>
      <w:bookmarkEnd w:id="20"/>
      <w:bookmarkEnd w:id="21"/>
      <w:proofErr w:type="spellEnd"/>
    </w:p>
    <w:p w:rsidR="00313422" w:rsidRDefault="00313422" w:rsidP="00313422">
      <w:r>
        <w:t>Physical asset capability is defined as a set of references to physical assets or physical asset classes which were used or unused, or are committed, available or unattainable, for a defined time.  Physical asset capability contains references to physical assets or physical asset classes.  Physical asset capability will usually identify the capability type (available, unattainable, and committed) and the time associated with the capability (e.g. third shift on a specific date).</w:t>
      </w:r>
    </w:p>
    <w:p w:rsidR="00313422" w:rsidRDefault="00313422" w:rsidP="00313422">
      <w:r>
        <w:t>Specific physical asset capabilities are defined in physical asset capability properties. The equipment capability properties may include the quantity of the resource referenced.</w:t>
      </w:r>
    </w:p>
    <w:p w:rsidR="00313422" w:rsidRDefault="00313422" w:rsidP="00313422">
      <w:pPr>
        <w:pStyle w:val="Heading2"/>
      </w:pPr>
      <w:bookmarkStart w:id="22" w:name="_Toc333476360"/>
      <w:bookmarkStart w:id="23" w:name="_Toc351126999"/>
      <w:proofErr w:type="spellStart"/>
      <w:r>
        <w:t>MaterialCapability</w:t>
      </w:r>
      <w:bookmarkEnd w:id="22"/>
      <w:bookmarkEnd w:id="23"/>
      <w:proofErr w:type="spellEnd"/>
    </w:p>
    <w:p w:rsidR="00313422" w:rsidRDefault="00313422" w:rsidP="00313422">
      <w:r>
        <w:t xml:space="preserve">Material capability is defined as a set of references to material lots or </w:t>
      </w:r>
      <w:proofErr w:type="spellStart"/>
      <w:r>
        <w:t>sublots</w:t>
      </w:r>
      <w:proofErr w:type="spellEnd"/>
      <w:r>
        <w:t xml:space="preserve"> which were used or unused, or are committed, available or unattainable, for a defined time. Material capability identifies the capability type (available, unattainable, and committed) and the time associated with the capability (e.g. third shift on a specific date).</w:t>
      </w:r>
    </w:p>
    <w:p w:rsidR="00313422" w:rsidRDefault="00313422" w:rsidP="00313422">
      <w:r>
        <w:t>Specific material capabilities are defined in material capability properties. The material capability properties may include the quantity of the material referenced.</w:t>
      </w:r>
    </w:p>
    <w:p w:rsidR="00313422" w:rsidRDefault="00313422" w:rsidP="00313422">
      <w:pPr>
        <w:pStyle w:val="Heading2"/>
      </w:pPr>
      <w:bookmarkStart w:id="24" w:name="_Toc333476361"/>
      <w:bookmarkStart w:id="25" w:name="_Toc351127000"/>
      <w:proofErr w:type="spellStart"/>
      <w:r>
        <w:t>WorkMasterCapability</w:t>
      </w:r>
      <w:bookmarkEnd w:id="24"/>
      <w:bookmarkEnd w:id="25"/>
      <w:proofErr w:type="spellEnd"/>
    </w:p>
    <w:p w:rsidR="00313422" w:rsidRDefault="00313422" w:rsidP="00313422">
      <w:r>
        <w:t xml:space="preserve">A work master capability is defined as a logical grouping of personnel resources, equipment resources, physical asset resources and material which were used or unused, or are committed, available or unattainable, for a defined time for a specific Work Master.   </w:t>
      </w:r>
    </w:p>
    <w:p w:rsidR="00313422" w:rsidRDefault="00313422" w:rsidP="00313422">
      <w:r>
        <w:t>A work master capability identifies the capability type (available, unattainable, and committed), the time associated with the capability (e.g. third shift on a specific date).</w:t>
      </w:r>
    </w:p>
    <w:p w:rsidR="00313422" w:rsidRDefault="00313422" w:rsidP="00313422">
      <w:pPr>
        <w:pStyle w:val="Heading2"/>
      </w:pPr>
      <w:bookmarkStart w:id="26" w:name="_Toc333476362"/>
      <w:bookmarkStart w:id="27" w:name="_Toc351127001"/>
      <w:r>
        <w:t>Resource Identification</w:t>
      </w:r>
      <w:bookmarkEnd w:id="26"/>
      <w:bookmarkEnd w:id="27"/>
    </w:p>
    <w:p w:rsidR="00313422" w:rsidRDefault="00313422" w:rsidP="00313422">
      <w:r>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specified for a Work Capability, such as specifying milling machine with ID=”Miller#1”.</w:t>
      </w:r>
    </w:p>
    <w:p w:rsidR="00313422" w:rsidRDefault="00313422" w:rsidP="00313422"/>
    <w:p w:rsidR="00313422" w:rsidRDefault="00313422" w:rsidP="00313422">
      <w:pPr>
        <w:jc w:val="center"/>
      </w:pPr>
      <w:r>
        <w:rPr>
          <w:noProof/>
        </w:rPr>
        <w:lastRenderedPageBreak/>
        <w:drawing>
          <wp:inline distT="0" distB="0" distL="0" distR="0" wp14:anchorId="02776939" wp14:editId="3A0C7145">
            <wp:extent cx="5475605" cy="3226435"/>
            <wp:effectExtent l="19050" t="19050" r="1079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5605" cy="3226435"/>
                    </a:xfrm>
                    <a:prstGeom prst="rect">
                      <a:avLst/>
                    </a:prstGeom>
                    <a:noFill/>
                    <a:ln w="6350" cmpd="sng">
                      <a:solidFill>
                        <a:srgbClr val="000000"/>
                      </a:solidFill>
                      <a:miter lim="800000"/>
                      <a:headEnd/>
                      <a:tailEnd/>
                    </a:ln>
                    <a:effectLst/>
                  </pic:spPr>
                </pic:pic>
              </a:graphicData>
            </a:graphic>
          </wp:inline>
        </w:drawing>
      </w:r>
    </w:p>
    <w:p w:rsidR="00313422" w:rsidRDefault="00313422" w:rsidP="00313422"/>
    <w:p w:rsidR="00313422" w:rsidRDefault="00313422" w:rsidP="00313422"/>
    <w:p w:rsidR="00313422" w:rsidRDefault="00313422" w:rsidP="00313422">
      <w:pPr>
        <w:pStyle w:val="Heading1"/>
        <w:pageBreakBefore/>
      </w:pPr>
      <w:bookmarkStart w:id="28" w:name="_Toc333476363"/>
      <w:bookmarkStart w:id="29" w:name="_Toc351127002"/>
      <w:r>
        <w:lastRenderedPageBreak/>
        <w:t>Element Definitions</w:t>
      </w:r>
      <w:bookmarkEnd w:id="28"/>
      <w:bookmarkEnd w:id="29"/>
    </w:p>
    <w:p w:rsidR="00313422" w:rsidRDefault="00313422" w:rsidP="00313422">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313422" w:rsidTr="001B5799">
        <w:trPr>
          <w:cantSplit/>
          <w:tblHeader/>
        </w:trPr>
        <w:tc>
          <w:tcPr>
            <w:tcW w:w="4068" w:type="dxa"/>
            <w:shd w:val="clear" w:color="auto" w:fill="000000"/>
          </w:tcPr>
          <w:p w:rsidR="00313422" w:rsidRDefault="00313422" w:rsidP="001B5799">
            <w:pPr>
              <w:pStyle w:val="BoxedElement"/>
              <w:rPr>
                <w:b/>
                <w:bCs/>
                <w:color w:val="FFFFFF"/>
              </w:rPr>
            </w:pPr>
            <w:r>
              <w:rPr>
                <w:b/>
                <w:bCs/>
                <w:color w:val="FFFFFF"/>
              </w:rPr>
              <w:t>Element/Type</w:t>
            </w:r>
          </w:p>
        </w:tc>
        <w:tc>
          <w:tcPr>
            <w:tcW w:w="5760" w:type="dxa"/>
            <w:shd w:val="clear" w:color="auto" w:fill="000000"/>
          </w:tcPr>
          <w:p w:rsidR="00313422" w:rsidRDefault="00313422" w:rsidP="001B5799">
            <w:pPr>
              <w:pStyle w:val="BoxedElement"/>
              <w:rPr>
                <w:b/>
                <w:bCs/>
                <w:color w:val="FFFFFF"/>
              </w:rPr>
            </w:pPr>
            <w:r>
              <w:rPr>
                <w:b/>
                <w:bCs/>
                <w:color w:val="FFFFFF"/>
              </w:rPr>
              <w:t>Description</w:t>
            </w:r>
          </w:p>
        </w:tc>
      </w:tr>
      <w:tr w:rsidR="00313422" w:rsidTr="001B5799">
        <w:trPr>
          <w:cantSplit/>
        </w:trPr>
        <w:tc>
          <w:tcPr>
            <w:tcW w:w="4068" w:type="dxa"/>
          </w:tcPr>
          <w:p w:rsidR="00313422" w:rsidRDefault="00313422" w:rsidP="001B5799">
            <w:pPr>
              <w:pStyle w:val="BoxedElement"/>
            </w:pPr>
            <w:proofErr w:type="spellStart"/>
            <w:r>
              <w:t>WorkCapabilityInformation</w:t>
            </w:r>
            <w:proofErr w:type="spellEnd"/>
          </w:p>
          <w:p w:rsidR="00313422" w:rsidRPr="00B019D8" w:rsidRDefault="00313422" w:rsidP="001B5799">
            <w:pPr>
              <w:pStyle w:val="BoxedElement"/>
              <w:rPr>
                <w:b/>
                <w:i/>
              </w:rPr>
            </w:pPr>
            <w:proofErr w:type="spellStart"/>
            <w:r>
              <w:rPr>
                <w:b/>
                <w:i/>
              </w:rPr>
              <w:t>WorkCapability</w:t>
            </w:r>
            <w:r w:rsidRPr="00B019D8">
              <w:rPr>
                <w:b/>
                <w:i/>
              </w:rPr>
              <w:t>InformationType</w:t>
            </w:r>
            <w:proofErr w:type="spellEnd"/>
          </w:p>
        </w:tc>
        <w:tc>
          <w:tcPr>
            <w:tcW w:w="5760" w:type="dxa"/>
          </w:tcPr>
          <w:p w:rsidR="00313422" w:rsidRDefault="00313422" w:rsidP="001B5799">
            <w:pPr>
              <w:pStyle w:val="BoxedElement"/>
            </w:pPr>
            <w:r>
              <w:t xml:space="preserve">Contains a collection of </w:t>
            </w:r>
            <w:proofErr w:type="spellStart"/>
            <w:r>
              <w:t>WorkCapability</w:t>
            </w:r>
            <w:proofErr w:type="spellEnd"/>
            <w:r>
              <w:t xml:space="preserve"> elements.  Contains an identification of the capability information, a description, and the hierarchy scope in the role based equipment hierarchy, the published date of the information and a set of Work Capability definitions. </w:t>
            </w:r>
          </w:p>
          <w:p w:rsidR="00313422" w:rsidRDefault="00313422" w:rsidP="001B5799">
            <w:pPr>
              <w:pStyle w:val="BoxedElement"/>
            </w:pPr>
            <w:r>
              <w:rPr>
                <w:rFonts w:cs="Arial"/>
                <w:noProof/>
                <w:sz w:val="24"/>
                <w:szCs w:val="24"/>
              </w:rPr>
              <w:drawing>
                <wp:inline distT="0" distB="0" distL="0" distR="0" wp14:anchorId="0A623B70" wp14:editId="758EFA39">
                  <wp:extent cx="3521075" cy="186055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1075" cy="1860550"/>
                          </a:xfrm>
                          <a:prstGeom prst="rect">
                            <a:avLst/>
                          </a:prstGeom>
                          <a:noFill/>
                          <a:ln>
                            <a:noFill/>
                          </a:ln>
                        </pic:spPr>
                      </pic:pic>
                    </a:graphicData>
                  </a:graphic>
                </wp:inline>
              </w:drawing>
            </w:r>
          </w:p>
        </w:tc>
      </w:tr>
      <w:tr w:rsidR="00313422" w:rsidTr="001B5799">
        <w:trPr>
          <w:cantSplit/>
        </w:trPr>
        <w:tc>
          <w:tcPr>
            <w:tcW w:w="4068" w:type="dxa"/>
          </w:tcPr>
          <w:p w:rsidR="00313422" w:rsidRDefault="00313422" w:rsidP="001B5799">
            <w:pPr>
              <w:pStyle w:val="BoxedElement"/>
            </w:pPr>
            <w:proofErr w:type="spellStart"/>
            <w:r>
              <w:lastRenderedPageBreak/>
              <w:t>WorkCapability</w:t>
            </w:r>
            <w:proofErr w:type="spellEnd"/>
          </w:p>
          <w:p w:rsidR="00313422" w:rsidRDefault="00313422" w:rsidP="001B5799">
            <w:pPr>
              <w:pStyle w:val="BoxedElement"/>
              <w:rPr>
                <w:b/>
                <w:bCs/>
                <w:i/>
                <w:iCs/>
              </w:rPr>
            </w:pPr>
            <w:proofErr w:type="spellStart"/>
            <w:r>
              <w:rPr>
                <w:b/>
                <w:bCs/>
                <w:i/>
                <w:iCs/>
              </w:rPr>
              <w:t>WorkCapabilityType</w:t>
            </w:r>
            <w:proofErr w:type="spellEnd"/>
          </w:p>
        </w:tc>
        <w:tc>
          <w:tcPr>
            <w:tcW w:w="5760" w:type="dxa"/>
          </w:tcPr>
          <w:p w:rsidR="00313422" w:rsidRDefault="00313422" w:rsidP="001B5799">
            <w:pPr>
              <w:pStyle w:val="BoxedElement"/>
            </w:pPr>
            <w:r>
              <w:t xml:space="preserve">Contains a description of a Work Capability, including the hierarchy scope of the capability, the published date of the capability, the reason for the capability, the time range of the capability, the equipment, physical assets, material, and personnel resources for the capability, and work master capabilities within the Work Capability. </w:t>
            </w:r>
          </w:p>
          <w:p w:rsidR="00313422" w:rsidRDefault="00313422" w:rsidP="001B5799">
            <w:pPr>
              <w:pStyle w:val="BoxedElement"/>
            </w:pPr>
            <w:r>
              <w:rPr>
                <w:rFonts w:cs="Arial"/>
                <w:noProof/>
                <w:sz w:val="24"/>
                <w:szCs w:val="24"/>
              </w:rPr>
              <w:drawing>
                <wp:inline distT="0" distB="0" distL="0" distR="0" wp14:anchorId="092241F0" wp14:editId="024856F4">
                  <wp:extent cx="3521075" cy="5539105"/>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1075" cy="5539105"/>
                          </a:xfrm>
                          <a:prstGeom prst="rect">
                            <a:avLst/>
                          </a:prstGeom>
                          <a:noFill/>
                          <a:ln>
                            <a:noFill/>
                          </a:ln>
                        </pic:spPr>
                      </pic:pic>
                    </a:graphicData>
                  </a:graphic>
                </wp:inline>
              </w:drawing>
            </w:r>
          </w:p>
        </w:tc>
      </w:tr>
      <w:tr w:rsidR="00313422" w:rsidTr="001B5799">
        <w:trPr>
          <w:cantSplit/>
        </w:trPr>
        <w:tc>
          <w:tcPr>
            <w:tcW w:w="4068" w:type="dxa"/>
          </w:tcPr>
          <w:p w:rsidR="00313422" w:rsidRDefault="00313422" w:rsidP="001B5799">
            <w:pPr>
              <w:pStyle w:val="BoxedElement"/>
            </w:pPr>
            <w:proofErr w:type="spellStart"/>
            <w:r>
              <w:lastRenderedPageBreak/>
              <w:t>EquipmentCapability</w:t>
            </w:r>
            <w:proofErr w:type="spellEnd"/>
          </w:p>
          <w:p w:rsidR="00313422" w:rsidRDefault="00313422" w:rsidP="001B5799">
            <w:pPr>
              <w:pStyle w:val="BoxedElement"/>
              <w:rPr>
                <w:b/>
                <w:bCs/>
                <w:i/>
                <w:iCs/>
              </w:rPr>
            </w:pPr>
            <w:proofErr w:type="spellStart"/>
            <w:r>
              <w:rPr>
                <w:b/>
                <w:bCs/>
                <w:i/>
                <w:iCs/>
              </w:rPr>
              <w:t>OpEquipmentCapabilityType</w:t>
            </w:r>
            <w:proofErr w:type="spellEnd"/>
          </w:p>
        </w:tc>
        <w:tc>
          <w:tcPr>
            <w:tcW w:w="5760" w:type="dxa"/>
          </w:tcPr>
          <w:p w:rsidR="00313422" w:rsidRDefault="00313422" w:rsidP="001B5799">
            <w:pPr>
              <w:pStyle w:val="BoxedElement"/>
            </w:pPr>
            <w:r>
              <w:t>Contains a definition of an equipment capability. Including the type of the capability, the hierarchy scope of the capability, the time duration of the capability, the quantity of the capability, and the properties that may be required to identify capabilities of subsets of the class.</w:t>
            </w:r>
          </w:p>
          <w:p w:rsidR="00313422" w:rsidRDefault="00313422" w:rsidP="001B5799">
            <w:pPr>
              <w:pStyle w:val="BoxedElement"/>
            </w:pPr>
            <w:r>
              <w:rPr>
                <w:rFonts w:cs="Arial"/>
                <w:noProof/>
                <w:sz w:val="24"/>
                <w:szCs w:val="24"/>
              </w:rPr>
              <w:drawing>
                <wp:inline distT="0" distB="0" distL="0" distR="0" wp14:anchorId="2C3C7C0C" wp14:editId="276FB50D">
                  <wp:extent cx="3521075" cy="369951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1075" cy="3699510"/>
                          </a:xfrm>
                          <a:prstGeom prst="rect">
                            <a:avLst/>
                          </a:prstGeom>
                          <a:noFill/>
                          <a:ln>
                            <a:noFill/>
                          </a:ln>
                        </pic:spPr>
                      </pic:pic>
                    </a:graphicData>
                  </a:graphic>
                </wp:inline>
              </w:drawing>
            </w:r>
          </w:p>
        </w:tc>
      </w:tr>
      <w:tr w:rsidR="00313422" w:rsidTr="001B5799">
        <w:trPr>
          <w:cantSplit/>
        </w:trPr>
        <w:tc>
          <w:tcPr>
            <w:tcW w:w="4068" w:type="dxa"/>
          </w:tcPr>
          <w:p w:rsidR="00313422" w:rsidRDefault="00313422" w:rsidP="001B5799">
            <w:pPr>
              <w:pStyle w:val="BoxedElement"/>
            </w:pPr>
            <w:proofErr w:type="spellStart"/>
            <w:r>
              <w:t>EquipmentCapabilityProperty</w:t>
            </w:r>
            <w:proofErr w:type="spellEnd"/>
          </w:p>
          <w:p w:rsidR="00313422" w:rsidRDefault="00313422" w:rsidP="001B5799">
            <w:pPr>
              <w:pStyle w:val="BoxedElement"/>
              <w:rPr>
                <w:b/>
                <w:bCs/>
                <w:i/>
                <w:iCs/>
              </w:rPr>
            </w:pPr>
            <w:proofErr w:type="spellStart"/>
            <w:r>
              <w:rPr>
                <w:b/>
                <w:bCs/>
                <w:i/>
                <w:iCs/>
              </w:rPr>
              <w:t>OpEquipmentCapabilityPropertyType</w:t>
            </w:r>
            <w:proofErr w:type="spellEnd"/>
          </w:p>
        </w:tc>
        <w:tc>
          <w:tcPr>
            <w:tcW w:w="5760" w:type="dxa"/>
          </w:tcPr>
          <w:p w:rsidR="00313422" w:rsidRDefault="00313422" w:rsidP="001B5799">
            <w:pPr>
              <w:pStyle w:val="BoxedElement"/>
            </w:pPr>
            <w:r>
              <w:t>Contains a definition of the quantity of an equipment property, including the value used to identify the class subset of the capability, and the quantity of the capability.</w:t>
            </w:r>
          </w:p>
        </w:tc>
      </w:tr>
      <w:tr w:rsidR="00313422" w:rsidTr="001B5799">
        <w:trPr>
          <w:cantSplit/>
        </w:trPr>
        <w:tc>
          <w:tcPr>
            <w:tcW w:w="4068" w:type="dxa"/>
          </w:tcPr>
          <w:p w:rsidR="00313422" w:rsidRDefault="00313422" w:rsidP="001B5799">
            <w:pPr>
              <w:pStyle w:val="BoxedElement"/>
            </w:pPr>
            <w:proofErr w:type="spellStart"/>
            <w:r>
              <w:lastRenderedPageBreak/>
              <w:t>MaterialCapability</w:t>
            </w:r>
            <w:proofErr w:type="spellEnd"/>
          </w:p>
          <w:p w:rsidR="00313422" w:rsidRDefault="00313422" w:rsidP="001B5799">
            <w:pPr>
              <w:pStyle w:val="BoxedElement"/>
              <w:rPr>
                <w:b/>
                <w:bCs/>
                <w:i/>
                <w:iCs/>
              </w:rPr>
            </w:pPr>
            <w:proofErr w:type="spellStart"/>
            <w:r>
              <w:rPr>
                <w:b/>
                <w:bCs/>
                <w:i/>
                <w:iCs/>
              </w:rPr>
              <w:t>OpMaterialCapabilityType</w:t>
            </w:r>
            <w:proofErr w:type="spellEnd"/>
          </w:p>
        </w:tc>
        <w:tc>
          <w:tcPr>
            <w:tcW w:w="5760" w:type="dxa"/>
          </w:tcPr>
          <w:p w:rsidR="00313422" w:rsidRDefault="00313422" w:rsidP="001B5799">
            <w:pPr>
              <w:pStyle w:val="BoxedElement"/>
            </w:pPr>
            <w:r>
              <w:t>Contains a definition of a material capability. Including the type of the capability, the hierarchy scope of the capability, the time duration of the capability, the quantity of the capability, the use of the material (consumed or produced), any contained material assembly capability definitions, and the properties that may be required to identify capabilities of subsets of the class.</w:t>
            </w:r>
          </w:p>
          <w:p w:rsidR="00313422" w:rsidRDefault="00313422" w:rsidP="001B5799">
            <w:pPr>
              <w:pStyle w:val="BoxedElement"/>
            </w:pPr>
            <w:r>
              <w:rPr>
                <w:rFonts w:cs="Arial"/>
                <w:noProof/>
                <w:sz w:val="24"/>
                <w:szCs w:val="24"/>
              </w:rPr>
              <w:drawing>
                <wp:inline distT="0" distB="0" distL="0" distR="0" wp14:anchorId="0381724B" wp14:editId="180A4E10">
                  <wp:extent cx="3521075" cy="55702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1075" cy="5570220"/>
                          </a:xfrm>
                          <a:prstGeom prst="rect">
                            <a:avLst/>
                          </a:prstGeom>
                          <a:noFill/>
                          <a:ln>
                            <a:noFill/>
                          </a:ln>
                        </pic:spPr>
                      </pic:pic>
                    </a:graphicData>
                  </a:graphic>
                </wp:inline>
              </w:drawing>
            </w:r>
          </w:p>
        </w:tc>
      </w:tr>
      <w:tr w:rsidR="00313422" w:rsidTr="001B5799">
        <w:trPr>
          <w:cantSplit/>
        </w:trPr>
        <w:tc>
          <w:tcPr>
            <w:tcW w:w="4068" w:type="dxa"/>
          </w:tcPr>
          <w:p w:rsidR="00313422" w:rsidRDefault="00313422" w:rsidP="001B5799">
            <w:pPr>
              <w:pStyle w:val="BoxedElement"/>
            </w:pPr>
            <w:proofErr w:type="spellStart"/>
            <w:r>
              <w:t>MaterialCapabilityProperty</w:t>
            </w:r>
            <w:proofErr w:type="spellEnd"/>
          </w:p>
          <w:p w:rsidR="00313422" w:rsidRDefault="00313422" w:rsidP="001B5799">
            <w:pPr>
              <w:pStyle w:val="BoxedElement"/>
              <w:rPr>
                <w:b/>
                <w:bCs/>
                <w:i/>
                <w:iCs/>
              </w:rPr>
            </w:pPr>
            <w:proofErr w:type="spellStart"/>
            <w:r>
              <w:rPr>
                <w:b/>
                <w:bCs/>
                <w:i/>
                <w:iCs/>
              </w:rPr>
              <w:t>OpMaterialCapabilityPropertyType</w:t>
            </w:r>
            <w:proofErr w:type="spellEnd"/>
          </w:p>
        </w:tc>
        <w:tc>
          <w:tcPr>
            <w:tcW w:w="5760" w:type="dxa"/>
          </w:tcPr>
          <w:p w:rsidR="00313422" w:rsidRDefault="00313422" w:rsidP="001B5799">
            <w:pPr>
              <w:pStyle w:val="BoxedElement"/>
            </w:pPr>
            <w:r>
              <w:t>Contains a definition of the quantity of a material property, including the value used to identify the class subset of the capability, the use of the material in the capability, and the quantity of the capability.</w:t>
            </w:r>
          </w:p>
        </w:tc>
      </w:tr>
      <w:tr w:rsidR="00313422" w:rsidTr="001B5799">
        <w:trPr>
          <w:cantSplit/>
        </w:trPr>
        <w:tc>
          <w:tcPr>
            <w:tcW w:w="4068" w:type="dxa"/>
          </w:tcPr>
          <w:p w:rsidR="00313422" w:rsidRDefault="00313422" w:rsidP="001B5799">
            <w:pPr>
              <w:pStyle w:val="BoxedElement"/>
            </w:pPr>
            <w:proofErr w:type="spellStart"/>
            <w:r>
              <w:lastRenderedPageBreak/>
              <w:t>PersonnelCapability</w:t>
            </w:r>
            <w:proofErr w:type="spellEnd"/>
          </w:p>
          <w:p w:rsidR="00313422" w:rsidRDefault="00313422" w:rsidP="001B5799">
            <w:pPr>
              <w:pStyle w:val="BoxedElement"/>
              <w:rPr>
                <w:b/>
                <w:bCs/>
                <w:i/>
                <w:iCs/>
              </w:rPr>
            </w:pPr>
            <w:proofErr w:type="spellStart"/>
            <w:r>
              <w:rPr>
                <w:b/>
                <w:bCs/>
                <w:i/>
                <w:iCs/>
              </w:rPr>
              <w:t>OpPersonnelCapabilityType</w:t>
            </w:r>
            <w:proofErr w:type="spellEnd"/>
          </w:p>
        </w:tc>
        <w:tc>
          <w:tcPr>
            <w:tcW w:w="5760" w:type="dxa"/>
          </w:tcPr>
          <w:p w:rsidR="00313422" w:rsidRDefault="00313422" w:rsidP="001B5799">
            <w:pPr>
              <w:pStyle w:val="BoxedElement"/>
            </w:pPr>
            <w:r>
              <w:t xml:space="preserve">Contains a definition of a personnel capability. Including the type of the capability, the hierarchy scope of the capability, the time duration of the capability, the quantity of the capability, and the properties that may be required to identify capabilities of subsets of the class. </w:t>
            </w:r>
          </w:p>
          <w:p w:rsidR="00313422" w:rsidRDefault="00313422" w:rsidP="001B5799">
            <w:pPr>
              <w:pStyle w:val="BoxedElement"/>
            </w:pPr>
            <w:r>
              <w:rPr>
                <w:rFonts w:cs="Arial"/>
                <w:noProof/>
                <w:sz w:val="24"/>
                <w:szCs w:val="24"/>
              </w:rPr>
              <w:drawing>
                <wp:inline distT="0" distB="0" distL="0" distR="0" wp14:anchorId="5E6172BC" wp14:editId="5B7B759B">
                  <wp:extent cx="3521075" cy="372046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1075" cy="3720465"/>
                          </a:xfrm>
                          <a:prstGeom prst="rect">
                            <a:avLst/>
                          </a:prstGeom>
                          <a:noFill/>
                          <a:ln>
                            <a:noFill/>
                          </a:ln>
                        </pic:spPr>
                      </pic:pic>
                    </a:graphicData>
                  </a:graphic>
                </wp:inline>
              </w:drawing>
            </w:r>
          </w:p>
        </w:tc>
      </w:tr>
      <w:tr w:rsidR="00313422" w:rsidTr="001B5799">
        <w:trPr>
          <w:cantSplit/>
        </w:trPr>
        <w:tc>
          <w:tcPr>
            <w:tcW w:w="4068" w:type="dxa"/>
          </w:tcPr>
          <w:p w:rsidR="00313422" w:rsidRDefault="00313422" w:rsidP="001B5799">
            <w:pPr>
              <w:pStyle w:val="BoxedElement"/>
              <w:keepNext/>
            </w:pPr>
            <w:proofErr w:type="spellStart"/>
            <w:r>
              <w:lastRenderedPageBreak/>
              <w:t>PersonnelCapabilityProperty</w:t>
            </w:r>
            <w:proofErr w:type="spellEnd"/>
          </w:p>
          <w:p w:rsidR="00313422" w:rsidRDefault="00313422" w:rsidP="001B5799">
            <w:pPr>
              <w:pStyle w:val="BoxedElement"/>
              <w:keepNext/>
              <w:rPr>
                <w:b/>
                <w:bCs/>
                <w:i/>
                <w:iCs/>
              </w:rPr>
            </w:pPr>
            <w:proofErr w:type="spellStart"/>
            <w:r>
              <w:rPr>
                <w:b/>
                <w:bCs/>
                <w:i/>
                <w:iCs/>
              </w:rPr>
              <w:t>OpPersonnelCapabilityPropertyType</w:t>
            </w:r>
            <w:proofErr w:type="spellEnd"/>
          </w:p>
        </w:tc>
        <w:tc>
          <w:tcPr>
            <w:tcW w:w="5760" w:type="dxa"/>
          </w:tcPr>
          <w:p w:rsidR="00313422" w:rsidRDefault="00313422" w:rsidP="001B5799">
            <w:pPr>
              <w:pStyle w:val="BoxedElement"/>
            </w:pPr>
            <w:r>
              <w:t>Contains a definition of the quantity of a personnel property, including the value used to identify the class subset of the capability, and the quantity of the capability.</w:t>
            </w:r>
          </w:p>
        </w:tc>
      </w:tr>
      <w:tr w:rsidR="00313422" w:rsidTr="001B5799">
        <w:trPr>
          <w:cantSplit/>
        </w:trPr>
        <w:tc>
          <w:tcPr>
            <w:tcW w:w="4068" w:type="dxa"/>
          </w:tcPr>
          <w:p w:rsidR="00313422" w:rsidRDefault="00313422" w:rsidP="001B5799">
            <w:pPr>
              <w:pStyle w:val="BoxedElement"/>
            </w:pPr>
            <w:proofErr w:type="spellStart"/>
            <w:r>
              <w:t>PhysicalAssetCapability</w:t>
            </w:r>
            <w:proofErr w:type="spellEnd"/>
          </w:p>
          <w:p w:rsidR="00313422" w:rsidRDefault="00313422" w:rsidP="001B5799">
            <w:pPr>
              <w:pStyle w:val="BoxedElement"/>
              <w:rPr>
                <w:b/>
                <w:bCs/>
                <w:i/>
                <w:iCs/>
              </w:rPr>
            </w:pPr>
            <w:proofErr w:type="spellStart"/>
            <w:r>
              <w:rPr>
                <w:b/>
                <w:bCs/>
                <w:i/>
                <w:iCs/>
              </w:rPr>
              <w:t>OpPhysicalAssetCapabilityType</w:t>
            </w:r>
            <w:proofErr w:type="spellEnd"/>
          </w:p>
        </w:tc>
        <w:tc>
          <w:tcPr>
            <w:tcW w:w="5760" w:type="dxa"/>
          </w:tcPr>
          <w:p w:rsidR="00313422" w:rsidRDefault="00313422" w:rsidP="001B5799">
            <w:pPr>
              <w:pStyle w:val="BoxedElement"/>
            </w:pPr>
            <w:r>
              <w:t xml:space="preserve">Contains a definition of a physical asset capability. Including the type of the capability, the hierarchy scope of the capability, the time duration of the capability, the quantity of the capability, and the properties that may be required to identify capabilities of subsets of the class. </w:t>
            </w:r>
          </w:p>
          <w:p w:rsidR="00313422" w:rsidRDefault="00313422" w:rsidP="001B5799">
            <w:pPr>
              <w:pStyle w:val="BoxedElement"/>
            </w:pPr>
            <w:r>
              <w:rPr>
                <w:rFonts w:cs="Arial"/>
                <w:noProof/>
                <w:sz w:val="24"/>
                <w:szCs w:val="24"/>
              </w:rPr>
              <w:drawing>
                <wp:inline distT="0" distB="0" distL="0" distR="0" wp14:anchorId="2A5B96F3" wp14:editId="16BAA160">
                  <wp:extent cx="3521075" cy="34366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1075" cy="3436620"/>
                          </a:xfrm>
                          <a:prstGeom prst="rect">
                            <a:avLst/>
                          </a:prstGeom>
                          <a:noFill/>
                          <a:ln>
                            <a:noFill/>
                          </a:ln>
                        </pic:spPr>
                      </pic:pic>
                    </a:graphicData>
                  </a:graphic>
                </wp:inline>
              </w:drawing>
            </w:r>
          </w:p>
        </w:tc>
      </w:tr>
      <w:tr w:rsidR="00313422" w:rsidTr="001B5799">
        <w:trPr>
          <w:cantSplit/>
        </w:trPr>
        <w:tc>
          <w:tcPr>
            <w:tcW w:w="4068" w:type="dxa"/>
          </w:tcPr>
          <w:p w:rsidR="00313422" w:rsidRDefault="00313422" w:rsidP="001B5799">
            <w:pPr>
              <w:pStyle w:val="BoxedElement"/>
              <w:keepNext/>
            </w:pPr>
            <w:proofErr w:type="spellStart"/>
            <w:r>
              <w:lastRenderedPageBreak/>
              <w:t>PhysicalAssetCapabilityProperty</w:t>
            </w:r>
            <w:proofErr w:type="spellEnd"/>
          </w:p>
          <w:p w:rsidR="00313422" w:rsidRDefault="00313422" w:rsidP="001B5799">
            <w:pPr>
              <w:pStyle w:val="BoxedElement"/>
              <w:keepNext/>
              <w:rPr>
                <w:b/>
                <w:bCs/>
                <w:i/>
                <w:iCs/>
              </w:rPr>
            </w:pPr>
            <w:proofErr w:type="spellStart"/>
            <w:r>
              <w:rPr>
                <w:b/>
                <w:bCs/>
                <w:i/>
                <w:iCs/>
              </w:rPr>
              <w:t>OpPhysicalAssetCapabilityPropertyType</w:t>
            </w:r>
            <w:proofErr w:type="spellEnd"/>
          </w:p>
        </w:tc>
        <w:tc>
          <w:tcPr>
            <w:tcW w:w="5760" w:type="dxa"/>
          </w:tcPr>
          <w:p w:rsidR="00313422" w:rsidRDefault="00313422" w:rsidP="001B5799">
            <w:pPr>
              <w:pStyle w:val="BoxedElement"/>
            </w:pPr>
            <w:r>
              <w:t>Contains a definition of the quantity of a physical asset property, including the value used to identify the class subset of the capability, and the quantity of the capability.</w:t>
            </w:r>
          </w:p>
        </w:tc>
      </w:tr>
      <w:tr w:rsidR="00313422" w:rsidTr="001B5799">
        <w:trPr>
          <w:cantSplit/>
        </w:trPr>
        <w:tc>
          <w:tcPr>
            <w:tcW w:w="4068" w:type="dxa"/>
          </w:tcPr>
          <w:p w:rsidR="00313422" w:rsidRDefault="00313422" w:rsidP="001B5799">
            <w:pPr>
              <w:pStyle w:val="BoxedElement"/>
            </w:pPr>
            <w:proofErr w:type="spellStart"/>
            <w:r>
              <w:t>WorkMasterCapability</w:t>
            </w:r>
            <w:proofErr w:type="spellEnd"/>
          </w:p>
          <w:p w:rsidR="00313422" w:rsidRDefault="00313422" w:rsidP="001B5799">
            <w:pPr>
              <w:pStyle w:val="BoxedElement"/>
              <w:rPr>
                <w:b/>
                <w:bCs/>
                <w:i/>
                <w:iCs/>
              </w:rPr>
            </w:pPr>
            <w:proofErr w:type="spellStart"/>
            <w:r>
              <w:rPr>
                <w:b/>
                <w:bCs/>
                <w:i/>
                <w:iCs/>
              </w:rPr>
              <w:t>WorkMasterCapabilityType</w:t>
            </w:r>
            <w:proofErr w:type="spellEnd"/>
          </w:p>
        </w:tc>
        <w:tc>
          <w:tcPr>
            <w:tcW w:w="5760" w:type="dxa"/>
          </w:tcPr>
          <w:p w:rsidR="00313422" w:rsidRDefault="00313422" w:rsidP="001B5799">
            <w:pPr>
              <w:pStyle w:val="BoxedElement"/>
            </w:pPr>
            <w:r>
              <w:t>Contains a definition of a capability for a work master, includes the identification of the associated work master, the capability type, the reason for the capability, the location of the capability, the duration of the capability, the personnel, equipment, and material capability definitions.</w:t>
            </w:r>
          </w:p>
          <w:p w:rsidR="00313422" w:rsidRDefault="00313422" w:rsidP="001B5799">
            <w:pPr>
              <w:pStyle w:val="BoxedElement"/>
            </w:pPr>
            <w:r>
              <w:rPr>
                <w:rFonts w:cs="Arial"/>
                <w:noProof/>
                <w:sz w:val="24"/>
                <w:szCs w:val="24"/>
              </w:rPr>
              <w:drawing>
                <wp:inline distT="0" distB="0" distL="0" distR="0" wp14:anchorId="10CDA317" wp14:editId="3BF65A36">
                  <wp:extent cx="3542030" cy="42354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2030" cy="4235450"/>
                          </a:xfrm>
                          <a:prstGeom prst="rect">
                            <a:avLst/>
                          </a:prstGeom>
                          <a:noFill/>
                          <a:ln>
                            <a:noFill/>
                          </a:ln>
                        </pic:spPr>
                      </pic:pic>
                    </a:graphicData>
                  </a:graphic>
                </wp:inline>
              </w:drawing>
            </w:r>
          </w:p>
        </w:tc>
      </w:tr>
    </w:tbl>
    <w:p w:rsidR="00313422" w:rsidRDefault="00313422" w:rsidP="00313422">
      <w:pPr>
        <w:pStyle w:val="Heading1"/>
        <w:pageBreakBefore/>
      </w:pPr>
      <w:bookmarkStart w:id="30" w:name="_Toc151188372"/>
      <w:bookmarkStart w:id="31" w:name="_Toc151191157"/>
      <w:bookmarkStart w:id="32" w:name="_Toc333476364"/>
      <w:bookmarkStart w:id="33" w:name="_Toc351127003"/>
      <w:r>
        <w:lastRenderedPageBreak/>
        <w:t>Transaction Elements</w:t>
      </w:r>
      <w:bookmarkEnd w:id="30"/>
      <w:bookmarkEnd w:id="31"/>
      <w:bookmarkEnd w:id="32"/>
      <w:bookmarkEnd w:id="33"/>
    </w:p>
    <w:p w:rsidR="00313422" w:rsidRDefault="00313422" w:rsidP="00313422">
      <w:r>
        <w:t xml:space="preserve">The following elements are defined to support the ISA 95 Part 5 transactions, using the transaction data types defined in the B2MML-Common.xsd schema. </w:t>
      </w:r>
    </w:p>
    <w:p w:rsidR="00313422" w:rsidRDefault="00313422" w:rsidP="003134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88"/>
        <w:gridCol w:w="5976"/>
      </w:tblGrid>
      <w:tr w:rsidR="00313422" w:rsidRPr="00FF5F5D" w:rsidTr="001B5799">
        <w:trPr>
          <w:cantSplit/>
          <w:tblHeader/>
        </w:trPr>
        <w:tc>
          <w:tcPr>
            <w:tcW w:w="3888" w:type="dxa"/>
            <w:shd w:val="clear" w:color="auto" w:fill="000000"/>
          </w:tcPr>
          <w:p w:rsidR="00313422" w:rsidRPr="003A1D54" w:rsidRDefault="00313422" w:rsidP="001B5799">
            <w:pPr>
              <w:rPr>
                <w:b/>
                <w:color w:val="FFFFFF"/>
              </w:rPr>
            </w:pPr>
            <w:r>
              <w:rPr>
                <w:b/>
                <w:color w:val="FFFFFF"/>
              </w:rPr>
              <w:t xml:space="preserve">Work Capability Information </w:t>
            </w:r>
            <w:r w:rsidRPr="003A1D54">
              <w:rPr>
                <w:b/>
                <w:color w:val="FFFFFF"/>
              </w:rPr>
              <w:t>Elements</w:t>
            </w:r>
          </w:p>
        </w:tc>
        <w:tc>
          <w:tcPr>
            <w:tcW w:w="5976" w:type="dxa"/>
            <w:shd w:val="clear" w:color="auto" w:fill="000000"/>
          </w:tcPr>
          <w:p w:rsidR="00313422" w:rsidRPr="003A1D54" w:rsidRDefault="00313422" w:rsidP="001B5799">
            <w:pPr>
              <w:rPr>
                <w:b/>
                <w:color w:val="FFFFFF"/>
              </w:rPr>
            </w:pPr>
            <w:r w:rsidRPr="003A1D54">
              <w:rPr>
                <w:b/>
                <w:color w:val="FFFFFF"/>
              </w:rPr>
              <w:t>Description</w:t>
            </w:r>
          </w:p>
        </w:tc>
      </w:tr>
      <w:tr w:rsidR="00313422" w:rsidRPr="00FF5F5D" w:rsidTr="001B5799">
        <w:tc>
          <w:tcPr>
            <w:tcW w:w="3888" w:type="dxa"/>
          </w:tcPr>
          <w:p w:rsidR="00313422" w:rsidRPr="00FF5F5D" w:rsidRDefault="00313422" w:rsidP="001B5799">
            <w:proofErr w:type="spellStart"/>
            <w:r w:rsidRPr="00FF5F5D">
              <w:t>Get</w:t>
            </w:r>
            <w:r>
              <w:t>WorkCapability</w:t>
            </w:r>
            <w:r w:rsidRPr="00FF5F5D">
              <w:t>Information</w:t>
            </w:r>
            <w:proofErr w:type="spellEnd"/>
          </w:p>
        </w:tc>
        <w:tc>
          <w:tcPr>
            <w:tcW w:w="5976" w:type="dxa"/>
          </w:tcPr>
          <w:p w:rsidR="00313422" w:rsidRPr="00FF5F5D" w:rsidRDefault="00313422" w:rsidP="001B5799">
            <w:r>
              <w:t xml:space="preserve">Get a </w:t>
            </w:r>
            <w:proofErr w:type="spellStart"/>
            <w:r>
              <w:rPr>
                <w:i/>
              </w:rPr>
              <w:t>WorkCapabilityInformation</w:t>
            </w:r>
            <w:proofErr w:type="spellEnd"/>
            <w:r>
              <w:t xml:space="preserve"> definition. </w:t>
            </w:r>
          </w:p>
        </w:tc>
      </w:tr>
      <w:tr w:rsidR="00313422" w:rsidRPr="00FF5F5D" w:rsidTr="001B5799">
        <w:tc>
          <w:tcPr>
            <w:tcW w:w="3888" w:type="dxa"/>
          </w:tcPr>
          <w:p w:rsidR="00313422" w:rsidRPr="00FF5F5D" w:rsidRDefault="00313422" w:rsidP="001B5799">
            <w:proofErr w:type="spellStart"/>
            <w:r w:rsidRPr="00FF5F5D">
              <w:t>Show</w:t>
            </w:r>
            <w:r>
              <w:t>WorkCapability</w:t>
            </w:r>
            <w:r w:rsidRPr="00FF5F5D">
              <w:t>Information</w:t>
            </w:r>
            <w:proofErr w:type="spellEnd"/>
          </w:p>
        </w:tc>
        <w:tc>
          <w:tcPr>
            <w:tcW w:w="5976" w:type="dxa"/>
          </w:tcPr>
          <w:p w:rsidR="00313422" w:rsidRPr="00FF5F5D" w:rsidRDefault="00313422" w:rsidP="001B5799">
            <w:r>
              <w:t xml:space="preserve">Returned information from the </w:t>
            </w:r>
            <w:proofErr w:type="spellStart"/>
            <w:r w:rsidRPr="003A1D54">
              <w:rPr>
                <w:i/>
              </w:rPr>
              <w:t>Get</w:t>
            </w:r>
            <w:r>
              <w:rPr>
                <w:i/>
              </w:rPr>
              <w:t>WorkCapability</w:t>
            </w:r>
            <w:r w:rsidRPr="003A1D54">
              <w:rPr>
                <w:i/>
              </w:rPr>
              <w:t>Information</w:t>
            </w:r>
            <w:proofErr w:type="spellEnd"/>
            <w:r>
              <w:t xml:space="preserve"> message.</w:t>
            </w:r>
          </w:p>
        </w:tc>
      </w:tr>
      <w:tr w:rsidR="00313422" w:rsidRPr="00FF5F5D" w:rsidTr="001B5799">
        <w:tc>
          <w:tcPr>
            <w:tcW w:w="3888" w:type="dxa"/>
          </w:tcPr>
          <w:p w:rsidR="00313422" w:rsidRPr="00FF5F5D" w:rsidRDefault="00313422" w:rsidP="001B5799">
            <w:proofErr w:type="spellStart"/>
            <w:r w:rsidRPr="00FF5F5D">
              <w:t>Process</w:t>
            </w:r>
            <w:r>
              <w:t>WorkCapability</w:t>
            </w:r>
            <w:r w:rsidRPr="00FF5F5D">
              <w:t>Information</w:t>
            </w:r>
            <w:proofErr w:type="spellEnd"/>
          </w:p>
        </w:tc>
        <w:tc>
          <w:tcPr>
            <w:tcW w:w="5976" w:type="dxa"/>
          </w:tcPr>
          <w:p w:rsidR="00313422" w:rsidRPr="00FF5F5D" w:rsidRDefault="00313422" w:rsidP="001B5799">
            <w:r>
              <w:t xml:space="preserve">Process </w:t>
            </w:r>
            <w:bookmarkStart w:id="34" w:name="OLE_LINK1"/>
            <w:bookmarkStart w:id="35" w:name="OLE_LINK2"/>
            <w:r>
              <w:t xml:space="preserve">a </w:t>
            </w:r>
            <w:proofErr w:type="spellStart"/>
            <w:r>
              <w:rPr>
                <w:i/>
              </w:rPr>
              <w:t>WorkCapabilityInformation</w:t>
            </w:r>
            <w:proofErr w:type="spellEnd"/>
            <w:r>
              <w:t xml:space="preserve"> </w:t>
            </w:r>
            <w:bookmarkEnd w:id="34"/>
            <w:bookmarkEnd w:id="35"/>
            <w:r>
              <w:t>definition.</w:t>
            </w:r>
          </w:p>
        </w:tc>
      </w:tr>
      <w:tr w:rsidR="00313422" w:rsidRPr="00FF5F5D" w:rsidTr="001B5799">
        <w:tc>
          <w:tcPr>
            <w:tcW w:w="3888" w:type="dxa"/>
          </w:tcPr>
          <w:p w:rsidR="00313422" w:rsidRPr="00FF5F5D" w:rsidRDefault="00313422" w:rsidP="001B5799">
            <w:proofErr w:type="spellStart"/>
            <w:r w:rsidRPr="00FF5F5D">
              <w:t>Acknowledge</w:t>
            </w:r>
            <w:r>
              <w:t>WorkCapability</w:t>
            </w:r>
            <w:r w:rsidRPr="00FF5F5D">
              <w:t>Information</w:t>
            </w:r>
            <w:proofErr w:type="spellEnd"/>
          </w:p>
        </w:tc>
        <w:tc>
          <w:tcPr>
            <w:tcW w:w="5976" w:type="dxa"/>
          </w:tcPr>
          <w:p w:rsidR="00313422" w:rsidRPr="00FF5F5D" w:rsidRDefault="00313422" w:rsidP="001B5799">
            <w:r>
              <w:t xml:space="preserve">Returned status from the </w:t>
            </w:r>
            <w:proofErr w:type="spellStart"/>
            <w:r w:rsidRPr="003A1D54">
              <w:rPr>
                <w:i/>
              </w:rPr>
              <w:t>Process</w:t>
            </w:r>
            <w:r>
              <w:rPr>
                <w:i/>
              </w:rPr>
              <w:t>WorkCapability</w:t>
            </w:r>
            <w:r w:rsidRPr="003A1D54">
              <w:rPr>
                <w:i/>
              </w:rPr>
              <w:t>Information</w:t>
            </w:r>
            <w:proofErr w:type="spellEnd"/>
            <w:r>
              <w:t xml:space="preserve"> message.</w:t>
            </w:r>
          </w:p>
        </w:tc>
      </w:tr>
      <w:tr w:rsidR="00313422" w:rsidRPr="00FF5F5D" w:rsidTr="001B5799">
        <w:tc>
          <w:tcPr>
            <w:tcW w:w="3888" w:type="dxa"/>
          </w:tcPr>
          <w:p w:rsidR="00313422" w:rsidRPr="00FF5F5D" w:rsidRDefault="00313422" w:rsidP="001B5799">
            <w:proofErr w:type="spellStart"/>
            <w:r w:rsidRPr="00FF5F5D">
              <w:t>Change</w:t>
            </w:r>
            <w:r>
              <w:t>WorkCapability</w:t>
            </w:r>
            <w:r w:rsidRPr="00FF5F5D">
              <w:t>Information</w:t>
            </w:r>
            <w:proofErr w:type="spellEnd"/>
          </w:p>
        </w:tc>
        <w:tc>
          <w:tcPr>
            <w:tcW w:w="5976" w:type="dxa"/>
          </w:tcPr>
          <w:p w:rsidR="00313422" w:rsidRPr="00FF5F5D" w:rsidRDefault="00313422" w:rsidP="001B5799">
            <w:r>
              <w:t xml:space="preserve">Change a </w:t>
            </w:r>
            <w:proofErr w:type="spellStart"/>
            <w:r>
              <w:rPr>
                <w:i/>
              </w:rPr>
              <w:t>WorkCapabilityInformation</w:t>
            </w:r>
            <w:proofErr w:type="spellEnd"/>
            <w:r>
              <w:t xml:space="preserve"> definition.</w:t>
            </w:r>
          </w:p>
        </w:tc>
      </w:tr>
      <w:tr w:rsidR="00313422" w:rsidRPr="00FF5F5D" w:rsidTr="001B5799">
        <w:tc>
          <w:tcPr>
            <w:tcW w:w="3888" w:type="dxa"/>
          </w:tcPr>
          <w:p w:rsidR="00313422" w:rsidRPr="00FF5F5D" w:rsidRDefault="00313422" w:rsidP="001B5799">
            <w:proofErr w:type="spellStart"/>
            <w:r w:rsidRPr="00FF5F5D">
              <w:t>Respond</w:t>
            </w:r>
            <w:r>
              <w:t>WorkCapability</w:t>
            </w:r>
            <w:r w:rsidRPr="00FF5F5D">
              <w:t>Information</w:t>
            </w:r>
            <w:proofErr w:type="spellEnd"/>
          </w:p>
        </w:tc>
        <w:tc>
          <w:tcPr>
            <w:tcW w:w="5976" w:type="dxa"/>
          </w:tcPr>
          <w:p w:rsidR="00313422" w:rsidRPr="00FF5F5D" w:rsidRDefault="00313422" w:rsidP="001B5799">
            <w:r>
              <w:t xml:space="preserve">Returned status from the </w:t>
            </w:r>
            <w:proofErr w:type="spellStart"/>
            <w:r w:rsidRPr="003A1D54">
              <w:rPr>
                <w:i/>
              </w:rPr>
              <w:t>Change</w:t>
            </w:r>
            <w:r>
              <w:rPr>
                <w:i/>
              </w:rPr>
              <w:t>WorkCapability</w:t>
            </w:r>
            <w:r w:rsidRPr="003A1D54">
              <w:rPr>
                <w:i/>
              </w:rPr>
              <w:t>Information</w:t>
            </w:r>
            <w:proofErr w:type="spellEnd"/>
            <w:r>
              <w:t xml:space="preserve"> message.</w:t>
            </w:r>
          </w:p>
        </w:tc>
      </w:tr>
      <w:tr w:rsidR="00313422" w:rsidRPr="00FF5F5D" w:rsidTr="001B5799">
        <w:tc>
          <w:tcPr>
            <w:tcW w:w="3888" w:type="dxa"/>
          </w:tcPr>
          <w:p w:rsidR="00313422" w:rsidRPr="00FF5F5D" w:rsidRDefault="00313422" w:rsidP="001B5799">
            <w:proofErr w:type="spellStart"/>
            <w:r w:rsidRPr="00FF5F5D">
              <w:t>Cancel</w:t>
            </w:r>
            <w:r>
              <w:t>WorkCapability</w:t>
            </w:r>
            <w:r w:rsidRPr="00FF5F5D">
              <w:t>Information</w:t>
            </w:r>
            <w:proofErr w:type="spellEnd"/>
          </w:p>
        </w:tc>
        <w:tc>
          <w:tcPr>
            <w:tcW w:w="5976" w:type="dxa"/>
          </w:tcPr>
          <w:p w:rsidR="00313422" w:rsidRPr="00FF5F5D" w:rsidRDefault="00313422" w:rsidP="001B5799">
            <w:r>
              <w:t xml:space="preserve">Cancel a </w:t>
            </w:r>
            <w:proofErr w:type="spellStart"/>
            <w:r>
              <w:rPr>
                <w:i/>
              </w:rPr>
              <w:t>WorkCapabilityInformation</w:t>
            </w:r>
            <w:proofErr w:type="spellEnd"/>
            <w:r>
              <w:t xml:space="preserve"> definition.</w:t>
            </w:r>
          </w:p>
        </w:tc>
      </w:tr>
      <w:tr w:rsidR="00313422" w:rsidRPr="00FF5F5D" w:rsidTr="001B5799">
        <w:tc>
          <w:tcPr>
            <w:tcW w:w="3888" w:type="dxa"/>
          </w:tcPr>
          <w:p w:rsidR="00313422" w:rsidRPr="00FF5F5D" w:rsidRDefault="00313422" w:rsidP="001B5799">
            <w:proofErr w:type="spellStart"/>
            <w:r w:rsidRPr="00FF5F5D">
              <w:t>Sync</w:t>
            </w:r>
            <w:r>
              <w:t>WorkCapability</w:t>
            </w:r>
            <w:r w:rsidRPr="00FF5F5D">
              <w:t>Information</w:t>
            </w:r>
            <w:proofErr w:type="spellEnd"/>
          </w:p>
        </w:tc>
        <w:tc>
          <w:tcPr>
            <w:tcW w:w="5976" w:type="dxa"/>
          </w:tcPr>
          <w:p w:rsidR="00313422" w:rsidRPr="00FF5F5D" w:rsidRDefault="00313422" w:rsidP="001B5799">
            <w:r>
              <w:t xml:space="preserve">Published </w:t>
            </w:r>
            <w:proofErr w:type="spellStart"/>
            <w:r>
              <w:rPr>
                <w:i/>
              </w:rPr>
              <w:t>WorkCapabilityInformation</w:t>
            </w:r>
            <w:proofErr w:type="spellEnd"/>
            <w:r>
              <w:t xml:space="preserve"> definition.</w:t>
            </w:r>
          </w:p>
        </w:tc>
      </w:tr>
    </w:tbl>
    <w:p w:rsidR="00313422" w:rsidRDefault="00313422" w:rsidP="003134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88"/>
        <w:gridCol w:w="5976"/>
      </w:tblGrid>
      <w:tr w:rsidR="00313422" w:rsidRPr="00FF5F5D" w:rsidTr="001B5799">
        <w:tc>
          <w:tcPr>
            <w:tcW w:w="3888" w:type="dxa"/>
            <w:shd w:val="clear" w:color="auto" w:fill="000000"/>
          </w:tcPr>
          <w:p w:rsidR="00313422" w:rsidRPr="003A1D54" w:rsidRDefault="00313422" w:rsidP="001B5799">
            <w:pPr>
              <w:rPr>
                <w:b/>
                <w:color w:val="FFFFFF"/>
              </w:rPr>
            </w:pPr>
            <w:r>
              <w:rPr>
                <w:b/>
                <w:color w:val="FFFFFF"/>
              </w:rPr>
              <w:t xml:space="preserve">Work Capability </w:t>
            </w:r>
            <w:r w:rsidRPr="003A1D54">
              <w:rPr>
                <w:b/>
                <w:color w:val="FFFFFF"/>
              </w:rPr>
              <w:t>Elements</w:t>
            </w:r>
          </w:p>
        </w:tc>
        <w:tc>
          <w:tcPr>
            <w:tcW w:w="5976" w:type="dxa"/>
            <w:shd w:val="clear" w:color="auto" w:fill="000000"/>
          </w:tcPr>
          <w:p w:rsidR="00313422" w:rsidRPr="003A1D54" w:rsidRDefault="00313422" w:rsidP="001B5799">
            <w:pPr>
              <w:rPr>
                <w:b/>
                <w:color w:val="FFFFFF"/>
              </w:rPr>
            </w:pPr>
            <w:r w:rsidRPr="003A1D54">
              <w:rPr>
                <w:b/>
                <w:color w:val="FFFFFF"/>
              </w:rPr>
              <w:t>Description</w:t>
            </w:r>
          </w:p>
        </w:tc>
      </w:tr>
      <w:tr w:rsidR="00313422" w:rsidRPr="00FF5F5D" w:rsidTr="001B5799">
        <w:tc>
          <w:tcPr>
            <w:tcW w:w="3888" w:type="dxa"/>
          </w:tcPr>
          <w:p w:rsidR="00313422" w:rsidRPr="00FF5F5D" w:rsidRDefault="00313422" w:rsidP="001B5799">
            <w:proofErr w:type="spellStart"/>
            <w:r w:rsidRPr="00FF5F5D">
              <w:t>Get</w:t>
            </w:r>
            <w:r>
              <w:t>WorkCapability</w:t>
            </w:r>
            <w:proofErr w:type="spellEnd"/>
          </w:p>
        </w:tc>
        <w:tc>
          <w:tcPr>
            <w:tcW w:w="5976" w:type="dxa"/>
          </w:tcPr>
          <w:p w:rsidR="00313422" w:rsidRPr="00FF5F5D" w:rsidRDefault="00313422" w:rsidP="001B5799">
            <w:r>
              <w:t xml:space="preserve">Get a </w:t>
            </w:r>
            <w:proofErr w:type="spellStart"/>
            <w:r>
              <w:rPr>
                <w:i/>
              </w:rPr>
              <w:t>WorkCapability</w:t>
            </w:r>
            <w:proofErr w:type="spellEnd"/>
            <w:r>
              <w:t xml:space="preserve"> definition. </w:t>
            </w:r>
          </w:p>
        </w:tc>
      </w:tr>
      <w:tr w:rsidR="00313422" w:rsidRPr="00FF5F5D" w:rsidTr="001B5799">
        <w:tc>
          <w:tcPr>
            <w:tcW w:w="3888" w:type="dxa"/>
          </w:tcPr>
          <w:p w:rsidR="00313422" w:rsidRPr="00FF5F5D" w:rsidRDefault="00313422" w:rsidP="001B5799">
            <w:proofErr w:type="spellStart"/>
            <w:r w:rsidRPr="00FF5F5D">
              <w:t>Show</w:t>
            </w:r>
            <w:r>
              <w:t>WorkCapability</w:t>
            </w:r>
            <w:proofErr w:type="spellEnd"/>
          </w:p>
        </w:tc>
        <w:tc>
          <w:tcPr>
            <w:tcW w:w="5976" w:type="dxa"/>
          </w:tcPr>
          <w:p w:rsidR="00313422" w:rsidRPr="00FF5F5D" w:rsidRDefault="00313422" w:rsidP="001B5799">
            <w:r>
              <w:t xml:space="preserve">Returned information from the </w:t>
            </w:r>
            <w:proofErr w:type="spellStart"/>
            <w:r w:rsidRPr="003A1D54">
              <w:rPr>
                <w:i/>
              </w:rPr>
              <w:t>Get</w:t>
            </w:r>
            <w:r>
              <w:rPr>
                <w:i/>
              </w:rPr>
              <w:t>WorkCapability</w:t>
            </w:r>
            <w:proofErr w:type="spellEnd"/>
            <w:r>
              <w:t xml:space="preserve"> message.</w:t>
            </w:r>
          </w:p>
        </w:tc>
      </w:tr>
      <w:tr w:rsidR="00313422" w:rsidRPr="00FF5F5D" w:rsidTr="001B5799">
        <w:tc>
          <w:tcPr>
            <w:tcW w:w="3888" w:type="dxa"/>
          </w:tcPr>
          <w:p w:rsidR="00313422" w:rsidRPr="00FF5F5D" w:rsidRDefault="00313422" w:rsidP="001B5799">
            <w:proofErr w:type="spellStart"/>
            <w:r w:rsidRPr="00FF5F5D">
              <w:t>Process</w:t>
            </w:r>
            <w:r>
              <w:t>WorkCapability</w:t>
            </w:r>
            <w:proofErr w:type="spellEnd"/>
          </w:p>
        </w:tc>
        <w:tc>
          <w:tcPr>
            <w:tcW w:w="5976" w:type="dxa"/>
          </w:tcPr>
          <w:p w:rsidR="00313422" w:rsidRPr="00FF5F5D" w:rsidRDefault="00313422" w:rsidP="001B5799">
            <w:r>
              <w:t xml:space="preserve">Process a </w:t>
            </w:r>
            <w:proofErr w:type="spellStart"/>
            <w:r>
              <w:rPr>
                <w:i/>
              </w:rPr>
              <w:t>WorkCapability</w:t>
            </w:r>
            <w:proofErr w:type="spellEnd"/>
            <w:r>
              <w:t xml:space="preserve"> definition.</w:t>
            </w:r>
          </w:p>
        </w:tc>
      </w:tr>
      <w:tr w:rsidR="00313422" w:rsidRPr="00FF5F5D" w:rsidTr="001B5799">
        <w:tc>
          <w:tcPr>
            <w:tcW w:w="3888" w:type="dxa"/>
          </w:tcPr>
          <w:p w:rsidR="00313422" w:rsidRPr="00FF5F5D" w:rsidRDefault="00313422" w:rsidP="001B5799">
            <w:proofErr w:type="spellStart"/>
            <w:r w:rsidRPr="00FF5F5D">
              <w:t>Acknowledge</w:t>
            </w:r>
            <w:r>
              <w:t>WorkCapability</w:t>
            </w:r>
            <w:proofErr w:type="spellEnd"/>
          </w:p>
        </w:tc>
        <w:tc>
          <w:tcPr>
            <w:tcW w:w="5976" w:type="dxa"/>
          </w:tcPr>
          <w:p w:rsidR="00313422" w:rsidRPr="00FF5F5D" w:rsidRDefault="00313422" w:rsidP="001B5799">
            <w:r>
              <w:t xml:space="preserve">Returned status from the </w:t>
            </w:r>
            <w:proofErr w:type="spellStart"/>
            <w:r w:rsidRPr="003A1D54">
              <w:rPr>
                <w:i/>
              </w:rPr>
              <w:t>Process</w:t>
            </w:r>
            <w:r>
              <w:rPr>
                <w:i/>
              </w:rPr>
              <w:t>WorkCapability</w:t>
            </w:r>
            <w:proofErr w:type="spellEnd"/>
            <w:r>
              <w:t xml:space="preserve"> message.</w:t>
            </w:r>
          </w:p>
        </w:tc>
      </w:tr>
      <w:tr w:rsidR="00313422" w:rsidRPr="00FF5F5D" w:rsidTr="001B5799">
        <w:tc>
          <w:tcPr>
            <w:tcW w:w="3888" w:type="dxa"/>
          </w:tcPr>
          <w:p w:rsidR="00313422" w:rsidRPr="00FF5F5D" w:rsidRDefault="00313422" w:rsidP="001B5799">
            <w:proofErr w:type="spellStart"/>
            <w:r w:rsidRPr="00FF5F5D">
              <w:t>Change</w:t>
            </w:r>
            <w:r>
              <w:t>WorkCapability</w:t>
            </w:r>
            <w:proofErr w:type="spellEnd"/>
          </w:p>
        </w:tc>
        <w:tc>
          <w:tcPr>
            <w:tcW w:w="5976" w:type="dxa"/>
          </w:tcPr>
          <w:p w:rsidR="00313422" w:rsidRPr="00FF5F5D" w:rsidRDefault="00313422" w:rsidP="001B5799">
            <w:r>
              <w:t xml:space="preserve">Change a </w:t>
            </w:r>
            <w:proofErr w:type="spellStart"/>
            <w:r>
              <w:rPr>
                <w:i/>
              </w:rPr>
              <w:t>WorkCapability</w:t>
            </w:r>
            <w:proofErr w:type="spellEnd"/>
            <w:r>
              <w:t xml:space="preserve"> definition.</w:t>
            </w:r>
          </w:p>
        </w:tc>
      </w:tr>
      <w:tr w:rsidR="00313422" w:rsidRPr="00FF5F5D" w:rsidTr="001B5799">
        <w:tc>
          <w:tcPr>
            <w:tcW w:w="3888" w:type="dxa"/>
          </w:tcPr>
          <w:p w:rsidR="00313422" w:rsidRPr="00FF5F5D" w:rsidRDefault="00313422" w:rsidP="001B5799">
            <w:proofErr w:type="spellStart"/>
            <w:r w:rsidRPr="00FF5F5D">
              <w:t>Respond</w:t>
            </w:r>
            <w:r>
              <w:t>WorkCapability</w:t>
            </w:r>
            <w:proofErr w:type="spellEnd"/>
          </w:p>
        </w:tc>
        <w:tc>
          <w:tcPr>
            <w:tcW w:w="5976" w:type="dxa"/>
          </w:tcPr>
          <w:p w:rsidR="00313422" w:rsidRPr="00FF5F5D" w:rsidRDefault="00313422" w:rsidP="001B5799">
            <w:r>
              <w:t xml:space="preserve">Returned status from the </w:t>
            </w:r>
            <w:proofErr w:type="spellStart"/>
            <w:r w:rsidRPr="003A1D54">
              <w:rPr>
                <w:i/>
              </w:rPr>
              <w:t>Change</w:t>
            </w:r>
            <w:r>
              <w:rPr>
                <w:i/>
              </w:rPr>
              <w:t>WorkCapability</w:t>
            </w:r>
            <w:proofErr w:type="spellEnd"/>
            <w:r>
              <w:t xml:space="preserve"> message.</w:t>
            </w:r>
          </w:p>
        </w:tc>
      </w:tr>
      <w:tr w:rsidR="00313422" w:rsidRPr="00FF5F5D" w:rsidTr="001B5799">
        <w:tc>
          <w:tcPr>
            <w:tcW w:w="3888" w:type="dxa"/>
          </w:tcPr>
          <w:p w:rsidR="00313422" w:rsidRPr="00FF5F5D" w:rsidRDefault="00313422" w:rsidP="001B5799">
            <w:proofErr w:type="spellStart"/>
            <w:r w:rsidRPr="00FF5F5D">
              <w:t>Cancel</w:t>
            </w:r>
            <w:r>
              <w:t>WorkCapability</w:t>
            </w:r>
            <w:proofErr w:type="spellEnd"/>
          </w:p>
        </w:tc>
        <w:tc>
          <w:tcPr>
            <w:tcW w:w="5976" w:type="dxa"/>
          </w:tcPr>
          <w:p w:rsidR="00313422" w:rsidRPr="00FF5F5D" w:rsidRDefault="00313422" w:rsidP="001B5799">
            <w:r>
              <w:t xml:space="preserve">Cancel a </w:t>
            </w:r>
            <w:proofErr w:type="spellStart"/>
            <w:r>
              <w:rPr>
                <w:i/>
              </w:rPr>
              <w:t>WorkCapability</w:t>
            </w:r>
            <w:proofErr w:type="spellEnd"/>
            <w:r>
              <w:t xml:space="preserve"> definition.</w:t>
            </w:r>
          </w:p>
        </w:tc>
      </w:tr>
      <w:tr w:rsidR="00313422" w:rsidRPr="00FF5F5D" w:rsidTr="001B5799">
        <w:tc>
          <w:tcPr>
            <w:tcW w:w="3888" w:type="dxa"/>
          </w:tcPr>
          <w:p w:rsidR="00313422" w:rsidRPr="00FF5F5D" w:rsidRDefault="00313422" w:rsidP="001B5799">
            <w:proofErr w:type="spellStart"/>
            <w:r w:rsidRPr="00FF5F5D">
              <w:t>Sync</w:t>
            </w:r>
            <w:r>
              <w:t>WorkCapability</w:t>
            </w:r>
            <w:proofErr w:type="spellEnd"/>
          </w:p>
        </w:tc>
        <w:tc>
          <w:tcPr>
            <w:tcW w:w="5976" w:type="dxa"/>
          </w:tcPr>
          <w:p w:rsidR="00313422" w:rsidRPr="00FF5F5D" w:rsidRDefault="00313422" w:rsidP="001B5799">
            <w:r>
              <w:t xml:space="preserve">Published </w:t>
            </w:r>
            <w:proofErr w:type="spellStart"/>
            <w:r>
              <w:rPr>
                <w:i/>
              </w:rPr>
              <w:t>WorkCapability</w:t>
            </w:r>
            <w:proofErr w:type="spellEnd"/>
            <w:r>
              <w:t xml:space="preserve"> definition.</w:t>
            </w:r>
          </w:p>
        </w:tc>
      </w:tr>
    </w:tbl>
    <w:p w:rsidR="00313422" w:rsidRDefault="00313422" w:rsidP="00313422"/>
    <w:p w:rsidR="00313422" w:rsidRDefault="00313422" w:rsidP="00313422">
      <w:pPr>
        <w:pStyle w:val="Heading1"/>
        <w:pageBreakBefore/>
      </w:pPr>
      <w:bookmarkStart w:id="36" w:name="_Toc333476365"/>
      <w:bookmarkStart w:id="37" w:name="_Toc351127004"/>
      <w:r>
        <w:lastRenderedPageBreak/>
        <w:t>Diagram Convention</w:t>
      </w:r>
      <w:bookmarkEnd w:id="36"/>
      <w:bookmarkEnd w:id="37"/>
    </w:p>
    <w:p w:rsidR="00313422" w:rsidRDefault="00313422" w:rsidP="00313422">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313422" w:rsidRDefault="00313422" w:rsidP="00313422">
      <w:pPr>
        <w:pStyle w:val="SchemaSource"/>
      </w:pPr>
    </w:p>
    <w:p w:rsidR="00313422" w:rsidRDefault="00313422" w:rsidP="00313422">
      <w:pPr>
        <w:pStyle w:val="SchemaSource"/>
        <w:jc w:val="center"/>
      </w:pPr>
      <w:r>
        <w:rPr>
          <w:noProof/>
        </w:rPr>
        <w:drawing>
          <wp:inline distT="0" distB="0" distL="0" distR="0" wp14:anchorId="74EF8D93" wp14:editId="251736F1">
            <wp:extent cx="4519295" cy="5518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19295" cy="5518150"/>
                    </a:xfrm>
                    <a:prstGeom prst="rect">
                      <a:avLst/>
                    </a:prstGeom>
                    <a:noFill/>
                    <a:ln>
                      <a:noFill/>
                    </a:ln>
                  </pic:spPr>
                </pic:pic>
              </a:graphicData>
            </a:graphic>
          </wp:inline>
        </w:drawing>
      </w:r>
    </w:p>
    <w:p w:rsidR="00313422" w:rsidRDefault="00313422" w:rsidP="00313422"/>
    <w:p w:rsidR="00A669CE" w:rsidRDefault="00DE7599" w:rsidP="00EB2998">
      <w:pPr>
        <w:pStyle w:val="Body"/>
      </w:pPr>
      <w:r w:rsidRPr="00BE017C">
        <w:br w:type="page"/>
      </w:r>
    </w:p>
    <w:p w:rsidR="008750E9" w:rsidRPr="00BE017C" w:rsidRDefault="00CD3E66" w:rsidP="00D12D36">
      <w:pPr>
        <w:pStyle w:val="Body"/>
        <w:pageBreakBefore/>
        <w:ind w:left="2880"/>
      </w:pPr>
      <w:bookmarkStart w:id="38" w:name="_TOC4649"/>
      <w:bookmarkEnd w:id="5"/>
      <w:bookmarkEnd w:id="38"/>
      <w:r>
        <w:rPr>
          <w:noProof/>
        </w:rPr>
        <w:lastRenderedPageBreak/>
        <w:drawing>
          <wp:anchor distT="0" distB="0" distL="114300" distR="114300" simplePos="0" relativeHeight="251657728" behindDoc="0" locked="0" layoutInCell="1" allowOverlap="1" wp14:anchorId="06A37CD1" wp14:editId="48F8196B">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4"/>
      <w:footerReference w:type="first" r:id="rId3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49B" w:rsidRDefault="005F149B">
      <w:r>
        <w:separator/>
      </w:r>
    </w:p>
  </w:endnote>
  <w:endnote w:type="continuationSeparator" w:id="0">
    <w:p w:rsidR="005F149B" w:rsidRDefault="005F1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266A8530" wp14:editId="5F845981">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736A863F" wp14:editId="58AD1DAA">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63B4A">
      <w:rPr>
        <w:rFonts w:ascii="Calibri" w:hAnsi="Calibri"/>
        <w:noProof/>
        <w:color w:val="FFFFFF"/>
      </w:rPr>
      <w:t>16</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442DC0" w:rsidRPr="00442DC0">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163B4A">
      <w:rPr>
        <w:rFonts w:ascii="Calibri" w:hAnsi="Calibri"/>
        <w:noProof/>
        <w:color w:val="FFFFFF"/>
      </w:rPr>
      <w:t>March 15, 2013 at 16:03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56667E8E" wp14:editId="3511FDC1">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442DC0" w:rsidRPr="00442DC0">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63B4A">
      <w:rPr>
        <w:rFonts w:ascii="Calibri" w:hAnsi="Calibri"/>
        <w:noProof/>
        <w:color w:val="FFFFFF"/>
      </w:rPr>
      <w:t>17</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442DC0">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163B4A">
      <w:rPr>
        <w:rFonts w:ascii="Calibri" w:hAnsi="Calibri"/>
        <w:noProof/>
        <w:color w:val="FFFFFF"/>
      </w:rPr>
      <w:t>March 15, 2013 at 16:03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6556EF83" wp14:editId="532F6BBA">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5D449111" wp14:editId="2A7E127E">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49B" w:rsidRDefault="005F149B">
      <w:r>
        <w:separator/>
      </w:r>
    </w:p>
  </w:footnote>
  <w:footnote w:type="continuationSeparator" w:id="0">
    <w:p w:rsidR="005F149B" w:rsidRDefault="005F1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313422" w:rsidRPr="00313422">
        <w:rPr>
          <w:rFonts w:ascii="Arial" w:eastAsia="Times New Roman" w:hAnsi="Arial" w:cs="Arial"/>
          <w:noProof/>
          <w:color w:val="FFFFFF"/>
          <w:szCs w:val="18"/>
        </w:rPr>
        <w:t>Work Capability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163B4A">
      <w:rPr>
        <w:rFonts w:asciiTheme="minorHAnsi" w:hAnsiTheme="minorHAnsi"/>
        <w:noProof/>
        <w:color w:val="FFFFFF" w:themeColor="background1"/>
        <w:sz w:val="20"/>
      </w:rPr>
      <w:t>B2MML-V0600-WorkCapability.docx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34AB8FA0" wp14:editId="34B1AFBD">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1FAFAB7F" wp14:editId="3152E5B4">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7">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4">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6">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7">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0"/>
  </w:num>
  <w:num w:numId="16">
    <w:abstractNumId w:val="47"/>
  </w:num>
  <w:num w:numId="17">
    <w:abstractNumId w:val="24"/>
  </w:num>
  <w:num w:numId="18">
    <w:abstractNumId w:val="28"/>
  </w:num>
  <w:num w:numId="19">
    <w:abstractNumId w:val="34"/>
  </w:num>
  <w:num w:numId="20">
    <w:abstractNumId w:val="11"/>
  </w:num>
  <w:num w:numId="21">
    <w:abstractNumId w:val="42"/>
  </w:num>
  <w:num w:numId="22">
    <w:abstractNumId w:val="43"/>
  </w:num>
  <w:num w:numId="23">
    <w:abstractNumId w:val="19"/>
  </w:num>
  <w:num w:numId="24">
    <w:abstractNumId w:val="33"/>
  </w:num>
  <w:num w:numId="25">
    <w:abstractNumId w:val="36"/>
  </w:num>
  <w:num w:numId="26">
    <w:abstractNumId w:val="45"/>
  </w:num>
  <w:num w:numId="27">
    <w:abstractNumId w:val="39"/>
  </w:num>
  <w:num w:numId="28">
    <w:abstractNumId w:val="46"/>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5"/>
  </w:num>
  <w:num w:numId="36">
    <w:abstractNumId w:val="18"/>
  </w:num>
  <w:num w:numId="37">
    <w:abstractNumId w:val="15"/>
  </w:num>
  <w:num w:numId="38">
    <w:abstractNumId w:val="44"/>
  </w:num>
  <w:num w:numId="39">
    <w:abstractNumId w:val="27"/>
  </w:num>
  <w:num w:numId="40">
    <w:abstractNumId w:val="30"/>
  </w:num>
  <w:num w:numId="41">
    <w:abstractNumId w:val="14"/>
  </w:num>
  <w:num w:numId="42">
    <w:abstractNumId w:val="38"/>
  </w:num>
  <w:num w:numId="43">
    <w:abstractNumId w:val="25"/>
  </w:num>
  <w:num w:numId="44">
    <w:abstractNumId w:val="32"/>
  </w:num>
  <w:num w:numId="45">
    <w:abstractNumId w:val="37"/>
  </w:num>
  <w:num w:numId="46">
    <w:abstractNumId w:val="31"/>
  </w:num>
  <w:num w:numId="47">
    <w:abstractNumId w:val="29"/>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DC0"/>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B4A"/>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3422"/>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42DC0"/>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149B"/>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B6688"/>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31342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313422"/>
    <w:pPr>
      <w:spacing w:before="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31342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313422"/>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hyperlink" Target="http://www.mesa.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wmf"/><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footer" Target="footer6.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491E11FA-6F5B-46C1-9B94-7CCE56A7F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5</TotalTime>
  <Pages>19</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Work Capability</vt:lpstr>
    </vt:vector>
  </TitlesOfParts>
  <Company>MESA</Company>
  <LinksUpToDate>false</LinksUpToDate>
  <CharactersWithSpaces>15271</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Capability</dc:title>
  <dc:creator>BlueBook</dc:creator>
  <cp:lastModifiedBy>BlueBook</cp:lastModifiedBy>
  <cp:revision>3</cp:revision>
  <cp:lastPrinted>2012-08-16T19:02:00Z</cp:lastPrinted>
  <dcterms:created xsi:type="dcterms:W3CDTF">2013-03-15T20:04:00Z</dcterms:created>
  <dcterms:modified xsi:type="dcterms:W3CDTF">2013-03-16T15:38:00Z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B2MML-WorkCapability</vt:lpwstr>
  </property>
</Properties>
</file>