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Helper Text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Drop Down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Radio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Logged in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Illinois.edu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Page Layout: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Cerebro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Search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NetID Claim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Progress Indicator Step 1 - 4 (needs an upgrade)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Timeout Widget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Live Password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Compass Space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Helper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Description of form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Question mark hover for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Highlight box when on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Contacts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Search with filter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Pop Up widget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Collapsible/Expandable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CDB Help Page needs an 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CDB Contact Method automatically saves, whats the point of the cancel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