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02" w:rsidRPr="00602B02" w:rsidRDefault="00602B02" w:rsidP="00602B02">
      <w:pPr>
        <w:pStyle w:val="ListParagraph"/>
        <w:bidi w:val="0"/>
        <w:rPr>
          <w:b/>
          <w:bCs/>
          <w:sz w:val="36"/>
          <w:szCs w:val="36"/>
        </w:rPr>
      </w:pPr>
      <w:r w:rsidRPr="00602B02">
        <w:rPr>
          <w:b/>
          <w:bCs/>
          <w:sz w:val="36"/>
          <w:szCs w:val="36"/>
        </w:rPr>
        <w:t>Model diagram</w:t>
      </w:r>
    </w:p>
    <w:p w:rsidR="00602B02" w:rsidRPr="00602B02" w:rsidRDefault="00602B02" w:rsidP="00602B02">
      <w:pPr>
        <w:pStyle w:val="ListParagraph"/>
        <w:bidi w:val="0"/>
        <w:rPr>
          <w:b/>
          <w:bCs/>
          <w:sz w:val="36"/>
          <w:szCs w:val="36"/>
        </w:rPr>
      </w:pPr>
    </w:p>
    <w:p w:rsidR="00602B02" w:rsidRDefault="00602B02" w:rsidP="00602B02">
      <w:pPr>
        <w:pStyle w:val="ListParagraph"/>
        <w:bidi w:val="0"/>
      </w:pPr>
      <w:r>
        <w:rPr>
          <w:noProof/>
        </w:rPr>
        <w:drawing>
          <wp:inline distT="0" distB="0" distL="0" distR="0" wp14:anchorId="38673D17" wp14:editId="5595532E">
            <wp:extent cx="5097780" cy="3478042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04" t="21832" r="21840" b="7020"/>
                    <a:stretch/>
                  </pic:blipFill>
                  <pic:spPr bwMode="auto">
                    <a:xfrm>
                      <a:off x="0" y="0"/>
                      <a:ext cx="5106765" cy="348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6"/>
      </w:tblGrid>
      <w:tr w:rsidR="00602B02" w:rsidTr="001B2FF1">
        <w:tc>
          <w:tcPr>
            <w:tcW w:w="9576" w:type="dxa"/>
          </w:tcPr>
          <w:tbl>
            <w:tblPr>
              <w:tblStyle w:val="LightShading"/>
              <w:tblpPr w:leftFromText="180" w:rightFromText="180" w:vertAnchor="text" w:horzAnchor="margin" w:tblpY="392"/>
              <w:bidiVisual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6A0" w:firstRow="1" w:lastRow="0" w:firstColumn="1" w:lastColumn="0" w:noHBand="1" w:noVBand="1"/>
            </w:tblPr>
            <w:tblGrid>
              <w:gridCol w:w="1135"/>
              <w:gridCol w:w="740"/>
              <w:gridCol w:w="740"/>
              <w:gridCol w:w="740"/>
              <w:gridCol w:w="1008"/>
              <w:gridCol w:w="3232"/>
            </w:tblGrid>
            <w:tr w:rsidR="00602B02" w:rsidRPr="001A771D" w:rsidTr="001B2F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2220" w:type="dxa"/>
                  <w:gridSpan w:val="3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 w:val="0"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Values</w:t>
                  </w:r>
                </w:p>
              </w:tc>
              <w:tc>
                <w:tcPr>
                  <w:tcW w:w="1008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 w:val="0"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Symbol</w:t>
                  </w:r>
                </w:p>
              </w:tc>
              <w:tc>
                <w:tcPr>
                  <w:tcW w:w="3232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Parameter</w:t>
                  </w:r>
                </w:p>
              </w:tc>
            </w:tr>
            <w:tr w:rsidR="00602B02" w:rsidRPr="001A771D" w:rsidTr="001B2FF1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 w:val="restart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  <w:rtl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begin" w:fldLock="1"/>
                  </w:r>
                  <w:r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  <w:instrText>ADDIN CSL_CITATION { "citationItems" : [ { "id" : "ITEM-1", "itemData" : { "author" : [ { "dropping-particle" : "", "family" : "Pitzer", "given" : "Virginia E", "non-dropping-particle" : "", "parse-names" : false, "suffix" : "" }, { "dropping-particle" : "", "family" : "Viboud", "given" : "C\u00e9cile", "non-dropping-particle" : "", "parse-names" : false, "suffix" : "" }, { "dropping-particle" : "", "family" : "Simonsen", "given" : "Lone", "non-dropping-particle" : "", "parse-names" : false, "suffix" : "" }, { "dropping-particle" : "", "family" : "Steiner", "given" : "Claudia", "non-dropping-particle" : "", "parse-names" : false, "suffix" : "" }, { "dropping-particle" : "", "family" : "Panozzo", "given" : "Catherine A", "non-dropping-particle" : "", "parse-names" : false, "suffix" : "" }, { "dropping-particle" : "", "family" : "Alonso", "given" : "Wladimir J", "non-dropping-particle" : "", "parse-names" : false, "suffix" : "" }, { "dropping-particle" : "", "family" : "Miller", "given" : "Mark A", "non-dropping-particle" : "", "parse-names" : false, "suffix" : "" }, { "dropping-particle" : "", "family" : "Glass", "given" : "Roger I", "non-dropping-particle" : "", "parse-names" : false, "suffix" : "" }, { "dropping-particle" : "", "family" : "Glasser", "given" : "John W", "non-dropping-particle" : "", "parse-names" : false, "suffix" : "" }, { "dropping-particle" : "", "family" : "Parashar", "given" : "Umesh D", "non-dropping-particle" : "", "parse-names" : false, "suffix" : "" }, { "dropping-particle" : "", "family" : "Grenfell", "given" : "Bryan T", "non-dropping-particle" : "", "parse-names" : false, "suffix" : "" } ], "container-title" : "Science", "id" : "ITEM-1", "issued" : { "date-parts" : [ [ "2009" ] ] }, "page" : "290-94", "title" : "Demographic Variability, Vaccination, and the Spatiotemporal Dynamics of Rotavirus Epidemics", "type" : "article-journal", "volume" : "325" }, "uris" : [ "http://www.mendeley.com/documents/?uuid=41ad406a-5e95-4498-b9af-58a86a3e7de7" ] }, { "id" : "ITEM-2", "itemData" : { "author" : [ { "dropping-particle" : "", "family" : "Vel\u00e1zquez", "given" : "F.R.", "non-dropping-particle" : "", "parse-names" : false, "suffix" : "" }, { "dropping-particle" : "", "family" : "Matson", "given" : "D.O.", "non-dropping-particle" : "", "parse-names" : false, "suffix" : "" }, { "dropping-particle" : "", "family" : "Calva", "given" : "J.J.", "non-dropping-particle" : "", "parse-names" : false, "suffix" : "" }, { "dropping-particle" : "", "family" : "Guerrero", "given" : "M.L.", "non-dropping-particle" : "", "parse-names" : false, "suffix" : "" }, { "dropping-particle" : "", "family" : "Morrow", "given" : "A.L.", "non-dropping-particle" : "", "parse-names" : false, "suffix" : "" }, { "dropping-particle" : "", "family" : "Carter-Campbell", "given" : "S.", "non-dropping-particle" : "", "parse-names" : false, "suffix" : "" }, { "dropping-particle" : "", "family" : "Glass", "given" : "R.I.", "non-dropping-particle" : "", "parse-names" : false, "suffix" : "" }, { "dropping-particle" : "", "family" : "Estes", "given" : "M.K.", "non-dropping-particle" : "", "parse-names" : false, "suffix" : "" }, { "dropping-particle" : "", "family" : "Pickering", "given" : "L.K.", "non-dropping-particle" : "", "parse-names" : false, "suffix" : "" }, { "dropping-particle" : "", "family" : "Ruiz-Palacios", "given" : "G.M.", "non-dropping-particle" : "", "parse-names" : false, "suffix" : "" } ], "container-title" : "NEJM", "id" : "ITEM-2", "issue" : "14", "issued" : { "date-parts" : [ [ "1996" ] ] }, "page" : "1022\u20131028", "publisher" : "Mass Medical Soc", "title" : "Rotavirus infection in infants as protection against subsequent infections", "type" : "article-journal", "volume" : "335" }, "uris" : [ "http://www.mendeley.com/documents/?uuid=df4b4456-535c-499f-b882-1e51e70caa52" ] } ], "mendeley" : { "formattedCitation" : "[23,32]", "plainTextFormattedCitation" : "[23,32]", "previouslyFormattedCitation" : "[23,32]" }, "properties" : { "noteIndex" : 0 }, "schema" : "https://github.com/citation-style-language/schema/raw/master/csl-citation.json" }</w:instrTex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separate"/>
                  </w:r>
                  <w:r w:rsidRPr="00A53307">
                    <w:rPr>
                      <w:rFonts w:asciiTheme="majorBidi" w:hAnsiTheme="majorBidi" w:cstheme="majorBidi"/>
                      <w:b w:val="0"/>
                      <w:bCs w:val="0"/>
                      <w:noProof/>
                      <w:color w:val="auto"/>
                      <w:sz w:val="16"/>
                      <w:szCs w:val="16"/>
                    </w:rPr>
                    <w:t>[23,32]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220" w:type="dxa"/>
                  <w:gridSpan w:val="3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color w:val="5B9BD5" w:themeColor="accen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RVGE</w:t>
                  </w:r>
                </w:p>
              </w:tc>
              <w:tc>
                <w:tcPr>
                  <w:tcW w:w="1008" w:type="dxa"/>
                  <w:vMerge w:val="restart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noProof/>
                      <w:position w:val="-10"/>
                      <w:sz w:val="16"/>
                      <w:szCs w:val="16"/>
                      <w:lang w:bidi="he-IL"/>
                    </w:rPr>
                    <w:drawing>
                      <wp:inline distT="0" distB="0" distL="0" distR="0" wp14:anchorId="01FFBC73" wp14:editId="4AED394E">
                        <wp:extent cx="133350" cy="146050"/>
                        <wp:effectExtent l="0" t="0" r="0" b="635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32" w:type="dxa"/>
                  <w:vMerge w:val="restart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 w:hint="cs"/>
                      <w:b/>
                      <w:bCs/>
                      <w:color w:val="5B9BD5" w:themeColor="accent1"/>
                      <w:sz w:val="16"/>
                      <w:szCs w:val="16"/>
                      <w:rtl/>
                      <w:lang w:bidi="he-IL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Probability of severity given infection </w:t>
                  </w:r>
                </w:p>
              </w:tc>
            </w:tr>
            <w:tr w:rsidR="00602B02" w:rsidRPr="001A771D" w:rsidTr="001B2FF1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740" w:type="dxa"/>
                  <w:shd w:val="clear" w:color="auto" w:fill="D9D9D9" w:themeFill="background1" w:themeFillShade="D9"/>
                </w:tcPr>
                <w:p w:rsidR="00602B02" w:rsidRPr="001A771D" w:rsidDel="00797BCA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severe</w:t>
                  </w:r>
                </w:p>
              </w:tc>
              <w:tc>
                <w:tcPr>
                  <w:tcW w:w="740" w:type="dxa"/>
                  <w:shd w:val="clear" w:color="auto" w:fill="D9D9D9" w:themeFill="background1" w:themeFillShade="D9"/>
                </w:tcPr>
                <w:p w:rsidR="00602B02" w:rsidRPr="001A771D" w:rsidDel="00797BCA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eastAsiaTheme="majorEastAsia" w:hAnsiTheme="majorBidi" w:cstheme="majorBidi"/>
                      <w:bCs/>
                      <w:color w:val="000000" w:themeColor="text1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740" w:type="dxa"/>
                  <w:shd w:val="clear" w:color="auto" w:fill="D9D9D9" w:themeFill="background1" w:themeFillShade="D9"/>
                </w:tcPr>
                <w:p w:rsidR="00602B02" w:rsidRPr="001A771D" w:rsidDel="00797BCA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asymp</w:t>
                  </w:r>
                  <w:proofErr w:type="spellEnd"/>
                  <w:proofErr w:type="gramEnd"/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008" w:type="dxa"/>
                  <w:vMerge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vMerge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740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0.133</w:t>
                  </w:r>
                </w:p>
              </w:tc>
              <w:tc>
                <w:tcPr>
                  <w:tcW w:w="740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0.34  </w:t>
                  </w:r>
                </w:p>
              </w:tc>
              <w:tc>
                <w:tcPr>
                  <w:tcW w:w="740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0.53   </w:t>
                  </w:r>
                </w:p>
              </w:tc>
              <w:tc>
                <w:tcPr>
                  <w:tcW w:w="1008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Primary infection </w:t>
                  </w: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740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0.03</w:t>
                  </w:r>
                </w:p>
              </w:tc>
              <w:tc>
                <w:tcPr>
                  <w:tcW w:w="740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0.22  </w:t>
                  </w:r>
                </w:p>
              </w:tc>
              <w:tc>
                <w:tcPr>
                  <w:tcW w:w="740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0.75</w:t>
                  </w:r>
                </w:p>
              </w:tc>
              <w:tc>
                <w:tcPr>
                  <w:tcW w:w="1008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Secondary infection</w:t>
                  </w: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0.2</w:t>
                  </w: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0.8</w:t>
                  </w:r>
                </w:p>
              </w:tc>
              <w:tc>
                <w:tcPr>
                  <w:tcW w:w="1008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shd w:val="clear" w:color="auto" w:fill="auto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color w:val="5B9BD5" w:themeColor="accen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Subsequent infection </w:t>
                  </w: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 w:val="restart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begin" w:fldLock="1"/>
                  </w:r>
                  <w:r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  <w:instrText>ADDIN CSL_CITATION { "citationItems" : [ { "id" : "ITEM-1", "itemData" : { "author" : [ { "dropping-particle" : "", "family" : "Pitzer", "given" : "Virginia", "non-dropping-particle" : "", "parse-names" : false, "suffix" : "" }, { "dropping-particle" : "", "family" : "Atkins", "given" : "Katherine E.", "non-dropping-particle" : "", "parse-names" : false, "suffix" : "" }, { "dropping-particle" : "de", "family" : "Blasio", "given" : "Birgitte Freiesleben", "non-dropping-particle" : "", "parse-names" : false, "suffix" : "" }, { "dropping-particle" : "Van", "family" : "Effelterre", "given" : "Thierry", "non-dropping-particle" : "", "parse-names" : false, "suffix" : "" }, { "dropping-particle" : "", "family" : "Atchison", "given" : "Christina J.", "non-dropping-particle" : "", "parse-names" : false, "suffix" : "" }, { "dropping-particle" : "", "family" : "Harris", "given" : "John P.", "non-dropping-particle" : "", "parse-names" : false, "suffix" : "" }, { "dropping-particle" : "", "family" : "Shim", "given" : "Eunha", "non-dropping-particle" : "", "parse-names" : false, "suffix" : "" }, { "dropping-particle" : "", "family" : "Galvani", "given" : "Alison P.", "non-dropping-particle" : "", "parse-names" : false, "suffix" : "" }, { "dropping-particle" : "", "family" : "Edmunds", "given" : "W. John", "non-dropping-particle" : "", "parse-names" : false, "suffix" : "" }, { "dropping-particle" : "", "family" : "Viboud", "given" : "C\u00e9cile", "non-dropping-particle" : "", "parse-names" : false, "suffix" : "" }, { "dropping-particle" : "", "family" : "Patel", "given" : "Manish M.", "non-dropping-particle" : "", "parse-names" : false, "suffix" : "" }, { "dropping-particle" : "", "family" : "Grenfell", "given" : "Bryan T.", "non-dropping-particle" : "", "parse-names" : false, "suffix" : "" }, { "dropping-particle" : "", "family" : "Parashar", "given" : "Umesh D.", "non-dropping-particle" : "", "parse-names" : false, "suffix" : "" }, { "dropping-particle" : "", "family" : "Lopman", "given" : "Ben A.", "non-dropping-particle" : "", "parse-names" : false, "suffix" : "" } ], "container-title" : "PLoS ONE", "id" : "ITEM-1", "issue" : "8", "issued" : { "date-parts" : [ [ "2012" ] ] }, "page" : "e423", "title" : "Direct and Indirect Effects of Rotavirus Vaccination: Comparing Predictions from Transmission Dynamic Models", "type" : "article-journal", "volume" : "7" }, "uris" : [ "http://www.mendeley.com/documents/?uuid=61c92fad-f1c8-4ea2-9b76-2c8da8df4a3d" ] } ], "mendeley" : { "formattedCitation" : "[30]", "plainTextFormattedCitation" : "[30]", "previouslyFormattedCitation" : "[30]" }, "properties" : { "noteIndex" : 0 }, "schema" : "https://github.com/citation-style-language/schema/raw/master/csl-citation.json" }</w:instrTex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separate"/>
                  </w:r>
                  <w:r w:rsidRPr="00A53307">
                    <w:rPr>
                      <w:rFonts w:asciiTheme="majorBidi" w:hAnsiTheme="majorBidi" w:cstheme="majorBidi"/>
                      <w:b w:val="0"/>
                      <w:bCs w:val="0"/>
                      <w:noProof/>
                      <w:color w:val="auto"/>
                      <w:sz w:val="16"/>
                      <w:szCs w:val="16"/>
                    </w:rPr>
                    <w:t>[30]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220" w:type="dxa"/>
                  <w:gridSpan w:val="3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008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 w:rsidRPr="000C7893">
                    <w:rPr>
                      <w:rFonts w:asciiTheme="majorBidi" w:hAnsiTheme="majorBidi" w:cstheme="majorBidi"/>
                      <w:iCs/>
                      <w:sz w:val="16"/>
                      <w:szCs w:val="16"/>
                    </w:rPr>
                    <w:t>1/</w:t>
                  </w:r>
                  <w:r w:rsidRPr="001A771D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</w:rPr>
                    <w:t>γ</w:t>
                  </w:r>
                </w:p>
              </w:tc>
              <w:tc>
                <w:tcPr>
                  <w:tcW w:w="3232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 w:hint="cs"/>
                      <w:b/>
                      <w:bCs/>
                      <w:color w:val="5B9BD5" w:themeColor="accent1"/>
                      <w:sz w:val="16"/>
                      <w:szCs w:val="16"/>
                      <w:rtl/>
                      <w:lang w:bidi="he-IL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Duration of </w:t>
                  </w: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>i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nfection (</w:t>
                  </w:r>
                  <w:r w:rsidRPr="00602B0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days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)</w:t>
                  </w: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2220" w:type="dxa"/>
                  <w:gridSpan w:val="3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08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auto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3232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  <w:rtl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First infection</w:t>
                  </w: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2220" w:type="dxa"/>
                  <w:gridSpan w:val="3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3.5</w:t>
                  </w:r>
                </w:p>
              </w:tc>
              <w:tc>
                <w:tcPr>
                  <w:tcW w:w="1008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auto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3232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  <w:rtl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Second/Asymptomatic infection</w:t>
                  </w:r>
                </w:p>
              </w:tc>
            </w:tr>
            <w:tr w:rsidR="00602B02" w:rsidRPr="001A771D" w:rsidTr="001B2FF1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 w:val="restart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begin" w:fldLock="1"/>
                  </w:r>
                  <w:r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  <w:instrText>ADDIN CSL_CITATION { "citationItems" : [ { "id" : "ITEM-1", "itemData" : { "author" : [ { "dropping-particle" : "", "family" : "Pitzer", "given" : "Virginia E", "non-dropping-particle" : "", "parse-names" : false, "suffix" : "" }, { "dropping-particle" : "", "family" : "Viboud", "given" : "C\u00e9cile", "non-dropping-particle" : "", "parse-names" : false, "suffix" : "" }, { "dropping-particle" : "", "family" : "Simonsen", "given" : "Lone", "non-dropping-particle" : "", "parse-names" : false, "suffix" : "" }, { "dropping-particle" : "", "family" : "Steiner", "given" : "Claudia", "non-dropping-particle" : "", "parse-names" : false, "suffix" : "" }, { "dropping-particle" : "", "family" : "Panozzo", "given" : "Catherine A", "non-dropping-particle" : "", "parse-names" : false, "suffix" : "" }, { "dropping-particle" : "", "family" : "Alonso", "given" : "Wladimir J", "non-dropping-particle" : "", "parse-names" : false, "suffix" : "" }, { "dropping-particle" : "", "family" : "Miller", "given" : "Mark A", "non-dropping-particle" : "", "parse-names" : false, "suffix" : "" }, { "dropping-particle" : "", "family" : "Glass", "given" : "Roger I", "non-dropping-particle" : "", "parse-names" : false, "suffix" : "" }, { "dropping-particle" : "", "family" : "Glasser", "given" : "John W", "non-dropping-particle" : "", "parse-names" : false, "suffix" : "" }, { "dropping-particle" : "", "family" : "Parashar", "given" : "Umesh D", "non-dropping-particle" : "", "parse-names" : false, "suffix" : "" }, { "dropping-particle" : "", "family" : "Grenfell", "given" : "Bryan T", "non-dropping-particle" : "", "parse-names" : false, "suffix" : "" } ], "container-title" : "Science", "id" : "ITEM-1", "issued" : { "date-parts" : [ [ "2009" ] ] }, "page" : "290-94", "title" : "Demographic Variability, Vaccination, and the Spatiotemporal Dynamics of Rotavirus Epidemics", "type" : "article-journal", "volume" : "325" }, "uris" : [ "http://www.mendeley.com/documents/?uuid=41ad406a-5e95-4498-b9af-58a86a3e7de7" ] } ], "mendeley" : { "formattedCitation" : "[23]", "plainTextFormattedCitation" : "[23]", "previouslyFormattedCitation" : "[23]" }, "properties" : { "noteIndex" : 0 }, "schema" : "https://github.com/citation-style-language/schema/raw/master/csl-citation.json" }</w:instrTex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separate"/>
                  </w:r>
                  <w:r w:rsidRPr="00A53307">
                    <w:rPr>
                      <w:rFonts w:asciiTheme="majorBidi" w:hAnsiTheme="majorBidi" w:cstheme="majorBidi"/>
                      <w:b w:val="0"/>
                      <w:bCs w:val="0"/>
                      <w:noProof/>
                      <w:color w:val="auto"/>
                      <w:sz w:val="16"/>
                      <w:szCs w:val="16"/>
                    </w:rPr>
                    <w:t>[23]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220" w:type="dxa"/>
                  <w:gridSpan w:val="3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RVGE</w:t>
                  </w:r>
                  <w:r w:rsidRPr="001A771D" w:rsidDel="00797BCA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vMerge w:val="restart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noProof/>
                      <w:position w:val="-10"/>
                      <w:sz w:val="16"/>
                      <w:szCs w:val="16"/>
                      <w:lang w:bidi="he-IL"/>
                    </w:rPr>
                    <w:drawing>
                      <wp:inline distT="0" distB="0" distL="0" distR="0" wp14:anchorId="09BC41A7" wp14:editId="162F65C2">
                        <wp:extent cx="133350" cy="146050"/>
                        <wp:effectExtent l="0" t="0" r="0" b="635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32" w:type="dxa"/>
                  <w:vMerge w:val="restart"/>
                  <w:shd w:val="clear" w:color="auto" w:fill="auto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 w:hint="cs"/>
                      <w:b/>
                      <w:bCs/>
                      <w:color w:val="5B9BD5" w:themeColor="accent1"/>
                      <w:sz w:val="16"/>
                      <w:szCs w:val="16"/>
                      <w:rtl/>
                      <w:lang w:bidi="he-IL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Relative </w:t>
                  </w: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>i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nfectiousness </w:t>
                  </w:r>
                </w:p>
              </w:tc>
            </w:tr>
            <w:tr w:rsidR="00602B02" w:rsidRPr="001A771D" w:rsidTr="001B2FF1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Del="00797BCA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severe</w:t>
                  </w: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Del="00797BCA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Del="00797BCA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asymp</w:t>
                  </w:r>
                  <w:proofErr w:type="spellEnd"/>
                  <w:proofErr w:type="gramEnd"/>
                  <w:r w:rsidRPr="001A771D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008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</w:tc>
            </w:tr>
            <w:tr w:rsidR="00602B02" w:rsidRPr="001A771D" w:rsidTr="001B2FF1">
              <w:trPr>
                <w:trHeight w:val="1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 w:val="restart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iCs/>
                      <w:color w:val="000000" w:themeColor="text1"/>
                      <w:sz w:val="16"/>
                      <w:szCs w:val="16"/>
                    </w:rPr>
                    <w:t>1.0</w:t>
                  </w: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eastAsiaTheme="majorEastAsia" w:hAnsiTheme="majorBidi" w:cstheme="majorBidi"/>
                      <w:bCs/>
                      <w:iCs/>
                      <w:color w:val="000000" w:themeColor="text1"/>
                      <w:sz w:val="16"/>
                      <w:szCs w:val="16"/>
                    </w:rPr>
                    <w:t>1.0</w:t>
                  </w: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eastAsiaTheme="majorEastAsia" w:hAnsiTheme="majorBidi" w:cstheme="majorBidi"/>
                      <w:bCs/>
                      <w:iCs/>
                      <w:color w:val="000000" w:themeColor="text1"/>
                      <w:sz w:val="16"/>
                      <w:szCs w:val="16"/>
                    </w:rPr>
                    <w:t>0.1</w:t>
                  </w:r>
                </w:p>
              </w:tc>
              <w:tc>
                <w:tcPr>
                  <w:tcW w:w="1008" w:type="dxa"/>
                  <w:vMerge w:val="restart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vMerge w:val="restart"/>
                  <w:shd w:val="clear" w:color="auto" w:fill="auto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404040" w:themeColor="text1" w:themeTint="BF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First infection</w:t>
                  </w:r>
                </w:p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color w:val="5B9BD5" w:themeColor="accent1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Second and 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Subsequent infection </w:t>
                  </w:r>
                </w:p>
              </w:tc>
            </w:tr>
            <w:tr w:rsidR="00602B02" w:rsidRPr="001A771D" w:rsidTr="001B2FF1">
              <w:trPr>
                <w:trHeight w:val="1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iCs/>
                      <w:color w:val="000000" w:themeColor="text1"/>
                      <w:sz w:val="16"/>
                      <w:szCs w:val="16"/>
                    </w:rPr>
                    <w:t>0.8</w:t>
                  </w: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iCs/>
                      <w:color w:val="000000" w:themeColor="text1"/>
                      <w:sz w:val="16"/>
                      <w:szCs w:val="16"/>
                    </w:rPr>
                    <w:t>0.5</w:t>
                  </w:r>
                </w:p>
              </w:tc>
              <w:tc>
                <w:tcPr>
                  <w:tcW w:w="740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iCs/>
                      <w:color w:val="000000" w:themeColor="text1"/>
                      <w:sz w:val="16"/>
                      <w:szCs w:val="16"/>
                    </w:rPr>
                    <w:t>0.1</w:t>
                  </w:r>
                </w:p>
              </w:tc>
              <w:tc>
                <w:tcPr>
                  <w:tcW w:w="1008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begin" w:fldLock="1"/>
                  </w:r>
                  <w:r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  <w:instrText>ADDIN CSL_CITATION { "citationItems" : [ { "id" : "ITEM-1", "itemData" : { "author" : [ { "dropping-particle" : "", "family" : "Vel\u00e1zquez", "given" : "F.R.", "non-dropping-particle" : "", "parse-names" : false, "suffix" : "" }, { "dropping-particle" : "", "family" : "Matson", "given" : "D.O.", "non-dropping-particle" : "", "parse-names" : false, "suffix" : "" }, { "dropping-particle" : "", "family" : "Calva", "given" : "J.J.", "non-dropping-particle" : "", "parse-names" : false, "suffix" : "" }, { "dropping-particle" : "", "family" : "Guerrero", "given" : "M.L.", "non-dropping-particle" : "", "parse-names" : false, "suffix" : "" }, { "dropping-particle" : "", "family" : "Morrow", "given" : "A.L.", "non-dropping-particle" : "", "parse-names" : false, "suffix" : "" }, { "dropping-particle" : "", "family" : "Carter-Campbell", "given" : "S.", "non-dropping-particle" : "", "parse-names" : false, "suffix" : "" }, { "dropping-particle" : "", "family" : "Glass", "given" : "R.I.", "non-dropping-particle" : "", "parse-names" : false, "suffix" : "" }, { "dropping-particle" : "", "family" : "Estes", "given" : "M.K.", "non-dropping-particle" : "", "parse-names" : false, "suffix" : "" }, { "dropping-particle" : "", "family" : "Pickering", "given" : "L.K.", "non-dropping-particle" : "", "parse-names" : false, "suffix" : "" }, { "dropping-particle" : "", "family" : "Ruiz-Palacios", "given" : "G.M.", "non-dropping-particle" : "", "parse-names" : false, "suffix" : "" } ], "container-title" : "NEJM", "id" : "ITEM-1", "issue" : "14", "issued" : { "date-parts" : [ [ "1996" ] ] }, "page" : "1022\u20131028", "publisher" : "Mass Medical Soc", "title" : "Rotavirus infection in infants as protection against subsequent infections", "type" : "article-journal", "volume" : "335" }, "uris" : [ "http://www.mendeley.com/documents/?uuid=df4b4456-535c-499f-b882-1e51e70caa52" ] } ], "mendeley" : { "formattedCitation" : "[32]", "plainTextFormattedCitation" : "[32]", "previouslyFormattedCitation" : "[32]" }, "properties" : { "noteIndex" : 0 }, "schema" : "https://github.com/citation-style-language/schema/raw/master/csl-citation.json" }</w:instrTex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separate"/>
                  </w:r>
                  <w:r w:rsidRPr="00A53307">
                    <w:rPr>
                      <w:rFonts w:asciiTheme="majorBidi" w:hAnsiTheme="majorBidi" w:cstheme="majorBidi"/>
                      <w:b w:val="0"/>
                      <w:bCs w:val="0"/>
                      <w:noProof/>
                      <w:color w:val="auto"/>
                      <w:sz w:val="16"/>
                      <w:szCs w:val="16"/>
                    </w:rPr>
                    <w:t>[32]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220" w:type="dxa"/>
                  <w:gridSpan w:val="3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008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</w:rPr>
                    <w:t>σ</w:t>
                  </w:r>
                </w:p>
              </w:tc>
              <w:tc>
                <w:tcPr>
                  <w:tcW w:w="3232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 w:hint="cs"/>
                      <w:b/>
                      <w:bCs/>
                      <w:color w:val="5B9BD5" w:themeColor="accent1"/>
                      <w:sz w:val="16"/>
                      <w:szCs w:val="16"/>
                      <w:rtl/>
                      <w:lang w:bidi="he-IL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Relative susceptibility following:</w:t>
                  </w: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 w:val="restart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2220" w:type="dxa"/>
                  <w:gridSpan w:val="3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0.62</w:t>
                  </w:r>
                </w:p>
              </w:tc>
              <w:tc>
                <w:tcPr>
                  <w:tcW w:w="1008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Primary infection</w:t>
                  </w: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2220" w:type="dxa"/>
                  <w:gridSpan w:val="3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0.37</w:t>
                  </w:r>
                </w:p>
              </w:tc>
              <w:tc>
                <w:tcPr>
                  <w:tcW w:w="1008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shd w:val="clear" w:color="auto" w:fill="D9D9D9" w:themeFill="background1" w:themeFillShade="D9"/>
                </w:tcPr>
                <w:p w:rsidR="00602B02" w:rsidRPr="001A771D" w:rsidRDefault="00602B02" w:rsidP="001B2FF1">
                  <w:pPr>
                    <w:autoSpaceDE w:val="0"/>
                    <w:autoSpaceDN w:val="0"/>
                    <w:adjustRightInd w:val="0"/>
                    <w:spacing w:line="48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Second and </w:t>
                  </w:r>
                  <w:r w:rsidRPr="001A771D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Subsequent infection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02B02" w:rsidRPr="001A771D" w:rsidTr="001B2FF1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 w:val="restart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  <w:rtl/>
                    </w:rPr>
                  </w:pPr>
                  <w:r w:rsidRPr="001A771D">
                    <w:rPr>
                      <w:rFonts w:asciiTheme="majorBidi" w:hAnsiTheme="majorBidi" w:cstheme="majorBidi"/>
                      <w:noProof/>
                      <w:sz w:val="16"/>
                      <w:szCs w:val="16"/>
                    </w:rPr>
                    <w:fldChar w:fldCharType="begin" w:fldLock="1"/>
                  </w:r>
                  <w:r>
                    <w:rPr>
                      <w:rFonts w:asciiTheme="majorBidi" w:hAnsiTheme="majorBidi" w:cstheme="majorBidi"/>
                      <w:b w:val="0"/>
                      <w:bCs w:val="0"/>
                      <w:noProof/>
                      <w:color w:val="auto"/>
                      <w:sz w:val="16"/>
                      <w:szCs w:val="16"/>
                    </w:rPr>
                    <w:instrText>ADDIN CSL_CITATION { "citationItems" : [ { "id" : "ITEM-1", "itemData" : { "author" : [ { "dropping-particle" : "", "family" : "Pitzer", "given" : "Virginia E", "non-dropping-particle" : "", "parse-names" : false, "suffix" : "" }, { "dropping-particle" : "", "family" : "Viboud", "given" : "C\u00e9cile", "non-dropping-particle" : "", "parse-names" : false, "suffix" : "" }, { "dropping-particle" : "", "family" : "Simonsen", "given" : "Lone", "non-dropping-particle" : "", "parse-names" : false, "suffix" : "" }, { "dropping-particle" : "", "family" : "Steiner", "given" : "Claudia", "non-dropping-particle" : "", "parse-names" : false, "suffix" : "" }, { "dropping-particle" : "", "family" : "Panozzo", "given" : "Catherine A", "non-dropping-particle" : "", "parse-names" : false, "suffix" : "" }, { "dropping-particle" : "", "family" : "Alonso", "given" : "Wladimir J", "non-dropping-particle" : "", "parse-names" : false, "suffix" : "" }, { "dropping-particle" : "", "family" : "Miller", "given" : "Mark A", "non-dropping-particle" : "", "parse-names" : false, "suffix" : "" }, { "dropping-particle" : "", "family" : "Glass", "given" : "Roger I", "non-dropping-particle" : "", "parse-names" : false, "suffix" : "" }, { "dropping-particle" : "", "family" : "Glasser", "given" : "John W", "non-dropping-particle" : "", "parse-names" : false, "suffix" : "" }, { "dropping-particle" : "", "family" : "Parashar", "given" : "Umesh D", "non-dropping-particle" : "", "parse-names" : false, "suffix" : "" }, { "dropping-particle" : "", "family" : "Grenfell", "given" : "Bryan T", "non-dropping-particle" : "", "parse-names" : false, "suffix" : "" } ], "container-title" : "Science", "id" : "ITEM-1", "issued" : { "date-parts" : [ [ "2009" ] ] }, "page" : "290-94", "title" : "Demographic Variability, Vaccination, and the Spatiotemporal Dynamics of Rotavirus Epidemics", "type" : "article-journal", "volume" : "325" }, "uris" : [ "http://www.mendeley.com/documents/?uuid=41ad406a-5e95-4498-b9af-58a86a3e7de7" ] } ], "mendeley" : { "formattedCitation" : "[23]", "plainTextFormattedCitation" : "[23]", "previouslyFormattedCitation" : "[23]" }, "properties" : { "noteIndex" : 0 }, "schema" : "https://github.com/citation-style-language/schema/raw/master/csl-citation.json" }</w:instrText>
                  </w:r>
                  <w:r w:rsidRPr="001A771D">
                    <w:rPr>
                      <w:rFonts w:asciiTheme="majorBidi" w:hAnsiTheme="majorBidi" w:cstheme="majorBidi"/>
                      <w:noProof/>
                      <w:sz w:val="16"/>
                      <w:szCs w:val="16"/>
                    </w:rPr>
                    <w:fldChar w:fldCharType="separate"/>
                  </w:r>
                  <w:r w:rsidRPr="00A53307">
                    <w:rPr>
                      <w:rFonts w:asciiTheme="majorBidi" w:hAnsiTheme="majorBidi" w:cstheme="majorBidi"/>
                      <w:b w:val="0"/>
                      <w:bCs w:val="0"/>
                      <w:noProof/>
                      <w:color w:val="auto"/>
                      <w:sz w:val="16"/>
                      <w:szCs w:val="16"/>
                    </w:rPr>
                    <w:t>[23]</w:t>
                  </w:r>
                  <w:r w:rsidRPr="001A771D">
                    <w:rPr>
                      <w:rFonts w:asciiTheme="majorBidi" w:hAnsiTheme="majorBidi" w:cstheme="majorBidi"/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220" w:type="dxa"/>
                  <w:gridSpan w:val="3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008" w:type="dxa"/>
                  <w:vMerge w:val="restart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color w:val="5B9BD5" w:themeColor="accent1"/>
                      <w:sz w:val="16"/>
                      <w:szCs w:val="16"/>
                      <w:vertAlign w:val="subscript"/>
                    </w:rPr>
                  </w:pPr>
                  <w:r w:rsidRPr="000C7893">
                    <w:rPr>
                      <w:rFonts w:asciiTheme="majorBidi" w:hAnsiTheme="majorBidi" w:cstheme="majorBidi"/>
                      <w:iCs/>
                      <w:sz w:val="16"/>
                      <w:szCs w:val="16"/>
                    </w:rPr>
                    <w:t>1/</w:t>
                  </w:r>
                  <w:r w:rsidRPr="001A771D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</w:rPr>
                    <w:t>ω</w:t>
                  </w:r>
                </w:p>
              </w:tc>
              <w:tc>
                <w:tcPr>
                  <w:tcW w:w="3232" w:type="dxa"/>
                  <w:vMerge w:val="restart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color w:val="5B9BD5" w:themeColor="accent1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Duration of immunity (</w:t>
                  </w:r>
                  <w:r w:rsidRPr="00602B0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months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)</w:t>
                  </w:r>
                </w:p>
              </w:tc>
            </w:tr>
            <w:tr w:rsidR="00602B02" w:rsidRPr="001A771D" w:rsidTr="001B2FF1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220" w:type="dxa"/>
                  <w:gridSpan w:val="3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</w:tc>
              <w:tc>
                <w:tcPr>
                  <w:tcW w:w="1008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 w:val="restart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220" w:type="dxa"/>
                  <w:gridSpan w:val="3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rtl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3  </w:t>
                  </w:r>
                </w:p>
              </w:tc>
              <w:tc>
                <w:tcPr>
                  <w:tcW w:w="1008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auto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3232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>From m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aternal antibodies</w:t>
                  </w: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220" w:type="dxa"/>
                  <w:gridSpan w:val="3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Cs/>
                      <w:color w:val="000000"/>
                      <w:sz w:val="16"/>
                      <w:szCs w:val="16"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008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3232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>From f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irst infection</w:t>
                  </w:r>
                </w:p>
              </w:tc>
            </w:tr>
            <w:tr w:rsidR="00602B02" w:rsidRPr="001A771D" w:rsidTr="001B2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" w:type="dxa"/>
                  <w:vMerge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rPr>
                      <w:rFonts w:asciiTheme="majorBidi" w:hAnsiTheme="majorBidi" w:cstheme="majorBidi"/>
                      <w:b w:val="0"/>
                      <w:bCs w:val="0"/>
                      <w:color w:val="auto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220" w:type="dxa"/>
                  <w:gridSpan w:val="3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rtl/>
                    </w:rPr>
                  </w:pPr>
                  <w:r w:rsidRPr="001A771D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008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auto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3232" w:type="dxa"/>
                  <w:shd w:val="clear" w:color="auto" w:fill="auto"/>
                </w:tcPr>
                <w:p w:rsidR="00602B02" w:rsidRPr="001A771D" w:rsidRDefault="00602B02" w:rsidP="001B2FF1">
                  <w:pPr>
                    <w:spacing w:line="48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color w:val="5B9BD5" w:themeColor="accent1"/>
                      <w:sz w:val="16"/>
                      <w:szCs w:val="16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>From s</w:t>
                  </w:r>
                  <w:r w:rsidRPr="001A771D">
                    <w:rPr>
                      <w:rFonts w:asciiTheme="majorBidi" w:hAnsiTheme="majorBidi" w:cstheme="majorBidi"/>
                      <w:sz w:val="16"/>
                      <w:szCs w:val="16"/>
                    </w:rPr>
                    <w:t>ubsequent infection</w:t>
                  </w: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>s</w:t>
                  </w:r>
                </w:p>
              </w:tc>
            </w:tr>
          </w:tbl>
          <w:p w:rsidR="00602B02" w:rsidRDefault="00602B02" w:rsidP="001B2FF1">
            <w:pPr>
              <w:pStyle w:val="NormalWeb"/>
              <w:spacing w:line="480" w:lineRule="auto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</w:tbl>
    <w:p w:rsidR="00602B02" w:rsidRDefault="00602B02" w:rsidP="00602B02">
      <w:pPr>
        <w:spacing w:line="480" w:lineRule="auto"/>
        <w:jc w:val="both"/>
        <w:rPr>
          <w:rFonts w:asciiTheme="majorBidi" w:hAnsiTheme="majorBidi" w:cstheme="majorBidi" w:hint="cs"/>
          <w:b/>
          <w:bCs/>
        </w:rPr>
      </w:pPr>
    </w:p>
    <w:p w:rsidR="00602B02" w:rsidRDefault="00602B02" w:rsidP="00602B02">
      <w:pPr>
        <w:pStyle w:val="ListParagraph"/>
        <w:bidi w:val="0"/>
      </w:pPr>
    </w:p>
    <w:p w:rsidR="00602B02" w:rsidRDefault="00602B02" w:rsidP="00602B02">
      <w:pPr>
        <w:pStyle w:val="ListParagraph"/>
        <w:bidi w:val="0"/>
      </w:pPr>
    </w:p>
    <w:p w:rsidR="00602B02" w:rsidRPr="00602B02" w:rsidRDefault="00602B02" w:rsidP="00602B02">
      <w:pPr>
        <w:pStyle w:val="ListParagraph"/>
        <w:bidi w:val="0"/>
        <w:rPr>
          <w:rFonts w:asciiTheme="majorBidi" w:hAnsiTheme="majorBidi" w:cstheme="majorBidi"/>
          <w:b/>
          <w:bCs/>
        </w:rPr>
      </w:pPr>
      <w:r w:rsidRPr="00602B02">
        <w:rPr>
          <w:rFonts w:asciiTheme="majorBidi" w:hAnsiTheme="majorBidi" w:cstheme="majorBidi" w:hint="cs"/>
          <w:b/>
          <w:bCs/>
        </w:rPr>
        <w:t>M</w:t>
      </w:r>
      <w:r w:rsidRPr="00602B02">
        <w:rPr>
          <w:rFonts w:asciiTheme="majorBidi" w:hAnsiTheme="majorBidi" w:cstheme="majorBidi"/>
          <w:b/>
          <w:bCs/>
        </w:rPr>
        <w:t xml:space="preserve">issing parameters </w:t>
      </w:r>
    </w:p>
    <w:p w:rsidR="00602B02" w:rsidRPr="00602B02" w:rsidRDefault="00602B02" w:rsidP="00602B02">
      <w:pPr>
        <w:pStyle w:val="ListParagraph"/>
        <w:bidi w:val="0"/>
        <w:rPr>
          <w:rFonts w:asciiTheme="majorBidi" w:hAnsiTheme="majorBidi" w:cstheme="majorBidi"/>
        </w:rPr>
      </w:pPr>
    </w:p>
    <w:p w:rsidR="00602B02" w:rsidRDefault="00602B02" w:rsidP="001B30ED">
      <w:pPr>
        <w:pStyle w:val="ListParagraph"/>
        <w:numPr>
          <w:ilvl w:val="0"/>
          <w:numId w:val="5"/>
        </w:numPr>
        <w:bidi w:val="0"/>
      </w:pPr>
      <w:r>
        <w:t xml:space="preserve">Susceptibility rate for ages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B30ED">
        <w:t xml:space="preserve">  : 0-1, 1-2, 2-5, 5-15, &gt;15 and seasonal offset </w:t>
      </w:r>
      <m:oMath>
        <m:r>
          <w:rPr>
            <w:rFonts w:ascii="Cambria Math" w:hAnsi="Cambria Math"/>
          </w:rPr>
          <m:t>φ</m:t>
        </m:r>
      </m:oMath>
    </w:p>
    <w:p w:rsidR="007B1B13" w:rsidRDefault="007B1B13" w:rsidP="007B1B13">
      <w:pPr>
        <w:bidi w:val="0"/>
      </w:pPr>
      <w:r>
        <w:t xml:space="preserve">Vaccine </w:t>
      </w:r>
      <w:r w:rsidR="00445F87">
        <w:t xml:space="preserve">is not likely to </w:t>
      </w:r>
      <w:r>
        <w:t>wa</w:t>
      </w:r>
      <w:r w:rsidR="00445F87">
        <w:t xml:space="preserve">ne. (No arrow between </w:t>
      </w:r>
      <w:r w:rsidR="00B04F92">
        <w:t>V to S0)</w:t>
      </w:r>
      <w:r>
        <w:t xml:space="preserve"> </w:t>
      </w:r>
    </w:p>
    <w:p w:rsidR="007B1B13" w:rsidRDefault="007B1B13" w:rsidP="007B1B13">
      <w:pPr>
        <w:bidi w:val="0"/>
      </w:pPr>
      <w:hyperlink r:id="rId8" w:history="1">
        <w:r w:rsidRPr="00040280">
          <w:rPr>
            <w:rStyle w:val="Hyperlink"/>
          </w:rPr>
          <w:t>http://pediatrics.aappublications.org/content/early/2016/09/21/peds.2016-1173</w:t>
        </w:r>
      </w:hyperlink>
    </w:p>
    <w:p w:rsidR="007B1B13" w:rsidRDefault="007B1B13" w:rsidP="007B1B13">
      <w:pPr>
        <w:bidi w:val="0"/>
      </w:pPr>
      <w:hyperlink r:id="rId9" w:history="1">
        <w:r w:rsidRPr="00040280">
          <w:rPr>
            <w:rStyle w:val="Hyperlink"/>
          </w:rPr>
          <w:t>https://ac.els-cdn.com/S0264410X15003047/1-s2.0-S0264410X15003047-main.pdf?_tid=29c01506-e694-11e7-9266-00000aab0f01&amp;acdnat=1513891149_c0dceb0ff32da33e21c2b843345f762c</w:t>
        </w:r>
      </w:hyperlink>
    </w:p>
    <w:p w:rsidR="007B1B13" w:rsidRPr="001B30ED" w:rsidRDefault="007B1B13" w:rsidP="007B1B13">
      <w:pPr>
        <w:bidi w:val="0"/>
      </w:pPr>
    </w:p>
    <w:p w:rsidR="001B30ED" w:rsidRDefault="001B30ED" w:rsidP="001B30ED">
      <w:pPr>
        <w:pStyle w:val="ListParagraph"/>
        <w:bidi w:val="0"/>
        <w:ind w:left="1440"/>
        <w:rPr>
          <w:rFonts w:eastAsiaTheme="minorEastAsia"/>
        </w:rPr>
      </w:pPr>
    </w:p>
    <w:p w:rsidR="007B1B13" w:rsidRDefault="007B1B13" w:rsidP="007B1B13">
      <w:pPr>
        <w:pStyle w:val="ListParagraph"/>
        <w:bidi w:val="0"/>
        <w:ind w:left="1440"/>
        <w:rPr>
          <w:rFonts w:eastAsiaTheme="minorEastAsia"/>
        </w:rPr>
      </w:pPr>
    </w:p>
    <w:p w:rsidR="001B30ED" w:rsidRDefault="001B30ED" w:rsidP="001B30ED">
      <w:pPr>
        <w:pStyle w:val="ListParagraph"/>
        <w:bidi w:val="0"/>
        <w:ind w:left="1440"/>
      </w:pPr>
    </w:p>
    <w:p w:rsidR="003F5820" w:rsidRDefault="002F3C39" w:rsidP="00602B02">
      <w:pPr>
        <w:pStyle w:val="ListParagraph"/>
        <w:bidi w:val="0"/>
        <w:rPr>
          <w:b/>
          <w:bCs/>
        </w:rPr>
      </w:pPr>
      <w:r w:rsidRPr="001B30ED">
        <w:rPr>
          <w:b/>
          <w:bCs/>
        </w:rPr>
        <w:t>Age groups</w:t>
      </w:r>
    </w:p>
    <w:p w:rsidR="001B30ED" w:rsidRDefault="001B30ED" w:rsidP="001B30ED">
      <w:pPr>
        <w:pStyle w:val="ListParagraph"/>
        <w:bidi w:val="0"/>
        <w:rPr>
          <w:b/>
          <w:bCs/>
        </w:rPr>
      </w:pPr>
    </w:p>
    <w:p w:rsidR="00000000" w:rsidRPr="00B04F92" w:rsidRDefault="00FB2D0B" w:rsidP="00B04F92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B04F92">
        <w:rPr>
          <w:b/>
          <w:bCs/>
        </w:rPr>
        <w:t>The population is stratified into the following 14 age groups: 0–2, 2–4, 4–6, 6–12 months, 1–2, 2–3, 3–4, 4–5, 5–15, 15–20, 20–30, 30–50, 50–65, &gt;65 ye</w:t>
      </w:r>
      <w:r w:rsidRPr="00B04F92">
        <w:rPr>
          <w:b/>
          <w:bCs/>
        </w:rPr>
        <w:t>ars</w:t>
      </w:r>
    </w:p>
    <w:p w:rsidR="007B1B13" w:rsidRPr="001B30ED" w:rsidRDefault="007B1B13" w:rsidP="007B1B13">
      <w:pPr>
        <w:pStyle w:val="ListParagraph"/>
        <w:bidi w:val="0"/>
        <w:rPr>
          <w:b/>
          <w:bCs/>
        </w:rPr>
      </w:pPr>
    </w:p>
    <w:p w:rsidR="002F3C39" w:rsidRDefault="002F3C39" w:rsidP="00FB2D0B">
      <w:pPr>
        <w:bidi w:val="0"/>
      </w:pPr>
    </w:p>
    <w:p w:rsidR="00B04F92" w:rsidRDefault="00B04F92" w:rsidP="00B04F92">
      <w:pPr>
        <w:pStyle w:val="ListParagraph"/>
        <w:numPr>
          <w:ilvl w:val="0"/>
          <w:numId w:val="1"/>
        </w:numPr>
        <w:bidi w:val="0"/>
      </w:pPr>
      <w:r>
        <w:t xml:space="preserve">To maintain fix population and fixed age groups: </w:t>
      </w:r>
    </w:p>
    <w:p w:rsidR="00B04F92" w:rsidRDefault="00B04F92" w:rsidP="00C328A5">
      <w:pPr>
        <w:bidi w:val="0"/>
        <w:rPr>
          <w:rFonts w:eastAsiaTheme="minorEastAsia"/>
        </w:rPr>
      </w:pPr>
      <w:proofErr w:type="gramStart"/>
      <w:r w:rsidRPr="00B04F92">
        <w:rPr>
          <w:rFonts w:eastAsiaTheme="minorEastAsia"/>
          <w:i/>
          <w:iCs/>
        </w:rPr>
        <w:t>di</w:t>
      </w:r>
      <w:proofErr w:type="gramEnd"/>
      <w:r>
        <w:rPr>
          <w:rFonts w:eastAsiaTheme="minorEastAsia"/>
        </w:rPr>
        <w:t xml:space="preserve"> - is the aging rate </w:t>
      </w:r>
    </w:p>
    <w:p w:rsidR="00B04F92" w:rsidRDefault="00B04F92" w:rsidP="00B04F92">
      <w:pPr>
        <w:bidi w:val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ageUi</w:t>
      </w:r>
      <w:proofErr w:type="spellEnd"/>
      <w:r>
        <w:rPr>
          <w:rFonts w:eastAsiaTheme="minorEastAsia"/>
        </w:rPr>
        <w:t>-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ageLi</w:t>
      </w:r>
      <w:proofErr w:type="spellEnd"/>
      <w:r>
        <w:rPr>
          <w:rFonts w:eastAsiaTheme="minorEastAsia"/>
        </w:rPr>
        <w:t xml:space="preserve"> = age group duration </w:t>
      </w:r>
    </w:p>
    <w:p w:rsidR="00B04F92" w:rsidRDefault="00B04F92" w:rsidP="00B04F92">
      <w:pPr>
        <w:bidi w:val="0"/>
        <w:rPr>
          <w:rFonts w:eastAsiaTheme="minorEastAsia"/>
        </w:rPr>
      </w:pPr>
      <w:r w:rsidRPr="00B04F92">
        <w:rPr>
          <w:rFonts w:eastAsiaTheme="minorEastAsia"/>
          <w:i/>
          <w:iCs/>
        </w:rPr>
        <w:t>N0j</w:t>
      </w:r>
      <w:r>
        <w:rPr>
          <w:rFonts w:eastAsiaTheme="minorEastAsia"/>
        </w:rPr>
        <w:t xml:space="preserve"> – represents the proportion of age group j in the population.</w:t>
      </w:r>
    </w:p>
    <w:p w:rsidR="00B04F92" w:rsidRDefault="00B04F92" w:rsidP="00B04F9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Death rate in Japan </w:t>
      </w:r>
      <w:proofErr w:type="gramStart"/>
      <w:r>
        <w:rPr>
          <w:rFonts w:eastAsiaTheme="minorEastAsia"/>
        </w:rPr>
        <w:t>( vector</w:t>
      </w:r>
      <w:proofErr w:type="gramEnd"/>
      <w:r>
        <w:rPr>
          <w:rFonts w:eastAsiaTheme="minorEastAsia"/>
        </w:rPr>
        <w:t xml:space="preserve"> divided by 1000)</w:t>
      </w:r>
    </w:p>
    <w:p w:rsidR="00B04F92" w:rsidRPr="00B04F92" w:rsidRDefault="00B04F92" w:rsidP="00B04F9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}={3,3,3,3,0.5,0.25,0.251,0.251,0.1,0.1,0.381835,0.8125,3.558,22.2}</m:t>
          </m:r>
          <m:r>
            <w:rPr>
              <w:rFonts w:ascii="Cambria Math" w:eastAsiaTheme="minorEastAsia" w:hAnsi="Cambria Math"/>
            </w:rPr>
            <m:t>/1000</m:t>
          </m:r>
        </m:oMath>
      </m:oMathPara>
    </w:p>
    <w:p w:rsidR="00B04F92" w:rsidRPr="00B04F92" w:rsidRDefault="00B04F92" w:rsidP="00B04F92">
      <w:pPr>
        <w:bidi w:val="0"/>
        <w:rPr>
          <w:rFonts w:eastAsiaTheme="minorEastAsia"/>
        </w:rPr>
      </w:pPr>
    </w:p>
    <w:p w:rsidR="00C328A5" w:rsidRPr="00B04F92" w:rsidRDefault="00B04F92" w:rsidP="00B04F92">
      <w:pPr>
        <w:bidi w:val="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A2D0BC0" wp14:editId="08FB1BF7">
            <wp:extent cx="5660571" cy="24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0" t="19863" r="65037" b="77740"/>
                    <a:stretch/>
                  </pic:blipFill>
                  <pic:spPr bwMode="auto">
                    <a:xfrm>
                      <a:off x="0" y="0"/>
                      <a:ext cx="5664756" cy="24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D281A" wp14:editId="0B7D0110">
            <wp:extent cx="5121701" cy="9804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19" t="29452" r="61570" b="59076"/>
                    <a:stretch/>
                  </pic:blipFill>
                  <pic:spPr bwMode="auto">
                    <a:xfrm>
                      <a:off x="0" y="0"/>
                      <a:ext cx="5127868" cy="98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8A5" w:rsidRPr="00FB2D0B" w:rsidRDefault="00C328A5" w:rsidP="00FB2D0B">
      <w:pPr>
        <w:pStyle w:val="ListParagraph"/>
        <w:numPr>
          <w:ilvl w:val="0"/>
          <w:numId w:val="7"/>
        </w:numPr>
        <w:bidi w:val="0"/>
        <w:rPr>
          <w:b/>
          <w:bCs/>
        </w:rPr>
      </w:pPr>
      <w:r w:rsidRPr="00FB2D0B">
        <w:rPr>
          <w:b/>
          <w:bCs/>
        </w:rPr>
        <w:t>Data for fit</w:t>
      </w:r>
    </w:p>
    <w:p w:rsidR="00C328A5" w:rsidRDefault="00C328A5" w:rsidP="00FB2D0B">
      <w:pPr>
        <w:pStyle w:val="ListParagraph"/>
        <w:bidi w:val="0"/>
      </w:pPr>
      <w:r>
        <w:t xml:space="preserve">Weekly </w:t>
      </w:r>
    </w:p>
    <w:p w:rsidR="00FB2D0B" w:rsidRDefault="00C328A5" w:rsidP="00FB2D0B">
      <w:pPr>
        <w:pStyle w:val="ListParagraph"/>
        <w:bidi w:val="0"/>
      </w:pPr>
      <w:r>
        <w:t>Variance of the normal distribution</w:t>
      </w:r>
    </w:p>
    <w:p w:rsidR="00C328A5" w:rsidRDefault="00C328A5" w:rsidP="00FB2D0B">
      <w:pPr>
        <w:pStyle w:val="ListParagraph"/>
        <w:bidi w:val="0"/>
      </w:pPr>
      <w:r>
        <w:t>Years – for Fit 10</w:t>
      </w:r>
    </w:p>
    <w:p w:rsidR="0066454F" w:rsidRDefault="0066454F" w:rsidP="0066454F">
      <w:pPr>
        <w:bidi w:val="0"/>
      </w:pPr>
      <w:r>
        <w:t>Graphs</w:t>
      </w:r>
      <w:bookmarkStart w:id="0" w:name="_GoBack"/>
      <w:bookmarkEnd w:id="0"/>
    </w:p>
    <w:p w:rsidR="0066454F" w:rsidRDefault="0066454F" w:rsidP="0066454F">
      <w:pPr>
        <w:bidi w:val="0"/>
      </w:pPr>
    </w:p>
    <w:p w:rsidR="00C328A5" w:rsidRDefault="00C328A5" w:rsidP="00C328A5">
      <w:pPr>
        <w:bidi w:val="0"/>
      </w:pPr>
    </w:p>
    <w:sectPr w:rsidR="00C328A5" w:rsidSect="003A44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B5E"/>
    <w:multiLevelType w:val="hybridMultilevel"/>
    <w:tmpl w:val="74E00F5A"/>
    <w:lvl w:ilvl="0" w:tplc="2E389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77338"/>
    <w:multiLevelType w:val="hybridMultilevel"/>
    <w:tmpl w:val="CFD6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1D3B"/>
    <w:multiLevelType w:val="hybridMultilevel"/>
    <w:tmpl w:val="414A385E"/>
    <w:lvl w:ilvl="0" w:tplc="9170F78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220728"/>
    <w:multiLevelType w:val="hybridMultilevel"/>
    <w:tmpl w:val="88801F6E"/>
    <w:lvl w:ilvl="0" w:tplc="40488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4A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204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6B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F04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08C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2C8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FA3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8A6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6B2895"/>
    <w:multiLevelType w:val="hybridMultilevel"/>
    <w:tmpl w:val="59AA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5429A"/>
    <w:multiLevelType w:val="hybridMultilevel"/>
    <w:tmpl w:val="E6FE51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C219F"/>
    <w:multiLevelType w:val="hybridMultilevel"/>
    <w:tmpl w:val="CB283604"/>
    <w:lvl w:ilvl="0" w:tplc="9170F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39"/>
    <w:rsid w:val="001B30ED"/>
    <w:rsid w:val="002F3C39"/>
    <w:rsid w:val="003A4454"/>
    <w:rsid w:val="003F5820"/>
    <w:rsid w:val="00445F87"/>
    <w:rsid w:val="00602B02"/>
    <w:rsid w:val="0066454F"/>
    <w:rsid w:val="007B1B13"/>
    <w:rsid w:val="00B04F92"/>
    <w:rsid w:val="00C328A5"/>
    <w:rsid w:val="00FB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B754"/>
  <w15:chartTrackingRefBased/>
  <w15:docId w15:val="{3C7352A4-9405-4E17-9176-ACC126BA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39"/>
    <w:pPr>
      <w:ind w:left="720"/>
      <w:contextualSpacing/>
    </w:pPr>
  </w:style>
  <w:style w:type="table" w:styleId="LightShading">
    <w:name w:val="Light Shading"/>
    <w:basedOn w:val="TableNormal"/>
    <w:uiPriority w:val="60"/>
    <w:rsid w:val="00602B02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bidi="ar-S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602B0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02B02"/>
    <w:pPr>
      <w:spacing w:after="0" w:line="240" w:lineRule="auto"/>
    </w:pPr>
    <w:rPr>
      <w:rFonts w:eastAsiaTheme="minorEastAsia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30E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B1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6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diatrics.aappublications.org/content/early/2016/09/21/peds.2016-117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c.els-cdn.com/S0264410X15003047/1-s2.0-S0264410X15003047-main.pdf?_tid=29c01506-e694-11e7-9266-00000aab0f01&amp;acdnat=1513891149_c0dceb0ff32da33e21c2b843345f76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2610</Words>
  <Characters>13055</Characters>
  <Application>Microsoft Office Word</Application>
  <DocSecurity>0</DocSecurity>
  <Lines>108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2017-12-21T17:02:00Z</dcterms:created>
  <dcterms:modified xsi:type="dcterms:W3CDTF">2017-12-21T22:06:00Z</dcterms:modified>
</cp:coreProperties>
</file>