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9860" w14:textId="77777777" w:rsidR="00596030" w:rsidRDefault="00596030" w:rsidP="00EA1666">
      <w:pPr>
        <w:spacing w:line="480" w:lineRule="auto"/>
        <w:jc w:val="center"/>
        <w:rPr>
          <w:rFonts w:ascii="Times New Roman" w:hAnsi="Times New Roman" w:cs="Times New Roman"/>
        </w:rPr>
      </w:pPr>
    </w:p>
    <w:p w14:paraId="3EFA435A" w14:textId="77777777" w:rsidR="00EA1666" w:rsidRDefault="00EA1666" w:rsidP="00EA1666">
      <w:pPr>
        <w:spacing w:line="480" w:lineRule="auto"/>
        <w:jc w:val="center"/>
        <w:rPr>
          <w:rFonts w:ascii="Times New Roman" w:hAnsi="Times New Roman" w:cs="Times New Roman"/>
        </w:rPr>
      </w:pPr>
    </w:p>
    <w:p w14:paraId="0C2D77D2" w14:textId="77777777" w:rsidR="00EA1666" w:rsidRDefault="00EA1666" w:rsidP="00EA1666">
      <w:pPr>
        <w:spacing w:line="480" w:lineRule="auto"/>
        <w:jc w:val="center"/>
        <w:rPr>
          <w:rFonts w:ascii="Times New Roman" w:hAnsi="Times New Roman" w:cs="Times New Roman"/>
        </w:rPr>
      </w:pPr>
    </w:p>
    <w:p w14:paraId="72561CAC" w14:textId="77777777" w:rsidR="00EA1666" w:rsidRDefault="00EA1666" w:rsidP="00EA1666">
      <w:pPr>
        <w:spacing w:line="480" w:lineRule="auto"/>
        <w:jc w:val="center"/>
        <w:rPr>
          <w:rFonts w:ascii="Times New Roman" w:hAnsi="Times New Roman" w:cs="Times New Roman"/>
        </w:rPr>
      </w:pPr>
    </w:p>
    <w:p w14:paraId="5C054CED" w14:textId="77777777" w:rsidR="00EA1666" w:rsidRPr="00EA1666" w:rsidRDefault="00EA1666" w:rsidP="00EA1666">
      <w:pPr>
        <w:spacing w:line="480" w:lineRule="auto"/>
        <w:jc w:val="center"/>
        <w:rPr>
          <w:rFonts w:ascii="Times New Roman" w:hAnsi="Times New Roman" w:cs="Times New Roman"/>
          <w:b/>
          <w:bCs/>
        </w:rPr>
      </w:pPr>
      <w:r w:rsidRPr="00EA1666">
        <w:rPr>
          <w:rFonts w:ascii="Times New Roman" w:hAnsi="Times New Roman" w:cs="Times New Roman"/>
          <w:b/>
          <w:bCs/>
        </w:rPr>
        <w:t>8-2 Journal: Portfolio Reflection</w:t>
      </w:r>
    </w:p>
    <w:p w14:paraId="18172D99" w14:textId="77777777" w:rsidR="00EA1666" w:rsidRPr="00BF6929" w:rsidRDefault="00EA1666" w:rsidP="00EA1666">
      <w:pPr>
        <w:spacing w:line="480" w:lineRule="auto"/>
        <w:jc w:val="center"/>
        <w:rPr>
          <w:rFonts w:ascii="Times New Roman" w:hAnsi="Times New Roman" w:cs="Times New Roman"/>
        </w:rPr>
      </w:pPr>
      <w:r w:rsidRPr="00BF6929">
        <w:rPr>
          <w:rFonts w:ascii="Times New Roman" w:hAnsi="Times New Roman" w:cs="Times New Roman"/>
        </w:rPr>
        <w:t>Deanna Talton</w:t>
      </w:r>
    </w:p>
    <w:p w14:paraId="4C3CFE2E" w14:textId="77777777" w:rsidR="00EA1666" w:rsidRPr="00BF6929" w:rsidRDefault="00EA1666" w:rsidP="00EA1666">
      <w:pPr>
        <w:spacing w:line="480" w:lineRule="auto"/>
        <w:jc w:val="center"/>
        <w:rPr>
          <w:rFonts w:ascii="Times New Roman" w:hAnsi="Times New Roman" w:cs="Times New Roman"/>
        </w:rPr>
      </w:pPr>
      <w:r w:rsidRPr="00BF6929">
        <w:rPr>
          <w:rFonts w:ascii="Times New Roman" w:hAnsi="Times New Roman" w:cs="Times New Roman"/>
        </w:rPr>
        <w:t>CS-405: Secure Coding</w:t>
      </w:r>
    </w:p>
    <w:p w14:paraId="5AEFFC02" w14:textId="77777777" w:rsidR="00EA1666" w:rsidRPr="00BF6929" w:rsidRDefault="00EA1666" w:rsidP="00EA1666">
      <w:pPr>
        <w:spacing w:line="480" w:lineRule="auto"/>
        <w:jc w:val="center"/>
        <w:rPr>
          <w:rFonts w:ascii="Times New Roman" w:hAnsi="Times New Roman" w:cs="Times New Roman"/>
        </w:rPr>
      </w:pPr>
      <w:r w:rsidRPr="00BF6929">
        <w:rPr>
          <w:rFonts w:ascii="Times New Roman" w:hAnsi="Times New Roman" w:cs="Times New Roman"/>
        </w:rPr>
        <w:t>Instructor: Wasim Alim</w:t>
      </w:r>
    </w:p>
    <w:p w14:paraId="43A3B5A3" w14:textId="4D6324E0" w:rsidR="00EA1666" w:rsidRPr="00BF6929" w:rsidRDefault="00EA1666" w:rsidP="00EA1666">
      <w:pPr>
        <w:spacing w:line="480" w:lineRule="auto"/>
        <w:jc w:val="center"/>
        <w:rPr>
          <w:rFonts w:ascii="Times New Roman" w:hAnsi="Times New Roman" w:cs="Times New Roman"/>
        </w:rPr>
      </w:pPr>
      <w:r w:rsidRPr="00BF6929">
        <w:rPr>
          <w:rFonts w:ascii="Times New Roman" w:hAnsi="Times New Roman" w:cs="Times New Roman"/>
        </w:rPr>
        <w:t xml:space="preserve">October </w:t>
      </w:r>
      <w:r>
        <w:rPr>
          <w:rFonts w:ascii="Times New Roman" w:hAnsi="Times New Roman" w:cs="Times New Roman"/>
        </w:rPr>
        <w:t>24</w:t>
      </w:r>
      <w:r w:rsidRPr="00BF6929">
        <w:rPr>
          <w:rFonts w:ascii="Times New Roman" w:hAnsi="Times New Roman" w:cs="Times New Roman"/>
        </w:rPr>
        <w:t>, 2026</w:t>
      </w:r>
    </w:p>
    <w:p w14:paraId="76D7B106" w14:textId="39CA2CE9" w:rsidR="00EA1666" w:rsidRDefault="00EA1666" w:rsidP="00EA1666">
      <w:pPr>
        <w:spacing w:line="480" w:lineRule="auto"/>
        <w:jc w:val="center"/>
        <w:rPr>
          <w:rFonts w:ascii="Times New Roman" w:hAnsi="Times New Roman" w:cs="Times New Roman"/>
        </w:rPr>
      </w:pPr>
    </w:p>
    <w:p w14:paraId="1C29BE50" w14:textId="77777777" w:rsidR="00EA1666" w:rsidRDefault="00EA1666">
      <w:pPr>
        <w:rPr>
          <w:rFonts w:ascii="Times New Roman" w:hAnsi="Times New Roman" w:cs="Times New Roman"/>
        </w:rPr>
      </w:pPr>
      <w:r>
        <w:rPr>
          <w:rFonts w:ascii="Times New Roman" w:hAnsi="Times New Roman" w:cs="Times New Roman"/>
        </w:rPr>
        <w:br w:type="page"/>
      </w:r>
    </w:p>
    <w:p w14:paraId="3F9FA0A1"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lastRenderedPageBreak/>
        <w:t>Before completing this course, I generally viewed software security as a collection of protections added to a functioning application. My work throughout CS 405 changed that perspective. I now understand secure coding as a continuous responsibility that begins with planning and continues through development, testing, deployment, and maintenance. A secure coding standard gives developers shared expectations for handling data, memory, errors, databases, files, and concurrent operations. Without those standards, developers may solve similar problems differently and introduce inconsistent protections. The activities involving numeric overflow, buffer handling, SQL injection, memory management, exceptions, and file paths demonstrated how small implementation decisions can create serious vulnerabilities. Seacord (2013) explains that secure coding practices help developers eliminate defects before attackers can exploit them. Applying these practices during development is more effective than attempting to inspect security into a completed product.</w:t>
      </w:r>
    </w:p>
    <w:p w14:paraId="69E21D3F"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t xml:space="preserve">This course also changed how I evaluate risk. A vulnerability cannot be prioritized solely because it sounds dangerous. Developers must consider its severity, likelihood, remediation cost, affected assets, and potential effect on confidentiality, integrity, and availability. In my Green Pace security policy, I ranked SQL injection, unsafe string handling, memory errors, path traversal, and concurrency defects as Level 5 threats requiring immediate attention. Other issues still </w:t>
      </w:r>
      <w:proofErr w:type="gramStart"/>
      <w:r w:rsidRPr="00EA1666">
        <w:rPr>
          <w:rFonts w:ascii="Times New Roman" w:hAnsi="Times New Roman" w:cs="Times New Roman"/>
        </w:rPr>
        <w:t>required</w:t>
      </w:r>
      <w:proofErr w:type="gramEnd"/>
      <w:r w:rsidRPr="00EA1666">
        <w:rPr>
          <w:rFonts w:ascii="Times New Roman" w:hAnsi="Times New Roman" w:cs="Times New Roman"/>
        </w:rPr>
        <w:t xml:space="preserve"> correction, but the threat matrix provided a defensible order for allocating limited resources. Risk mitigation also requires </w:t>
      </w:r>
      <w:proofErr w:type="gramStart"/>
      <w:r w:rsidRPr="00EA1666">
        <w:rPr>
          <w:rFonts w:ascii="Times New Roman" w:hAnsi="Times New Roman" w:cs="Times New Roman"/>
        </w:rPr>
        <w:t>a cost</w:t>
      </w:r>
      <w:proofErr w:type="gramEnd"/>
      <w:r w:rsidRPr="00EA1666">
        <w:rPr>
          <w:rFonts w:ascii="Times New Roman" w:hAnsi="Times New Roman" w:cs="Times New Roman"/>
        </w:rPr>
        <w:t xml:space="preserve">-benefit analysis. Training developers and configuring automated tools require time and money, but delaying remediation can lead to emergency patches, downtime, data loss, legal costs, and reputational damage. This analysis taught me that accepting a risk should be a documented business decision rather than the accidental result of ignoring </w:t>
      </w:r>
      <w:proofErr w:type="gramStart"/>
      <w:r w:rsidRPr="00EA1666">
        <w:rPr>
          <w:rFonts w:ascii="Times New Roman" w:hAnsi="Times New Roman" w:cs="Times New Roman"/>
        </w:rPr>
        <w:t>a vulnerability</w:t>
      </w:r>
      <w:proofErr w:type="gramEnd"/>
      <w:r w:rsidRPr="00EA1666">
        <w:rPr>
          <w:rFonts w:ascii="Times New Roman" w:hAnsi="Times New Roman" w:cs="Times New Roman"/>
        </w:rPr>
        <w:t>.</w:t>
      </w:r>
    </w:p>
    <w:p w14:paraId="2288F525"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lastRenderedPageBreak/>
        <w:t xml:space="preserve">Unit testing and static analysis reinforced the value of identifying weaknesses early. Using Google Test, I created positive tests that confirmed expected vector behavior and negative tests that verified invalid indexes produced an out-of-range exception. </w:t>
      </w:r>
      <w:proofErr w:type="spellStart"/>
      <w:r w:rsidRPr="00EA1666">
        <w:rPr>
          <w:rFonts w:ascii="Times New Roman" w:hAnsi="Times New Roman" w:cs="Times New Roman"/>
        </w:rPr>
        <w:t>Cppcheck</w:t>
      </w:r>
      <w:proofErr w:type="spellEnd"/>
      <w:r w:rsidRPr="00EA1666">
        <w:rPr>
          <w:rFonts w:ascii="Times New Roman" w:hAnsi="Times New Roman" w:cs="Times New Roman"/>
        </w:rPr>
        <w:t xml:space="preserve"> and Visual Studio also showed that different tools identify different categories of problems. No single tool can prove that software is secure. Developers need overlapping controls that include compiler warnings, code review, static analysis, positive and negative testing, runtime sanitizers, dependency scanning, and production monitoring. This reflects defense in depth because one control can identify a problem that another control misses. The NIST Secure Software Development Framework similarly recommends integrating secure practices throughout the software development life cycle instead of treating security as a final review (</w:t>
      </w:r>
      <w:proofErr w:type="spellStart"/>
      <w:r w:rsidRPr="00EA1666">
        <w:rPr>
          <w:rFonts w:ascii="Times New Roman" w:hAnsi="Times New Roman" w:cs="Times New Roman"/>
        </w:rPr>
        <w:t>Souppaya</w:t>
      </w:r>
      <w:proofErr w:type="spellEnd"/>
      <w:r w:rsidRPr="00EA1666">
        <w:rPr>
          <w:rFonts w:ascii="Times New Roman" w:hAnsi="Times New Roman" w:cs="Times New Roman"/>
        </w:rPr>
        <w:t xml:space="preserve"> et al., 2022).</w:t>
      </w:r>
    </w:p>
    <w:p w14:paraId="7B315E8F"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t xml:space="preserve">Zero trust further changed how I think about users, devices, and application components. Being inside a network should not automatically make a request trustworthy. Every request should be authenticated and authorized, and access should remain limited to what the user or service needs. </w:t>
      </w:r>
      <w:proofErr w:type="spellStart"/>
      <w:r w:rsidRPr="00EA1666">
        <w:rPr>
          <w:rFonts w:ascii="Times New Roman" w:hAnsi="Times New Roman" w:cs="Times New Roman"/>
        </w:rPr>
        <w:t>Fortra</w:t>
      </w:r>
      <w:proofErr w:type="spellEnd"/>
      <w:r w:rsidRPr="00EA1666">
        <w:rPr>
          <w:rFonts w:ascii="Times New Roman" w:hAnsi="Times New Roman" w:cs="Times New Roman"/>
        </w:rPr>
        <w:t xml:space="preserve"> (2024) explains that zero trust relies on continuous verification, least privilege, and the assumption that a breach may occur. In practice, I would apply this through multifactor authentication, role-based access control, secure session management, encryption, protected logging, and repeated authorization checks for sensitive actions. I would also validate data received from internal services because a trusted component can still become compromised. Zero trust may create inconvenience for users, but risk-based authentication and reusable security components can reduce friction without removing necessary protection.</w:t>
      </w:r>
    </w:p>
    <w:p w14:paraId="30059726"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t xml:space="preserve">Security policies make these practices enforceable and repeatable. A useful policy must explain what developers must do, where the requirements apply, how compliance will be </w:t>
      </w:r>
      <w:r w:rsidRPr="00EA1666">
        <w:rPr>
          <w:rFonts w:ascii="Times New Roman" w:hAnsi="Times New Roman" w:cs="Times New Roman"/>
        </w:rPr>
        <w:lastRenderedPageBreak/>
        <w:t xml:space="preserve">verified, and who is responsible for enforcement. My final policy connected ten coding standards to security principles, threat levels, automation tools, encryption </w:t>
      </w:r>
      <w:proofErr w:type="gramStart"/>
      <w:r w:rsidRPr="00EA1666">
        <w:rPr>
          <w:rFonts w:ascii="Times New Roman" w:hAnsi="Times New Roman" w:cs="Times New Roman"/>
        </w:rPr>
        <w:t>requirements, and</w:t>
      </w:r>
      <w:proofErr w:type="gramEnd"/>
      <w:r w:rsidRPr="00EA1666">
        <w:rPr>
          <w:rFonts w:ascii="Times New Roman" w:hAnsi="Times New Roman" w:cs="Times New Roman"/>
        </w:rPr>
        <w:t xml:space="preserve"> authentication, authorization, and accounting controls. I also recommended automated security gates that prevent releases when critical findings or failed tests remain unresolved. Written policies alone cannot prevent an attack. Organizations must support them through training, ownership, testing, measurement, and regular review.</w:t>
      </w:r>
    </w:p>
    <w:p w14:paraId="618468BD" w14:textId="77777777" w:rsidR="00EA1666" w:rsidRPr="00EA1666" w:rsidRDefault="00EA1666" w:rsidP="00EA1666">
      <w:pPr>
        <w:spacing w:line="480" w:lineRule="auto"/>
        <w:ind w:firstLine="720"/>
        <w:rPr>
          <w:rFonts w:ascii="Times New Roman" w:hAnsi="Times New Roman" w:cs="Times New Roman"/>
        </w:rPr>
      </w:pPr>
      <w:r w:rsidRPr="00EA1666">
        <w:rPr>
          <w:rFonts w:ascii="Times New Roman" w:hAnsi="Times New Roman" w:cs="Times New Roman"/>
        </w:rPr>
        <w:t>The most important lesson I will carry into future development is that secure software results from deliberate choices made throughout the entire process. I will approach new applications by identifying trust boundaries, validating external data, minimizing privileges, planning failure behavior, and creating tests before release. One question I still want to investigate is how development teams can measure whether a security policy improves actual outcomes rather than merely increasing documented compliance. Metrics such as vulnerability recurrence, remediation time, test coverage, and escaped defects may help answer that question. This course has given me a stronger foundation for making security a measurable part of software quality rather than an afterthought.</w:t>
      </w:r>
    </w:p>
    <w:p w14:paraId="705496DB" w14:textId="77777777" w:rsidR="00EA1666" w:rsidRDefault="00EA1666">
      <w:pPr>
        <w:rPr>
          <w:rFonts w:ascii="Times New Roman" w:hAnsi="Times New Roman" w:cs="Times New Roman"/>
          <w:b/>
          <w:bCs/>
        </w:rPr>
      </w:pPr>
      <w:r>
        <w:rPr>
          <w:rFonts w:ascii="Times New Roman" w:hAnsi="Times New Roman" w:cs="Times New Roman"/>
          <w:b/>
          <w:bCs/>
        </w:rPr>
        <w:br w:type="page"/>
      </w:r>
    </w:p>
    <w:p w14:paraId="2FB315FE" w14:textId="32EAAF51" w:rsidR="00EA1666" w:rsidRPr="00EA1666" w:rsidRDefault="00EA1666" w:rsidP="00EA1666">
      <w:pPr>
        <w:spacing w:line="480" w:lineRule="auto"/>
        <w:rPr>
          <w:rFonts w:ascii="Times New Roman" w:hAnsi="Times New Roman" w:cs="Times New Roman"/>
          <w:b/>
          <w:bCs/>
        </w:rPr>
      </w:pPr>
      <w:r w:rsidRPr="00EA1666">
        <w:rPr>
          <w:rFonts w:ascii="Times New Roman" w:hAnsi="Times New Roman" w:cs="Times New Roman"/>
          <w:b/>
          <w:bCs/>
        </w:rPr>
        <w:lastRenderedPageBreak/>
        <w:t>References</w:t>
      </w:r>
    </w:p>
    <w:p w14:paraId="045F8A5E" w14:textId="77777777" w:rsidR="00EA1666" w:rsidRPr="00EA1666" w:rsidRDefault="00EA1666" w:rsidP="00EA1666">
      <w:pPr>
        <w:spacing w:line="480" w:lineRule="auto"/>
        <w:rPr>
          <w:rFonts w:ascii="Times New Roman" w:hAnsi="Times New Roman" w:cs="Times New Roman"/>
        </w:rPr>
      </w:pPr>
      <w:proofErr w:type="spellStart"/>
      <w:r w:rsidRPr="00EA1666">
        <w:rPr>
          <w:rFonts w:ascii="Times New Roman" w:hAnsi="Times New Roman" w:cs="Times New Roman"/>
        </w:rPr>
        <w:t>Fortra</w:t>
      </w:r>
      <w:proofErr w:type="spellEnd"/>
      <w:r w:rsidRPr="00EA1666">
        <w:rPr>
          <w:rFonts w:ascii="Times New Roman" w:hAnsi="Times New Roman" w:cs="Times New Roman"/>
        </w:rPr>
        <w:t xml:space="preserve">. (2024, October 23). </w:t>
      </w:r>
      <w:r w:rsidRPr="00EA1666">
        <w:rPr>
          <w:rFonts w:ascii="Times New Roman" w:hAnsi="Times New Roman" w:cs="Times New Roman"/>
          <w:i/>
          <w:iCs/>
        </w:rPr>
        <w:t>Understanding the zero trust security model to safeguard digital infrastructure</w:t>
      </w:r>
      <w:r w:rsidRPr="00EA1666">
        <w:rPr>
          <w:rFonts w:ascii="Times New Roman" w:hAnsi="Times New Roman" w:cs="Times New Roman"/>
        </w:rPr>
        <w:t xml:space="preserve">. Digital Guardian. </w:t>
      </w:r>
      <w:hyperlink r:id="rId4" w:history="1">
        <w:r w:rsidRPr="00EA1666">
          <w:rPr>
            <w:rStyle w:val="Hyperlink"/>
            <w:rFonts w:ascii="Times New Roman" w:hAnsi="Times New Roman" w:cs="Times New Roman"/>
          </w:rPr>
          <w:t>https://www.digitalguardian.com/blog/understanding-zero-trust-security-model-safeguard-digital-infrastructure</w:t>
        </w:r>
      </w:hyperlink>
    </w:p>
    <w:p w14:paraId="604BEA80" w14:textId="77777777" w:rsidR="00EA1666" w:rsidRPr="00EA1666" w:rsidRDefault="00EA1666" w:rsidP="00EA1666">
      <w:pPr>
        <w:spacing w:line="480" w:lineRule="auto"/>
        <w:rPr>
          <w:rFonts w:ascii="Times New Roman" w:hAnsi="Times New Roman" w:cs="Times New Roman"/>
        </w:rPr>
      </w:pPr>
      <w:r w:rsidRPr="00EA1666">
        <w:rPr>
          <w:rFonts w:ascii="Times New Roman" w:hAnsi="Times New Roman" w:cs="Times New Roman"/>
        </w:rPr>
        <w:t xml:space="preserve">Seacord, R. C. (2013). </w:t>
      </w:r>
      <w:r w:rsidRPr="00EA1666">
        <w:rPr>
          <w:rFonts w:ascii="Times New Roman" w:hAnsi="Times New Roman" w:cs="Times New Roman"/>
          <w:i/>
          <w:iCs/>
        </w:rPr>
        <w:t>Secure coding in C and C++</w:t>
      </w:r>
      <w:r w:rsidRPr="00EA1666">
        <w:rPr>
          <w:rFonts w:ascii="Times New Roman" w:hAnsi="Times New Roman" w:cs="Times New Roman"/>
        </w:rPr>
        <w:t xml:space="preserve"> (2nd ed.). Addison-Wesley Professional.</w:t>
      </w:r>
    </w:p>
    <w:p w14:paraId="5B700CBC" w14:textId="77777777" w:rsidR="00EA1666" w:rsidRPr="00EA1666" w:rsidRDefault="00EA1666" w:rsidP="00EA1666">
      <w:pPr>
        <w:spacing w:line="480" w:lineRule="auto"/>
        <w:rPr>
          <w:rFonts w:ascii="Times New Roman" w:hAnsi="Times New Roman" w:cs="Times New Roman"/>
        </w:rPr>
      </w:pPr>
      <w:proofErr w:type="spellStart"/>
      <w:r w:rsidRPr="00EA1666">
        <w:rPr>
          <w:rFonts w:ascii="Times New Roman" w:hAnsi="Times New Roman" w:cs="Times New Roman"/>
        </w:rPr>
        <w:t>Souppaya</w:t>
      </w:r>
      <w:proofErr w:type="spellEnd"/>
      <w:r w:rsidRPr="00EA1666">
        <w:rPr>
          <w:rFonts w:ascii="Times New Roman" w:hAnsi="Times New Roman" w:cs="Times New Roman"/>
        </w:rPr>
        <w:t xml:space="preserve">, M., Scarfone, K., &amp; Dodson, D. (2022). </w:t>
      </w:r>
      <w:r w:rsidRPr="00EA1666">
        <w:rPr>
          <w:rFonts w:ascii="Times New Roman" w:hAnsi="Times New Roman" w:cs="Times New Roman"/>
          <w:i/>
          <w:iCs/>
        </w:rPr>
        <w:t>Secure software development framework (SSDF) version 1.1: Recommendations for mitigating the risk of software vulnerabilities</w:t>
      </w:r>
      <w:r w:rsidRPr="00EA1666">
        <w:rPr>
          <w:rFonts w:ascii="Times New Roman" w:hAnsi="Times New Roman" w:cs="Times New Roman"/>
        </w:rPr>
        <w:t xml:space="preserve"> (NIST Special Publication 800-218). National Institute of Standards and Technology. </w:t>
      </w:r>
      <w:hyperlink r:id="rId5" w:history="1">
        <w:r w:rsidRPr="00EA1666">
          <w:rPr>
            <w:rStyle w:val="Hyperlink"/>
            <w:rFonts w:ascii="Times New Roman" w:hAnsi="Times New Roman" w:cs="Times New Roman"/>
          </w:rPr>
          <w:t>https://doi.org/10.6028/NIST.SP.800-218</w:t>
        </w:r>
      </w:hyperlink>
    </w:p>
    <w:p w14:paraId="31D454E9" w14:textId="77777777" w:rsidR="00EA1666" w:rsidRPr="00EA1666" w:rsidRDefault="00EA1666" w:rsidP="00EA1666">
      <w:pPr>
        <w:spacing w:line="480" w:lineRule="auto"/>
        <w:rPr>
          <w:rFonts w:ascii="Times New Roman" w:hAnsi="Times New Roman" w:cs="Times New Roman"/>
        </w:rPr>
      </w:pPr>
    </w:p>
    <w:sectPr w:rsidR="00EA1666" w:rsidRPr="00EA1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66"/>
    <w:rsid w:val="00573516"/>
    <w:rsid w:val="00596030"/>
    <w:rsid w:val="00964088"/>
    <w:rsid w:val="00EA1666"/>
    <w:rsid w:val="00F45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AEB6"/>
  <w15:chartTrackingRefBased/>
  <w15:docId w15:val="{C8DC17B8-826D-4DFA-A259-4F7CD285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666"/>
  </w:style>
  <w:style w:type="paragraph" w:styleId="Heading1">
    <w:name w:val="heading 1"/>
    <w:basedOn w:val="Normal"/>
    <w:next w:val="Normal"/>
    <w:link w:val="Heading1Char"/>
    <w:uiPriority w:val="9"/>
    <w:qFormat/>
    <w:rsid w:val="00EA1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666"/>
    <w:rPr>
      <w:rFonts w:eastAsiaTheme="majorEastAsia" w:cstheme="majorBidi"/>
      <w:color w:val="272727" w:themeColor="text1" w:themeTint="D8"/>
    </w:rPr>
  </w:style>
  <w:style w:type="paragraph" w:styleId="Title">
    <w:name w:val="Title"/>
    <w:basedOn w:val="Normal"/>
    <w:next w:val="Normal"/>
    <w:link w:val="TitleChar"/>
    <w:uiPriority w:val="10"/>
    <w:qFormat/>
    <w:rsid w:val="00EA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666"/>
    <w:pPr>
      <w:spacing w:before="160"/>
      <w:jc w:val="center"/>
    </w:pPr>
    <w:rPr>
      <w:i/>
      <w:iCs/>
      <w:color w:val="404040" w:themeColor="text1" w:themeTint="BF"/>
    </w:rPr>
  </w:style>
  <w:style w:type="character" w:customStyle="1" w:styleId="QuoteChar">
    <w:name w:val="Quote Char"/>
    <w:basedOn w:val="DefaultParagraphFont"/>
    <w:link w:val="Quote"/>
    <w:uiPriority w:val="29"/>
    <w:rsid w:val="00EA1666"/>
    <w:rPr>
      <w:i/>
      <w:iCs/>
      <w:color w:val="404040" w:themeColor="text1" w:themeTint="BF"/>
    </w:rPr>
  </w:style>
  <w:style w:type="paragraph" w:styleId="ListParagraph">
    <w:name w:val="List Paragraph"/>
    <w:basedOn w:val="Normal"/>
    <w:uiPriority w:val="34"/>
    <w:qFormat/>
    <w:rsid w:val="00EA1666"/>
    <w:pPr>
      <w:ind w:left="720"/>
      <w:contextualSpacing/>
    </w:pPr>
  </w:style>
  <w:style w:type="character" w:styleId="IntenseEmphasis">
    <w:name w:val="Intense Emphasis"/>
    <w:basedOn w:val="DefaultParagraphFont"/>
    <w:uiPriority w:val="21"/>
    <w:qFormat/>
    <w:rsid w:val="00EA1666"/>
    <w:rPr>
      <w:i/>
      <w:iCs/>
      <w:color w:val="0F4761" w:themeColor="accent1" w:themeShade="BF"/>
    </w:rPr>
  </w:style>
  <w:style w:type="paragraph" w:styleId="IntenseQuote">
    <w:name w:val="Intense Quote"/>
    <w:basedOn w:val="Normal"/>
    <w:next w:val="Normal"/>
    <w:link w:val="IntenseQuoteChar"/>
    <w:uiPriority w:val="30"/>
    <w:qFormat/>
    <w:rsid w:val="00EA1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666"/>
    <w:rPr>
      <w:i/>
      <w:iCs/>
      <w:color w:val="0F4761" w:themeColor="accent1" w:themeShade="BF"/>
    </w:rPr>
  </w:style>
  <w:style w:type="character" w:styleId="IntenseReference">
    <w:name w:val="Intense Reference"/>
    <w:basedOn w:val="DefaultParagraphFont"/>
    <w:uiPriority w:val="32"/>
    <w:qFormat/>
    <w:rsid w:val="00EA1666"/>
    <w:rPr>
      <w:b/>
      <w:bCs/>
      <w:smallCaps/>
      <w:color w:val="0F4761" w:themeColor="accent1" w:themeShade="BF"/>
      <w:spacing w:val="5"/>
    </w:rPr>
  </w:style>
  <w:style w:type="character" w:styleId="Hyperlink">
    <w:name w:val="Hyperlink"/>
    <w:basedOn w:val="DefaultParagraphFont"/>
    <w:uiPriority w:val="99"/>
    <w:unhideWhenUsed/>
    <w:rsid w:val="00EA1666"/>
    <w:rPr>
      <w:color w:val="467886" w:themeColor="hyperlink"/>
      <w:u w:val="single"/>
    </w:rPr>
  </w:style>
  <w:style w:type="character" w:styleId="UnresolvedMention">
    <w:name w:val="Unresolved Mention"/>
    <w:basedOn w:val="DefaultParagraphFont"/>
    <w:uiPriority w:val="99"/>
    <w:semiHidden/>
    <w:unhideWhenUsed/>
    <w:rsid w:val="00EA1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6028/NIST.SP.800-218" TargetMode="External"/><Relationship Id="rId4" Type="http://schemas.openxmlformats.org/officeDocument/2006/relationships/hyperlink" Target="https://www.digitalguardian.com/blog/understanding-zero-trust-security-model-safeguard-digital-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T</dc:creator>
  <cp:keywords/>
  <dc:description/>
  <cp:lastModifiedBy>Deanna T</cp:lastModifiedBy>
  <cp:revision>1</cp:revision>
  <dcterms:created xsi:type="dcterms:W3CDTF">2026-10-24T20:08:00Z</dcterms:created>
  <dcterms:modified xsi:type="dcterms:W3CDTF">2026-10-24T20:16:00Z</dcterms:modified>
</cp:coreProperties>
</file>